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B03F19">
      <w:pPr>
        <w:ind w:firstLine="0"/>
      </w:pPr>
      <w:bookmarkStart w:id="0" w:name="_Toc421417441"/>
    </w:p>
    <w:p w14:paraId="7EDFE31F">
      <w:pPr>
        <w:ind w:firstLine="0"/>
      </w:pPr>
    </w:p>
    <w:bookmarkEnd w:id="0"/>
    <w:p w14:paraId="37F85218">
      <w:pPr>
        <w:adjustRightInd w:val="0"/>
        <w:spacing w:before="480" w:line="240" w:lineRule="auto"/>
        <w:ind w:firstLine="446" w:firstLineChars="101"/>
        <w:jc w:val="center"/>
        <w:rPr>
          <w:rFonts w:ascii="黑体" w:hAnsi="黑体" w:eastAsia="黑体" w:cs="黑体"/>
          <w:b/>
          <w:bCs/>
          <w:sz w:val="44"/>
        </w:rPr>
      </w:pPr>
      <w:r>
        <w:rPr>
          <w:rFonts w:hint="eastAsia" w:ascii="黑体" w:hAnsi="黑体" w:eastAsia="黑体" w:cs="黑体"/>
          <w:b/>
          <w:bCs/>
          <w:sz w:val="44"/>
        </w:rPr>
        <w:t>淮南经开化工园区</w:t>
      </w:r>
      <w:bookmarkStart w:id="1" w:name="_Toc445608070"/>
      <w:r>
        <w:rPr>
          <w:rFonts w:hint="eastAsia" w:ascii="黑体" w:hAnsi="黑体" w:eastAsia="黑体" w:cs="黑体"/>
          <w:b/>
          <w:bCs/>
          <w:sz w:val="44"/>
        </w:rPr>
        <w:t>总体发展规划</w:t>
      </w:r>
      <w:bookmarkEnd w:id="1"/>
      <w:r>
        <w:rPr>
          <w:rFonts w:hint="eastAsia" w:ascii="黑体" w:hAnsi="黑体" w:eastAsia="黑体" w:cs="黑体"/>
          <w:b/>
          <w:bCs/>
          <w:sz w:val="44"/>
        </w:rPr>
        <w:t>（2023年修编）</w:t>
      </w:r>
    </w:p>
    <w:p w14:paraId="4ED34945">
      <w:pPr>
        <w:adjustRightInd w:val="0"/>
        <w:spacing w:before="480" w:line="240" w:lineRule="auto"/>
        <w:ind w:firstLine="565" w:firstLineChars="101"/>
        <w:jc w:val="center"/>
        <w:rPr>
          <w:rFonts w:eastAsia="经典粗宋简"/>
          <w:spacing w:val="20"/>
          <w:sz w:val="52"/>
        </w:rPr>
      </w:pPr>
      <w:r>
        <w:rPr>
          <w:rFonts w:hint="eastAsia" w:eastAsia="经典粗宋简"/>
          <w:spacing w:val="20"/>
          <w:sz w:val="52"/>
        </w:rPr>
        <w:t>（2021-2030）</w:t>
      </w:r>
    </w:p>
    <w:p w14:paraId="05CB359B">
      <w:pPr>
        <w:ind w:firstLine="0"/>
      </w:pPr>
    </w:p>
    <w:p w14:paraId="122E56F7">
      <w:pPr>
        <w:pStyle w:val="2"/>
      </w:pPr>
    </w:p>
    <w:p w14:paraId="451A28BB"/>
    <w:p w14:paraId="27D58F46">
      <w:pPr>
        <w:pStyle w:val="2"/>
      </w:pPr>
    </w:p>
    <w:p w14:paraId="2C512631"/>
    <w:p w14:paraId="13C8ADF6">
      <w:pPr>
        <w:pStyle w:val="2"/>
      </w:pPr>
    </w:p>
    <w:p w14:paraId="295EF31F"/>
    <w:p w14:paraId="0068CDC1">
      <w:pPr>
        <w:pStyle w:val="2"/>
      </w:pPr>
    </w:p>
    <w:p w14:paraId="372123C2">
      <w:pPr>
        <w:ind w:firstLine="0"/>
      </w:pPr>
    </w:p>
    <w:p w14:paraId="2AC043CC">
      <w:pPr>
        <w:adjustRightInd w:val="0"/>
        <w:spacing w:line="240" w:lineRule="auto"/>
        <w:ind w:firstLine="0"/>
        <w:jc w:val="left"/>
      </w:pPr>
    </w:p>
    <w:p w14:paraId="6584CA54">
      <w:pPr>
        <w:ind w:firstLine="0"/>
        <w:jc w:val="center"/>
        <w:rPr>
          <w:rFonts w:eastAsia="经典粗宋简"/>
          <w:bCs/>
          <w:sz w:val="32"/>
        </w:rPr>
      </w:pPr>
    </w:p>
    <w:p w14:paraId="721F48B2">
      <w:pPr>
        <w:pStyle w:val="2"/>
        <w:ind w:firstLine="0"/>
        <w:rPr>
          <w:rFonts w:eastAsia="经典粗宋简"/>
          <w:bCs/>
        </w:rPr>
      </w:pPr>
      <w:r>
        <w:rPr>
          <w:rFonts w:hint="eastAsia" w:eastAsia="经典粗宋简"/>
          <w:bCs/>
        </w:rPr>
        <w:t>合肥上华工程设计有限公司</w:t>
      </w:r>
    </w:p>
    <w:p w14:paraId="08A83348">
      <w:pPr>
        <w:pStyle w:val="2"/>
        <w:ind w:firstLine="0"/>
      </w:pPr>
      <w:r>
        <w:rPr>
          <w:rFonts w:hint="eastAsia" w:eastAsia="经典粗宋简"/>
          <w:bCs/>
        </w:rPr>
        <w:t>淮南经济技术开发区</w:t>
      </w:r>
    </w:p>
    <w:p w14:paraId="4CC76502">
      <w:pPr>
        <w:ind w:firstLine="0"/>
        <w:jc w:val="center"/>
        <w:rPr>
          <w:b/>
        </w:rPr>
      </w:pPr>
      <w:r>
        <w:rPr>
          <w:rFonts w:hint="eastAsia" w:eastAsia="黑体"/>
          <w:bCs/>
          <w:sz w:val="32"/>
        </w:rPr>
        <w:t>二</w:t>
      </w:r>
      <w:r>
        <w:rPr>
          <w:rFonts w:hint="eastAsia" w:ascii="黑体" w:eastAsia="黑体"/>
          <w:bCs/>
          <w:sz w:val="32"/>
        </w:rPr>
        <w:t>〇</w:t>
      </w:r>
      <w:r>
        <w:rPr>
          <w:rFonts w:hint="eastAsia" w:eastAsia="黑体"/>
          <w:bCs/>
          <w:sz w:val="32"/>
        </w:rPr>
        <w:t>二三</w:t>
      </w:r>
      <w:r>
        <w:rPr>
          <w:rFonts w:hint="eastAsia" w:ascii="黑体" w:eastAsia="黑体"/>
          <w:bCs/>
          <w:sz w:val="32"/>
        </w:rPr>
        <w:t>年十</w:t>
      </w:r>
      <w:r>
        <w:rPr>
          <w:rFonts w:hint="eastAsia" w:eastAsia="黑体"/>
          <w:bCs/>
          <w:sz w:val="32"/>
        </w:rPr>
        <w:t>月</w:t>
      </w:r>
    </w:p>
    <w:p w14:paraId="58786C12">
      <w:pPr>
        <w:ind w:firstLine="0"/>
        <w:rPr>
          <w:sz w:val="32"/>
        </w:rPr>
        <w:sectPr>
          <w:headerReference r:id="rId7" w:type="first"/>
          <w:headerReference r:id="rId5" w:type="default"/>
          <w:headerReference r:id="rId6" w:type="even"/>
          <w:footerReference r:id="rId8" w:type="even"/>
          <w:pgSz w:w="23811" w:h="16838" w:orient="landscape"/>
          <w:pgMar w:top="1418" w:right="1701" w:bottom="1418" w:left="1418" w:header="1418" w:footer="851" w:gutter="454"/>
          <w:pgNumType w:start="1"/>
          <w:cols w:space="720" w:num="1"/>
          <w:docGrid w:linePitch="380" w:charSpace="0"/>
        </w:sectPr>
      </w:pPr>
    </w:p>
    <w:p w14:paraId="7B897D58">
      <w:pPr>
        <w:rPr>
          <w:rFonts w:ascii="仿宋" w:hAnsi="仿宋" w:eastAsia="仿宋" w:cs="仿宋"/>
          <w:color w:val="000000"/>
          <w:sz w:val="32"/>
          <w:szCs w:val="32"/>
        </w:rPr>
      </w:pPr>
    </w:p>
    <w:p w14:paraId="22094EEB">
      <w:pPr>
        <w:pStyle w:val="2"/>
      </w:pPr>
    </w:p>
    <w:p w14:paraId="31600BEB">
      <w:pPr>
        <w:jc w:val="center"/>
        <w:rPr>
          <w:b/>
          <w:sz w:val="40"/>
        </w:rPr>
      </w:pPr>
      <w:r>
        <w:rPr>
          <w:b/>
          <w:sz w:val="40"/>
        </w:rPr>
        <w:t>目录</w:t>
      </w:r>
    </w:p>
    <w:p w14:paraId="3E98D546">
      <w:pPr>
        <w:pStyle w:val="20"/>
        <w:tabs>
          <w:tab w:val="right" w:leader="dot" w:pos="9014"/>
        </w:tabs>
        <w:rPr>
          <w:rFonts w:ascii="Times New Roman" w:hAnsi="Times New Roman"/>
          <w:sz w:val="24"/>
          <w:szCs w:val="24"/>
        </w:rPr>
      </w:pPr>
      <w:r>
        <w:rPr>
          <w:rFonts w:ascii="Times New Roman" w:hAnsi="Times New Roman"/>
          <w:sz w:val="40"/>
        </w:rPr>
        <w:fldChar w:fldCharType="begin"/>
      </w:r>
      <w:r>
        <w:rPr>
          <w:rFonts w:ascii="Times New Roman" w:hAnsi="Times New Roman"/>
          <w:sz w:val="40"/>
        </w:rPr>
        <w:instrText xml:space="preserve"> TOC \o "1-2" \h \z \u </w:instrText>
      </w:r>
      <w:r>
        <w:rPr>
          <w:rFonts w:ascii="Times New Roman" w:hAnsi="Times New Roman"/>
          <w:sz w:val="40"/>
        </w:rPr>
        <w:fldChar w:fldCharType="separate"/>
      </w:r>
      <w:r>
        <w:fldChar w:fldCharType="begin"/>
      </w:r>
      <w:r>
        <w:instrText xml:space="preserve"> HYPERLINK \l "_Toc22972" </w:instrText>
      </w:r>
      <w:r>
        <w:fldChar w:fldCharType="separate"/>
      </w:r>
      <w:r>
        <w:rPr>
          <w:rFonts w:ascii="Times New Roman" w:hAnsi="Times New Roman"/>
          <w:sz w:val="24"/>
          <w:szCs w:val="24"/>
        </w:rPr>
        <w:t>前言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_Toc22972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09F8ADCA">
      <w:pPr>
        <w:pStyle w:val="20"/>
        <w:tabs>
          <w:tab w:val="right" w:leader="dot" w:pos="9014"/>
        </w:tabs>
        <w:rPr>
          <w:rFonts w:ascii="Times New Roman" w:hAnsi="Times New Roman"/>
          <w:sz w:val="24"/>
          <w:szCs w:val="24"/>
        </w:rPr>
      </w:pPr>
      <w:r>
        <w:fldChar w:fldCharType="begin"/>
      </w:r>
      <w:r>
        <w:instrText xml:space="preserve"> HYPERLINK \l "_Toc15729" </w:instrText>
      </w:r>
      <w:r>
        <w:fldChar w:fldCharType="separate"/>
      </w:r>
      <w:r>
        <w:rPr>
          <w:rFonts w:ascii="Times New Roman" w:hAnsi="Times New Roman" w:eastAsia="经典粗宋简"/>
          <w:sz w:val="24"/>
          <w:szCs w:val="24"/>
        </w:rPr>
        <w:t xml:space="preserve">1 </w:t>
      </w:r>
      <w:r>
        <w:rPr>
          <w:rFonts w:ascii="Times New Roman" w:hAnsi="Times New Roman"/>
          <w:sz w:val="24"/>
          <w:szCs w:val="24"/>
        </w:rPr>
        <w:t>总论</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_Toc15729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3DCF97FB">
      <w:pPr>
        <w:pStyle w:val="22"/>
        <w:tabs>
          <w:tab w:val="right" w:leader="dot" w:pos="9014"/>
        </w:tabs>
        <w:rPr>
          <w:rFonts w:ascii="Times New Roman" w:hAnsi="Times New Roman"/>
          <w:sz w:val="24"/>
          <w:szCs w:val="24"/>
        </w:rPr>
      </w:pPr>
      <w:r>
        <w:fldChar w:fldCharType="begin"/>
      </w:r>
      <w:r>
        <w:instrText xml:space="preserve"> HYPERLINK \l "_Toc13795" </w:instrText>
      </w:r>
      <w:r>
        <w:fldChar w:fldCharType="separate"/>
      </w:r>
      <w:r>
        <w:rPr>
          <w:rFonts w:ascii="Times New Roman" w:hAnsi="Times New Roman" w:eastAsia="黑体"/>
          <w:sz w:val="24"/>
          <w:szCs w:val="24"/>
        </w:rPr>
        <w:t xml:space="preserve">1.1 </w:t>
      </w:r>
      <w:r>
        <w:rPr>
          <w:rFonts w:ascii="Times New Roman" w:hAnsi="Times New Roman"/>
          <w:sz w:val="24"/>
          <w:szCs w:val="24"/>
        </w:rPr>
        <w:t>规划目的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_Toc13795 \h </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r>
        <w:rPr>
          <w:rFonts w:ascii="Times New Roman" w:hAnsi="Times New Roman"/>
          <w:sz w:val="24"/>
          <w:szCs w:val="24"/>
        </w:rPr>
        <w:fldChar w:fldCharType="end"/>
      </w:r>
    </w:p>
    <w:p w14:paraId="1704D417">
      <w:pPr>
        <w:pStyle w:val="22"/>
        <w:tabs>
          <w:tab w:val="right" w:leader="dot" w:pos="9014"/>
        </w:tabs>
        <w:rPr>
          <w:rFonts w:ascii="Times New Roman" w:hAnsi="Times New Roman"/>
          <w:sz w:val="24"/>
          <w:szCs w:val="24"/>
        </w:rPr>
      </w:pPr>
      <w:r>
        <w:fldChar w:fldCharType="begin"/>
      </w:r>
      <w:r>
        <w:instrText xml:space="preserve"> HYPERLINK \l "_Toc3981" </w:instrText>
      </w:r>
      <w:r>
        <w:fldChar w:fldCharType="separate"/>
      </w:r>
      <w:r>
        <w:rPr>
          <w:rFonts w:ascii="Times New Roman" w:hAnsi="Times New Roman" w:eastAsia="黑体"/>
          <w:sz w:val="24"/>
          <w:szCs w:val="24"/>
        </w:rPr>
        <w:t xml:space="preserve">1.2 </w:t>
      </w:r>
      <w:r>
        <w:rPr>
          <w:rFonts w:ascii="Times New Roman" w:hAnsi="Times New Roman"/>
          <w:sz w:val="24"/>
          <w:szCs w:val="24"/>
        </w:rPr>
        <w:t>规划编制依据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_Toc3981 \h </w:instrText>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r>
        <w:rPr>
          <w:rFonts w:ascii="Times New Roman" w:hAnsi="Times New Roman"/>
          <w:sz w:val="24"/>
          <w:szCs w:val="24"/>
        </w:rPr>
        <w:fldChar w:fldCharType="end"/>
      </w:r>
    </w:p>
    <w:p w14:paraId="74DCF0DE">
      <w:pPr>
        <w:pStyle w:val="22"/>
        <w:tabs>
          <w:tab w:val="right" w:leader="dot" w:pos="9014"/>
        </w:tabs>
        <w:rPr>
          <w:rFonts w:ascii="Times New Roman" w:hAnsi="Times New Roman"/>
          <w:sz w:val="24"/>
          <w:szCs w:val="24"/>
        </w:rPr>
      </w:pPr>
      <w:r>
        <w:fldChar w:fldCharType="begin"/>
      </w:r>
      <w:r>
        <w:instrText xml:space="preserve"> HYPERLINK \l "_Toc28797" </w:instrText>
      </w:r>
      <w:r>
        <w:fldChar w:fldCharType="separate"/>
      </w:r>
      <w:r>
        <w:rPr>
          <w:rFonts w:ascii="Times New Roman" w:hAnsi="Times New Roman" w:eastAsia="黑体"/>
          <w:sz w:val="24"/>
          <w:szCs w:val="24"/>
        </w:rPr>
        <w:t xml:space="preserve">1.3 </w:t>
      </w:r>
      <w:r>
        <w:rPr>
          <w:rFonts w:ascii="Times New Roman" w:hAnsi="Times New Roman"/>
          <w:sz w:val="24"/>
          <w:szCs w:val="24"/>
        </w:rPr>
        <w:t>规划的必要性及意义</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_Toc28797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14:paraId="6323EB19">
      <w:pPr>
        <w:pStyle w:val="22"/>
        <w:tabs>
          <w:tab w:val="right" w:leader="dot" w:pos="9014"/>
        </w:tabs>
        <w:rPr>
          <w:rFonts w:ascii="Times New Roman" w:hAnsi="Times New Roman"/>
          <w:sz w:val="24"/>
          <w:szCs w:val="24"/>
        </w:rPr>
      </w:pPr>
      <w:r>
        <w:fldChar w:fldCharType="begin"/>
      </w:r>
      <w:r>
        <w:instrText xml:space="preserve"> HYPERLINK \l "_Toc7957" </w:instrText>
      </w:r>
      <w:r>
        <w:fldChar w:fldCharType="separate"/>
      </w:r>
      <w:r>
        <w:rPr>
          <w:rFonts w:ascii="Times New Roman" w:hAnsi="Times New Roman" w:eastAsia="黑体"/>
          <w:sz w:val="24"/>
          <w:szCs w:val="24"/>
        </w:rPr>
        <w:t xml:space="preserve">1.4 </w:t>
      </w:r>
      <w:r>
        <w:rPr>
          <w:rFonts w:ascii="Times New Roman" w:hAnsi="Times New Roman"/>
          <w:sz w:val="24"/>
          <w:szCs w:val="24"/>
        </w:rPr>
        <w:t>规划范围</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_Toc7957 \h </w:instrText>
      </w:r>
      <w:r>
        <w:rPr>
          <w:rFonts w:ascii="Times New Roman" w:hAnsi="Times New Roman"/>
          <w:sz w:val="24"/>
          <w:szCs w:val="24"/>
        </w:rPr>
        <w:fldChar w:fldCharType="separate"/>
      </w:r>
      <w:r>
        <w:rPr>
          <w:rFonts w:ascii="Times New Roman" w:hAnsi="Times New Roman"/>
          <w:sz w:val="24"/>
          <w:szCs w:val="24"/>
        </w:rPr>
        <w:t>15</w:t>
      </w:r>
      <w:r>
        <w:rPr>
          <w:rFonts w:ascii="Times New Roman" w:hAnsi="Times New Roman"/>
          <w:sz w:val="24"/>
          <w:szCs w:val="24"/>
        </w:rPr>
        <w:fldChar w:fldCharType="end"/>
      </w:r>
      <w:r>
        <w:rPr>
          <w:rFonts w:ascii="Times New Roman" w:hAnsi="Times New Roman"/>
          <w:sz w:val="24"/>
          <w:szCs w:val="24"/>
        </w:rPr>
        <w:fldChar w:fldCharType="end"/>
      </w:r>
    </w:p>
    <w:p w14:paraId="03D4ECC7">
      <w:pPr>
        <w:pStyle w:val="20"/>
        <w:tabs>
          <w:tab w:val="right" w:leader="dot" w:pos="9014"/>
        </w:tabs>
        <w:rPr>
          <w:rFonts w:ascii="Times New Roman" w:hAnsi="Times New Roman"/>
          <w:sz w:val="24"/>
          <w:szCs w:val="24"/>
        </w:rPr>
      </w:pPr>
      <w:r>
        <w:fldChar w:fldCharType="begin"/>
      </w:r>
      <w:r>
        <w:instrText xml:space="preserve"> HYPERLINK \l "_Toc3458" </w:instrText>
      </w:r>
      <w:r>
        <w:fldChar w:fldCharType="separate"/>
      </w:r>
      <w:r>
        <w:rPr>
          <w:rFonts w:ascii="Times New Roman" w:hAnsi="Times New Roman" w:eastAsia="经典粗宋简"/>
          <w:sz w:val="24"/>
          <w:szCs w:val="24"/>
        </w:rPr>
        <w:t xml:space="preserve">2 </w:t>
      </w:r>
      <w:r>
        <w:rPr>
          <w:rFonts w:ascii="Times New Roman" w:hAnsi="Times New Roman"/>
          <w:sz w:val="24"/>
          <w:szCs w:val="24"/>
        </w:rPr>
        <w:t>规划目标及原则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_Toc3458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5F5BEDB7">
      <w:pPr>
        <w:pStyle w:val="22"/>
        <w:tabs>
          <w:tab w:val="right" w:leader="dot" w:pos="9014"/>
        </w:tabs>
        <w:rPr>
          <w:rFonts w:ascii="Times New Roman" w:hAnsi="Times New Roman"/>
          <w:sz w:val="24"/>
          <w:szCs w:val="24"/>
        </w:rPr>
      </w:pPr>
      <w:r>
        <w:fldChar w:fldCharType="begin"/>
      </w:r>
      <w:r>
        <w:instrText xml:space="preserve"> HYPERLINK \l "_Toc18508" </w:instrText>
      </w:r>
      <w:r>
        <w:fldChar w:fldCharType="separate"/>
      </w:r>
      <w:r>
        <w:rPr>
          <w:rFonts w:ascii="Times New Roman" w:hAnsi="Times New Roman" w:eastAsia="黑体"/>
          <w:sz w:val="24"/>
          <w:szCs w:val="24"/>
        </w:rPr>
        <w:t xml:space="preserve">2.1 </w:t>
      </w:r>
      <w:r>
        <w:rPr>
          <w:rFonts w:ascii="Times New Roman" w:hAnsi="Times New Roman"/>
          <w:sz w:val="24"/>
          <w:szCs w:val="24"/>
        </w:rPr>
        <w:t>规划目标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_Toc18508 \h </w:instrText>
      </w:r>
      <w:r>
        <w:rPr>
          <w:rFonts w:ascii="Times New Roman" w:hAnsi="Times New Roman"/>
          <w:sz w:val="24"/>
          <w:szCs w:val="24"/>
        </w:rPr>
        <w:fldChar w:fldCharType="separate"/>
      </w:r>
      <w:r>
        <w:rPr>
          <w:rFonts w:ascii="Times New Roman" w:hAnsi="Times New Roman"/>
          <w:sz w:val="24"/>
          <w:szCs w:val="24"/>
        </w:rPr>
        <w:t>17</w:t>
      </w:r>
      <w:r>
        <w:rPr>
          <w:rFonts w:ascii="Times New Roman" w:hAnsi="Times New Roman"/>
          <w:sz w:val="24"/>
          <w:szCs w:val="24"/>
        </w:rPr>
        <w:fldChar w:fldCharType="end"/>
      </w:r>
      <w:r>
        <w:rPr>
          <w:rFonts w:ascii="Times New Roman" w:hAnsi="Times New Roman"/>
          <w:sz w:val="24"/>
          <w:szCs w:val="24"/>
        </w:rPr>
        <w:fldChar w:fldCharType="end"/>
      </w:r>
    </w:p>
    <w:p w14:paraId="47395D52">
      <w:pPr>
        <w:pStyle w:val="22"/>
        <w:tabs>
          <w:tab w:val="right" w:leader="dot" w:pos="9014"/>
        </w:tabs>
        <w:rPr>
          <w:rFonts w:ascii="Times New Roman" w:hAnsi="Times New Roman"/>
          <w:sz w:val="24"/>
          <w:szCs w:val="24"/>
        </w:rPr>
      </w:pPr>
      <w:r>
        <w:fldChar w:fldCharType="begin"/>
      </w:r>
      <w:r>
        <w:instrText xml:space="preserve"> HYPERLINK \l "_Toc26542" </w:instrText>
      </w:r>
      <w:r>
        <w:fldChar w:fldCharType="separate"/>
      </w:r>
      <w:r>
        <w:rPr>
          <w:rFonts w:ascii="Times New Roman" w:hAnsi="Times New Roman" w:eastAsia="黑体"/>
          <w:sz w:val="24"/>
          <w:szCs w:val="24"/>
        </w:rPr>
        <w:t xml:space="preserve">2.2 </w:t>
      </w:r>
      <w:r>
        <w:rPr>
          <w:rFonts w:ascii="Times New Roman" w:hAnsi="Times New Roman"/>
          <w:sz w:val="24"/>
          <w:szCs w:val="24"/>
        </w:rPr>
        <w:t>规划原则及思路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_Toc26542 \h </w:instrText>
      </w:r>
      <w:r>
        <w:rPr>
          <w:rFonts w:ascii="Times New Roman" w:hAnsi="Times New Roman"/>
          <w:sz w:val="24"/>
          <w:szCs w:val="24"/>
        </w:rPr>
        <w:fldChar w:fldCharType="separate"/>
      </w:r>
      <w:r>
        <w:rPr>
          <w:rFonts w:ascii="Times New Roman" w:hAnsi="Times New Roman"/>
          <w:sz w:val="24"/>
          <w:szCs w:val="24"/>
        </w:rPr>
        <w:t>18</w:t>
      </w:r>
      <w:r>
        <w:rPr>
          <w:rFonts w:ascii="Times New Roman" w:hAnsi="Times New Roman"/>
          <w:sz w:val="24"/>
          <w:szCs w:val="24"/>
        </w:rPr>
        <w:fldChar w:fldCharType="end"/>
      </w:r>
      <w:r>
        <w:rPr>
          <w:rFonts w:ascii="Times New Roman" w:hAnsi="Times New Roman"/>
          <w:sz w:val="24"/>
          <w:szCs w:val="24"/>
        </w:rPr>
        <w:fldChar w:fldCharType="end"/>
      </w:r>
    </w:p>
    <w:p w14:paraId="6B806189">
      <w:pPr>
        <w:pStyle w:val="20"/>
        <w:tabs>
          <w:tab w:val="right" w:leader="dot" w:pos="9014"/>
        </w:tabs>
        <w:rPr>
          <w:rFonts w:ascii="Times New Roman" w:hAnsi="Times New Roman"/>
          <w:sz w:val="24"/>
          <w:szCs w:val="24"/>
        </w:rPr>
      </w:pPr>
      <w:r>
        <w:fldChar w:fldCharType="begin"/>
      </w:r>
      <w:r>
        <w:instrText xml:space="preserve"> HYPERLINK \l "_Toc13431" </w:instrText>
      </w:r>
      <w:r>
        <w:fldChar w:fldCharType="separate"/>
      </w:r>
      <w:r>
        <w:rPr>
          <w:rFonts w:ascii="Times New Roman" w:hAnsi="Times New Roman" w:eastAsia="经典粗宋简"/>
          <w:sz w:val="24"/>
          <w:szCs w:val="24"/>
        </w:rPr>
        <w:t xml:space="preserve">3 </w:t>
      </w:r>
      <w:r>
        <w:rPr>
          <w:rFonts w:ascii="Times New Roman" w:hAnsi="Times New Roman"/>
          <w:sz w:val="24"/>
          <w:szCs w:val="24"/>
        </w:rPr>
        <w:t>产业规划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_Toc13431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14:paraId="3742BC2E">
      <w:pPr>
        <w:pStyle w:val="22"/>
        <w:tabs>
          <w:tab w:val="right" w:leader="dot" w:pos="9014"/>
        </w:tabs>
        <w:rPr>
          <w:rFonts w:ascii="Times New Roman" w:hAnsi="Times New Roman"/>
          <w:sz w:val="24"/>
          <w:szCs w:val="24"/>
        </w:rPr>
      </w:pPr>
      <w:r>
        <w:fldChar w:fldCharType="begin"/>
      </w:r>
      <w:r>
        <w:instrText xml:space="preserve"> HYPERLINK \l "_Toc16065" </w:instrText>
      </w:r>
      <w:r>
        <w:fldChar w:fldCharType="separate"/>
      </w:r>
      <w:r>
        <w:rPr>
          <w:rFonts w:ascii="Times New Roman" w:hAnsi="Times New Roman" w:eastAsia="黑体"/>
          <w:sz w:val="24"/>
          <w:szCs w:val="24"/>
        </w:rPr>
        <w:t xml:space="preserve">3.1 </w:t>
      </w:r>
      <w:r>
        <w:rPr>
          <w:rFonts w:ascii="Times New Roman" w:hAnsi="Times New Roman"/>
          <w:sz w:val="24"/>
          <w:szCs w:val="24"/>
        </w:rPr>
        <w:t>总体发展思路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_Toc16065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14:paraId="77562060">
      <w:pPr>
        <w:pStyle w:val="22"/>
        <w:tabs>
          <w:tab w:val="right" w:leader="dot" w:pos="9014"/>
        </w:tabs>
        <w:rPr>
          <w:rFonts w:ascii="Times New Roman" w:hAnsi="Times New Roman"/>
          <w:sz w:val="24"/>
          <w:szCs w:val="24"/>
        </w:rPr>
      </w:pPr>
      <w:r>
        <w:fldChar w:fldCharType="begin"/>
      </w:r>
      <w:r>
        <w:instrText xml:space="preserve"> HYPERLINK \l "_Toc14750" </w:instrText>
      </w:r>
      <w:r>
        <w:fldChar w:fldCharType="separate"/>
      </w:r>
      <w:r>
        <w:rPr>
          <w:rFonts w:ascii="Times New Roman" w:hAnsi="Times New Roman" w:eastAsia="黑体"/>
          <w:sz w:val="24"/>
          <w:szCs w:val="24"/>
        </w:rPr>
        <w:t xml:space="preserve">3.2 </w:t>
      </w:r>
      <w:r>
        <w:rPr>
          <w:rFonts w:ascii="Times New Roman" w:hAnsi="Times New Roman"/>
          <w:sz w:val="24"/>
          <w:szCs w:val="24"/>
        </w:rPr>
        <w:t>产业链规划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_Toc14750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14:paraId="2A0534D1">
      <w:pPr>
        <w:pStyle w:val="22"/>
        <w:tabs>
          <w:tab w:val="right" w:leader="dot" w:pos="9014"/>
        </w:tabs>
        <w:rPr>
          <w:rFonts w:ascii="Times New Roman" w:hAnsi="Times New Roman"/>
          <w:sz w:val="24"/>
          <w:szCs w:val="24"/>
        </w:rPr>
      </w:pPr>
      <w:r>
        <w:fldChar w:fldCharType="begin"/>
      </w:r>
      <w:r>
        <w:instrText xml:space="preserve"> HYPERLINK \l "_Toc30920" </w:instrText>
      </w:r>
      <w:r>
        <w:fldChar w:fldCharType="separate"/>
      </w:r>
      <w:r>
        <w:rPr>
          <w:rFonts w:ascii="Times New Roman" w:hAnsi="Times New Roman" w:eastAsia="黑体"/>
          <w:sz w:val="24"/>
          <w:szCs w:val="24"/>
        </w:rPr>
        <w:t xml:space="preserve">3.3 </w:t>
      </w:r>
      <w:r>
        <w:rPr>
          <w:rFonts w:ascii="Times New Roman" w:hAnsi="Times New Roman"/>
          <w:sz w:val="24"/>
          <w:szCs w:val="24"/>
        </w:rPr>
        <w:t>产业布局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_Toc30920 \h </w:instrText>
      </w:r>
      <w:r>
        <w:rPr>
          <w:rFonts w:ascii="Times New Roman" w:hAnsi="Times New Roman"/>
          <w:sz w:val="24"/>
          <w:szCs w:val="24"/>
        </w:rPr>
        <w:fldChar w:fldCharType="separate"/>
      </w:r>
      <w:r>
        <w:rPr>
          <w:rFonts w:ascii="Times New Roman" w:hAnsi="Times New Roman"/>
          <w:sz w:val="24"/>
          <w:szCs w:val="24"/>
        </w:rPr>
        <w:t>43</w:t>
      </w:r>
      <w:r>
        <w:rPr>
          <w:rFonts w:ascii="Times New Roman" w:hAnsi="Times New Roman"/>
          <w:sz w:val="24"/>
          <w:szCs w:val="24"/>
        </w:rPr>
        <w:fldChar w:fldCharType="end"/>
      </w:r>
      <w:r>
        <w:rPr>
          <w:rFonts w:ascii="Times New Roman" w:hAnsi="Times New Roman"/>
          <w:sz w:val="24"/>
          <w:szCs w:val="24"/>
        </w:rPr>
        <w:fldChar w:fldCharType="end"/>
      </w:r>
    </w:p>
    <w:p w14:paraId="6EA17119">
      <w:pPr>
        <w:pStyle w:val="22"/>
        <w:tabs>
          <w:tab w:val="right" w:leader="dot" w:pos="9014"/>
        </w:tabs>
        <w:rPr>
          <w:rFonts w:ascii="Times New Roman" w:hAnsi="Times New Roman"/>
          <w:sz w:val="24"/>
          <w:szCs w:val="24"/>
        </w:rPr>
      </w:pPr>
      <w:r>
        <w:fldChar w:fldCharType="begin"/>
      </w:r>
      <w:r>
        <w:instrText xml:space="preserve"> HYPERLINK \l "_Toc30009" </w:instrText>
      </w:r>
      <w:r>
        <w:fldChar w:fldCharType="separate"/>
      </w:r>
      <w:r>
        <w:rPr>
          <w:rFonts w:ascii="Times New Roman" w:hAnsi="Times New Roman" w:eastAsia="黑体"/>
          <w:sz w:val="24"/>
          <w:szCs w:val="24"/>
        </w:rPr>
        <w:t xml:space="preserve">3.4 </w:t>
      </w:r>
      <w:r>
        <w:rPr>
          <w:rFonts w:ascii="Times New Roman" w:hAnsi="Times New Roman"/>
          <w:sz w:val="24"/>
          <w:szCs w:val="24"/>
        </w:rPr>
        <w:t>企业准入和退出机制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_Toc30009 \h </w:instrText>
      </w:r>
      <w:r>
        <w:rPr>
          <w:rFonts w:ascii="Times New Roman" w:hAnsi="Times New Roman"/>
          <w:sz w:val="24"/>
          <w:szCs w:val="24"/>
        </w:rPr>
        <w:fldChar w:fldCharType="separate"/>
      </w:r>
      <w:r>
        <w:rPr>
          <w:rFonts w:ascii="Times New Roman" w:hAnsi="Times New Roman"/>
          <w:sz w:val="24"/>
          <w:szCs w:val="24"/>
        </w:rPr>
        <w:t>44</w:t>
      </w:r>
      <w:r>
        <w:rPr>
          <w:rFonts w:ascii="Times New Roman" w:hAnsi="Times New Roman"/>
          <w:sz w:val="24"/>
          <w:szCs w:val="24"/>
        </w:rPr>
        <w:fldChar w:fldCharType="end"/>
      </w:r>
      <w:r>
        <w:rPr>
          <w:rFonts w:ascii="Times New Roman" w:hAnsi="Times New Roman"/>
          <w:sz w:val="24"/>
          <w:szCs w:val="24"/>
        </w:rPr>
        <w:fldChar w:fldCharType="end"/>
      </w:r>
    </w:p>
    <w:p w14:paraId="7CD5F765">
      <w:pPr>
        <w:pStyle w:val="20"/>
        <w:tabs>
          <w:tab w:val="right" w:leader="dot" w:pos="9014"/>
        </w:tabs>
        <w:rPr>
          <w:rFonts w:ascii="Times New Roman" w:hAnsi="Times New Roman"/>
          <w:sz w:val="24"/>
          <w:szCs w:val="24"/>
        </w:rPr>
      </w:pPr>
      <w:r>
        <w:fldChar w:fldCharType="begin"/>
      </w:r>
      <w:r>
        <w:instrText xml:space="preserve"> HYPERLINK \l "_Toc13961" </w:instrText>
      </w:r>
      <w:r>
        <w:fldChar w:fldCharType="separate"/>
      </w:r>
      <w:r>
        <w:rPr>
          <w:rFonts w:ascii="Times New Roman" w:hAnsi="Times New Roman" w:eastAsia="经典粗宋简"/>
          <w:sz w:val="24"/>
          <w:szCs w:val="24"/>
        </w:rPr>
        <w:t xml:space="preserve">4 </w:t>
      </w:r>
      <w:r>
        <w:rPr>
          <w:rFonts w:ascii="Times New Roman" w:hAnsi="Times New Roman"/>
          <w:sz w:val="24"/>
          <w:szCs w:val="24"/>
        </w:rPr>
        <w:t>建设条件分析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_Toc13961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14:paraId="5C18E04C">
      <w:pPr>
        <w:pStyle w:val="22"/>
        <w:tabs>
          <w:tab w:val="right" w:leader="dot" w:pos="9014"/>
        </w:tabs>
        <w:rPr>
          <w:rFonts w:ascii="Times New Roman" w:hAnsi="Times New Roman"/>
          <w:sz w:val="24"/>
          <w:szCs w:val="24"/>
        </w:rPr>
      </w:pPr>
      <w:r>
        <w:fldChar w:fldCharType="begin"/>
      </w:r>
      <w:r>
        <w:instrText xml:space="preserve"> HYPERLINK \l "_Toc24923" </w:instrText>
      </w:r>
      <w:r>
        <w:fldChar w:fldCharType="separate"/>
      </w:r>
      <w:r>
        <w:rPr>
          <w:rFonts w:ascii="Times New Roman" w:hAnsi="Times New Roman" w:eastAsia="黑体"/>
          <w:sz w:val="24"/>
          <w:szCs w:val="24"/>
        </w:rPr>
        <w:t xml:space="preserve">4.1 </w:t>
      </w:r>
      <w:r>
        <w:rPr>
          <w:rFonts w:ascii="Times New Roman" w:hAnsi="Times New Roman"/>
          <w:sz w:val="24"/>
          <w:szCs w:val="24"/>
        </w:rPr>
        <w:t>自然条件</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_Toc24923 \h </w:instrText>
      </w:r>
      <w:r>
        <w:rPr>
          <w:rFonts w:ascii="Times New Roman" w:hAnsi="Times New Roman"/>
          <w:sz w:val="24"/>
          <w:szCs w:val="24"/>
        </w:rPr>
        <w:fldChar w:fldCharType="separate"/>
      </w:r>
      <w:r>
        <w:rPr>
          <w:rFonts w:ascii="Times New Roman" w:hAnsi="Times New Roman"/>
          <w:sz w:val="24"/>
          <w:szCs w:val="24"/>
        </w:rPr>
        <w:t>46</w:t>
      </w:r>
      <w:r>
        <w:rPr>
          <w:rFonts w:ascii="Times New Roman" w:hAnsi="Times New Roman"/>
          <w:sz w:val="24"/>
          <w:szCs w:val="24"/>
        </w:rPr>
        <w:fldChar w:fldCharType="end"/>
      </w:r>
      <w:r>
        <w:rPr>
          <w:rFonts w:ascii="Times New Roman" w:hAnsi="Times New Roman"/>
          <w:sz w:val="24"/>
          <w:szCs w:val="24"/>
        </w:rPr>
        <w:fldChar w:fldCharType="end"/>
      </w:r>
    </w:p>
    <w:p w14:paraId="76E2C712">
      <w:pPr>
        <w:pStyle w:val="22"/>
        <w:tabs>
          <w:tab w:val="right" w:leader="dot" w:pos="9014"/>
        </w:tabs>
        <w:rPr>
          <w:rFonts w:ascii="Times New Roman" w:hAnsi="Times New Roman"/>
          <w:sz w:val="24"/>
          <w:szCs w:val="24"/>
        </w:rPr>
      </w:pPr>
      <w:r>
        <w:fldChar w:fldCharType="begin"/>
      </w:r>
      <w:r>
        <w:instrText xml:space="preserve"> HYPERLINK \l "_Toc7315" </w:instrText>
      </w:r>
      <w:r>
        <w:fldChar w:fldCharType="separate"/>
      </w:r>
      <w:r>
        <w:rPr>
          <w:rFonts w:ascii="Times New Roman" w:hAnsi="Times New Roman" w:eastAsia="黑体"/>
          <w:sz w:val="24"/>
          <w:szCs w:val="24"/>
        </w:rPr>
        <w:t xml:space="preserve">4.2 </w:t>
      </w:r>
      <w:r>
        <w:rPr>
          <w:rFonts w:ascii="Times New Roman" w:hAnsi="Times New Roman"/>
          <w:sz w:val="24"/>
          <w:szCs w:val="24"/>
        </w:rPr>
        <w:t>辅助工程方案</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_Toc7315 \h </w:instrText>
      </w:r>
      <w:r>
        <w:rPr>
          <w:rFonts w:ascii="Times New Roman" w:hAnsi="Times New Roman"/>
          <w:sz w:val="24"/>
          <w:szCs w:val="24"/>
        </w:rPr>
        <w:fldChar w:fldCharType="separate"/>
      </w:r>
      <w:r>
        <w:rPr>
          <w:rFonts w:ascii="Times New Roman" w:hAnsi="Times New Roman"/>
          <w:sz w:val="24"/>
          <w:szCs w:val="24"/>
        </w:rPr>
        <w:t>48</w:t>
      </w:r>
      <w:r>
        <w:rPr>
          <w:rFonts w:ascii="Times New Roman" w:hAnsi="Times New Roman"/>
          <w:sz w:val="24"/>
          <w:szCs w:val="24"/>
        </w:rPr>
        <w:fldChar w:fldCharType="end"/>
      </w:r>
      <w:r>
        <w:rPr>
          <w:rFonts w:ascii="Times New Roman" w:hAnsi="Times New Roman"/>
          <w:sz w:val="24"/>
          <w:szCs w:val="24"/>
        </w:rPr>
        <w:fldChar w:fldCharType="end"/>
      </w:r>
    </w:p>
    <w:p w14:paraId="3142690F">
      <w:pPr>
        <w:pStyle w:val="20"/>
        <w:tabs>
          <w:tab w:val="right" w:leader="dot" w:pos="9014"/>
        </w:tabs>
        <w:rPr>
          <w:rFonts w:ascii="Times New Roman" w:hAnsi="Times New Roman"/>
          <w:sz w:val="24"/>
          <w:szCs w:val="24"/>
        </w:rPr>
      </w:pPr>
      <w:r>
        <w:fldChar w:fldCharType="begin"/>
      </w:r>
      <w:r>
        <w:instrText xml:space="preserve"> HYPERLINK \l "_Toc24599" </w:instrText>
      </w:r>
      <w:r>
        <w:fldChar w:fldCharType="separate"/>
      </w:r>
      <w:r>
        <w:rPr>
          <w:rFonts w:ascii="Times New Roman" w:hAnsi="Times New Roman"/>
          <w:sz w:val="24"/>
          <w:szCs w:val="24"/>
        </w:rPr>
        <w:t>5总体布局规划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_Toc24599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14:paraId="6081C041">
      <w:pPr>
        <w:pStyle w:val="22"/>
        <w:tabs>
          <w:tab w:val="right" w:leader="dot" w:pos="9014"/>
        </w:tabs>
        <w:rPr>
          <w:rFonts w:ascii="Times New Roman" w:hAnsi="Times New Roman"/>
          <w:sz w:val="24"/>
          <w:szCs w:val="24"/>
        </w:rPr>
      </w:pPr>
      <w:r>
        <w:fldChar w:fldCharType="begin"/>
      </w:r>
      <w:r>
        <w:instrText xml:space="preserve"> HYPERLINK \l "_Toc32121" </w:instrText>
      </w:r>
      <w:r>
        <w:fldChar w:fldCharType="separate"/>
      </w:r>
      <w:r>
        <w:rPr>
          <w:rFonts w:ascii="Times New Roman" w:hAnsi="Times New Roman"/>
          <w:sz w:val="24"/>
          <w:szCs w:val="24"/>
        </w:rPr>
        <w:t>5.1 规划依据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_Toc32121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14:paraId="251B1259">
      <w:pPr>
        <w:pStyle w:val="22"/>
        <w:tabs>
          <w:tab w:val="right" w:leader="dot" w:pos="9014"/>
        </w:tabs>
        <w:rPr>
          <w:rFonts w:ascii="Times New Roman" w:hAnsi="Times New Roman"/>
          <w:sz w:val="24"/>
          <w:szCs w:val="24"/>
        </w:rPr>
      </w:pPr>
      <w:r>
        <w:fldChar w:fldCharType="begin"/>
      </w:r>
      <w:r>
        <w:instrText xml:space="preserve"> HYPERLINK \l "_Toc22325" </w:instrText>
      </w:r>
      <w:r>
        <w:fldChar w:fldCharType="separate"/>
      </w:r>
      <w:r>
        <w:rPr>
          <w:rFonts w:ascii="Times New Roman" w:hAnsi="Times New Roman"/>
          <w:sz w:val="24"/>
          <w:szCs w:val="24"/>
        </w:rPr>
        <w:t>5.2 土地利用规划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_Toc22325 \h </w:instrText>
      </w:r>
      <w:r>
        <w:rPr>
          <w:rFonts w:ascii="Times New Roman" w:hAnsi="Times New Roman"/>
          <w:sz w:val="24"/>
          <w:szCs w:val="24"/>
        </w:rPr>
        <w:fldChar w:fldCharType="separate"/>
      </w:r>
      <w:r>
        <w:rPr>
          <w:rFonts w:ascii="Times New Roman" w:hAnsi="Times New Roman"/>
          <w:sz w:val="24"/>
          <w:szCs w:val="24"/>
        </w:rPr>
        <w:t>51</w:t>
      </w:r>
      <w:r>
        <w:rPr>
          <w:rFonts w:ascii="Times New Roman" w:hAnsi="Times New Roman"/>
          <w:sz w:val="24"/>
          <w:szCs w:val="24"/>
        </w:rPr>
        <w:fldChar w:fldCharType="end"/>
      </w:r>
      <w:r>
        <w:rPr>
          <w:rFonts w:ascii="Times New Roman" w:hAnsi="Times New Roman"/>
          <w:sz w:val="24"/>
          <w:szCs w:val="24"/>
        </w:rPr>
        <w:fldChar w:fldCharType="end"/>
      </w:r>
    </w:p>
    <w:p w14:paraId="13101658">
      <w:pPr>
        <w:pStyle w:val="22"/>
        <w:tabs>
          <w:tab w:val="right" w:leader="dot" w:pos="9014"/>
        </w:tabs>
        <w:rPr>
          <w:rFonts w:ascii="Times New Roman" w:hAnsi="Times New Roman"/>
          <w:sz w:val="24"/>
          <w:szCs w:val="24"/>
        </w:rPr>
      </w:pPr>
      <w:r>
        <w:fldChar w:fldCharType="begin"/>
      </w:r>
      <w:r>
        <w:instrText xml:space="preserve"> HYPERLINK \l "_Toc14150" </w:instrText>
      </w:r>
      <w:r>
        <w:fldChar w:fldCharType="separate"/>
      </w:r>
      <w:r>
        <w:rPr>
          <w:rFonts w:ascii="Times New Roman" w:hAnsi="Times New Roman"/>
          <w:sz w:val="24"/>
          <w:szCs w:val="24"/>
        </w:rPr>
        <w:t>5.3 土地功能分类定位</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_Toc14150 \h </w:instrText>
      </w:r>
      <w:r>
        <w:rPr>
          <w:rFonts w:ascii="Times New Roman" w:hAnsi="Times New Roman"/>
          <w:sz w:val="24"/>
          <w:szCs w:val="24"/>
        </w:rPr>
        <w:fldChar w:fldCharType="separate"/>
      </w:r>
      <w:r>
        <w:rPr>
          <w:rFonts w:ascii="Times New Roman" w:hAnsi="Times New Roman"/>
          <w:sz w:val="24"/>
          <w:szCs w:val="24"/>
        </w:rPr>
        <w:t>52</w:t>
      </w:r>
      <w:r>
        <w:rPr>
          <w:rFonts w:ascii="Times New Roman" w:hAnsi="Times New Roman"/>
          <w:sz w:val="24"/>
          <w:szCs w:val="24"/>
        </w:rPr>
        <w:fldChar w:fldCharType="end"/>
      </w:r>
      <w:r>
        <w:rPr>
          <w:rFonts w:ascii="Times New Roman" w:hAnsi="Times New Roman"/>
          <w:sz w:val="24"/>
          <w:szCs w:val="24"/>
        </w:rPr>
        <w:fldChar w:fldCharType="end"/>
      </w:r>
    </w:p>
    <w:p w14:paraId="152FED81">
      <w:pPr>
        <w:pStyle w:val="22"/>
        <w:tabs>
          <w:tab w:val="right" w:leader="dot" w:pos="9014"/>
        </w:tabs>
        <w:rPr>
          <w:rFonts w:ascii="Times New Roman" w:hAnsi="Times New Roman"/>
          <w:sz w:val="24"/>
          <w:szCs w:val="24"/>
        </w:rPr>
      </w:pPr>
      <w:r>
        <w:fldChar w:fldCharType="begin"/>
      </w:r>
      <w:r>
        <w:instrText xml:space="preserve"> HYPERLINK \l "_Toc1654" </w:instrText>
      </w:r>
      <w:r>
        <w:fldChar w:fldCharType="separate"/>
      </w:r>
      <w:r>
        <w:rPr>
          <w:rFonts w:ascii="Times New Roman" w:hAnsi="Times New Roman"/>
          <w:sz w:val="24"/>
          <w:szCs w:val="24"/>
        </w:rPr>
        <w:t>5.4 总体规划布局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_Toc1654 \h </w:instrText>
      </w:r>
      <w:r>
        <w:rPr>
          <w:rFonts w:ascii="Times New Roman" w:hAnsi="Times New Roman"/>
          <w:sz w:val="24"/>
          <w:szCs w:val="24"/>
        </w:rPr>
        <w:fldChar w:fldCharType="separate"/>
      </w:r>
      <w:r>
        <w:rPr>
          <w:rFonts w:ascii="Times New Roman" w:hAnsi="Times New Roman"/>
          <w:sz w:val="24"/>
          <w:szCs w:val="24"/>
        </w:rPr>
        <w:t>53</w:t>
      </w:r>
      <w:r>
        <w:rPr>
          <w:rFonts w:ascii="Times New Roman" w:hAnsi="Times New Roman"/>
          <w:sz w:val="24"/>
          <w:szCs w:val="24"/>
        </w:rPr>
        <w:fldChar w:fldCharType="end"/>
      </w:r>
      <w:r>
        <w:rPr>
          <w:rFonts w:ascii="Times New Roman" w:hAnsi="Times New Roman"/>
          <w:sz w:val="24"/>
          <w:szCs w:val="24"/>
        </w:rPr>
        <w:fldChar w:fldCharType="end"/>
      </w:r>
    </w:p>
    <w:p w14:paraId="426796BA">
      <w:pPr>
        <w:pStyle w:val="22"/>
        <w:tabs>
          <w:tab w:val="right" w:leader="dot" w:pos="9014"/>
        </w:tabs>
        <w:rPr>
          <w:rFonts w:ascii="Times New Roman" w:hAnsi="Times New Roman"/>
          <w:sz w:val="24"/>
          <w:szCs w:val="24"/>
        </w:rPr>
      </w:pPr>
      <w:r>
        <w:fldChar w:fldCharType="begin"/>
      </w:r>
      <w:r>
        <w:instrText xml:space="preserve"> HYPERLINK \l "_Toc25900" </w:instrText>
      </w:r>
      <w:r>
        <w:fldChar w:fldCharType="separate"/>
      </w:r>
      <w:r>
        <w:rPr>
          <w:rFonts w:ascii="Times New Roman" w:hAnsi="Times New Roman"/>
          <w:sz w:val="24"/>
          <w:szCs w:val="24"/>
        </w:rPr>
        <w:t>5.5 土地集约利用</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_Toc25900 \h </w:instrText>
      </w:r>
      <w:r>
        <w:rPr>
          <w:rFonts w:ascii="Times New Roman" w:hAnsi="Times New Roman"/>
          <w:sz w:val="24"/>
          <w:szCs w:val="24"/>
        </w:rPr>
        <w:fldChar w:fldCharType="separate"/>
      </w:r>
      <w:r>
        <w:rPr>
          <w:rFonts w:ascii="Times New Roman" w:hAnsi="Times New Roman"/>
          <w:sz w:val="24"/>
          <w:szCs w:val="24"/>
        </w:rPr>
        <w:t>54</w:t>
      </w:r>
      <w:r>
        <w:rPr>
          <w:rFonts w:ascii="Times New Roman" w:hAnsi="Times New Roman"/>
          <w:sz w:val="24"/>
          <w:szCs w:val="24"/>
        </w:rPr>
        <w:fldChar w:fldCharType="end"/>
      </w:r>
      <w:r>
        <w:rPr>
          <w:rFonts w:ascii="Times New Roman" w:hAnsi="Times New Roman"/>
          <w:sz w:val="24"/>
          <w:szCs w:val="24"/>
        </w:rPr>
        <w:fldChar w:fldCharType="end"/>
      </w:r>
    </w:p>
    <w:p w14:paraId="128ED9A5">
      <w:pPr>
        <w:pStyle w:val="22"/>
        <w:tabs>
          <w:tab w:val="right" w:leader="dot" w:pos="9014"/>
        </w:tabs>
        <w:rPr>
          <w:rFonts w:ascii="Times New Roman" w:hAnsi="Times New Roman"/>
          <w:sz w:val="24"/>
          <w:szCs w:val="24"/>
        </w:rPr>
      </w:pPr>
      <w:r>
        <w:fldChar w:fldCharType="begin"/>
      </w:r>
      <w:r>
        <w:instrText xml:space="preserve"> HYPERLINK \l "_Toc21741" </w:instrText>
      </w:r>
      <w:r>
        <w:fldChar w:fldCharType="separate"/>
      </w:r>
      <w:r>
        <w:rPr>
          <w:rFonts w:ascii="Times New Roman" w:hAnsi="Times New Roman"/>
          <w:sz w:val="24"/>
          <w:szCs w:val="24"/>
        </w:rPr>
        <w:t>5.6 竖向布置规划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_Toc21741 \h </w:instrText>
      </w:r>
      <w:r>
        <w:rPr>
          <w:rFonts w:ascii="Times New Roman" w:hAnsi="Times New Roman"/>
          <w:sz w:val="24"/>
          <w:szCs w:val="24"/>
        </w:rPr>
        <w:fldChar w:fldCharType="separate"/>
      </w:r>
      <w:r>
        <w:rPr>
          <w:rFonts w:ascii="Times New Roman" w:hAnsi="Times New Roman"/>
          <w:sz w:val="24"/>
          <w:szCs w:val="24"/>
        </w:rPr>
        <w:t>55</w:t>
      </w:r>
      <w:r>
        <w:rPr>
          <w:rFonts w:ascii="Times New Roman" w:hAnsi="Times New Roman"/>
          <w:sz w:val="24"/>
          <w:szCs w:val="24"/>
        </w:rPr>
        <w:fldChar w:fldCharType="end"/>
      </w:r>
      <w:r>
        <w:rPr>
          <w:rFonts w:ascii="Times New Roman" w:hAnsi="Times New Roman"/>
          <w:sz w:val="24"/>
          <w:szCs w:val="24"/>
        </w:rPr>
        <w:fldChar w:fldCharType="end"/>
      </w:r>
    </w:p>
    <w:p w14:paraId="223E05AC">
      <w:pPr>
        <w:pStyle w:val="22"/>
        <w:tabs>
          <w:tab w:val="right" w:leader="dot" w:pos="9014"/>
        </w:tabs>
        <w:rPr>
          <w:rFonts w:ascii="Times New Roman" w:hAnsi="Times New Roman"/>
          <w:sz w:val="24"/>
          <w:szCs w:val="24"/>
        </w:rPr>
      </w:pPr>
      <w:r>
        <w:fldChar w:fldCharType="begin"/>
      </w:r>
      <w:r>
        <w:instrText xml:space="preserve"> HYPERLINK \l "_Toc20464" </w:instrText>
      </w:r>
      <w:r>
        <w:fldChar w:fldCharType="separate"/>
      </w:r>
      <w:r>
        <w:rPr>
          <w:rFonts w:ascii="Times New Roman" w:hAnsi="Times New Roman"/>
          <w:sz w:val="24"/>
          <w:szCs w:val="24"/>
        </w:rPr>
        <w:t>5.7 绿化规划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_Toc20464 \h </w:instrText>
      </w:r>
      <w:r>
        <w:rPr>
          <w:rFonts w:ascii="Times New Roman" w:hAnsi="Times New Roman"/>
          <w:sz w:val="24"/>
          <w:szCs w:val="24"/>
        </w:rPr>
        <w:fldChar w:fldCharType="separate"/>
      </w:r>
      <w:r>
        <w:rPr>
          <w:rFonts w:ascii="Times New Roman" w:hAnsi="Times New Roman"/>
          <w:sz w:val="24"/>
          <w:szCs w:val="24"/>
        </w:rPr>
        <w:t>56</w:t>
      </w:r>
      <w:r>
        <w:rPr>
          <w:rFonts w:ascii="Times New Roman" w:hAnsi="Times New Roman"/>
          <w:sz w:val="24"/>
          <w:szCs w:val="24"/>
        </w:rPr>
        <w:fldChar w:fldCharType="end"/>
      </w:r>
      <w:r>
        <w:rPr>
          <w:rFonts w:ascii="Times New Roman" w:hAnsi="Times New Roman"/>
          <w:sz w:val="24"/>
          <w:szCs w:val="24"/>
        </w:rPr>
        <w:fldChar w:fldCharType="end"/>
      </w:r>
    </w:p>
    <w:p w14:paraId="29E315EF">
      <w:pPr>
        <w:pStyle w:val="20"/>
        <w:tabs>
          <w:tab w:val="right" w:leader="dot" w:pos="9014"/>
        </w:tabs>
        <w:rPr>
          <w:rFonts w:ascii="Times New Roman" w:hAnsi="Times New Roman"/>
          <w:sz w:val="24"/>
          <w:szCs w:val="24"/>
        </w:rPr>
      </w:pPr>
      <w:r>
        <w:fldChar w:fldCharType="begin"/>
      </w:r>
      <w:r>
        <w:instrText xml:space="preserve"> HYPERLINK \l "_Toc30271" </w:instrText>
      </w:r>
      <w:r>
        <w:fldChar w:fldCharType="separate"/>
      </w:r>
      <w:r>
        <w:rPr>
          <w:rFonts w:ascii="Times New Roman" w:hAnsi="Times New Roman"/>
          <w:sz w:val="24"/>
          <w:szCs w:val="24"/>
        </w:rPr>
        <w:t>6环境保护规划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_Toc30271 \h </w:instrText>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fldChar w:fldCharType="end"/>
      </w:r>
    </w:p>
    <w:p w14:paraId="4C77ADDD">
      <w:pPr>
        <w:pStyle w:val="22"/>
        <w:tabs>
          <w:tab w:val="right" w:leader="dot" w:pos="9014"/>
        </w:tabs>
        <w:rPr>
          <w:rFonts w:ascii="Times New Roman" w:hAnsi="Times New Roman"/>
          <w:sz w:val="24"/>
          <w:szCs w:val="24"/>
        </w:rPr>
      </w:pPr>
      <w:r>
        <w:fldChar w:fldCharType="begin"/>
      </w:r>
      <w:r>
        <w:instrText xml:space="preserve"> HYPERLINK \l "_Toc6842" </w:instrText>
      </w:r>
      <w:r>
        <w:fldChar w:fldCharType="separate"/>
      </w:r>
      <w:r>
        <w:rPr>
          <w:rFonts w:ascii="Times New Roman" w:hAnsi="Times New Roman"/>
          <w:sz w:val="24"/>
          <w:szCs w:val="24"/>
        </w:rPr>
        <w:t>6.1环境质量控制依据和相关规划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_Toc6842 \h </w:instrText>
      </w:r>
      <w:r>
        <w:rPr>
          <w:rFonts w:ascii="Times New Roman" w:hAnsi="Times New Roman"/>
          <w:sz w:val="24"/>
          <w:szCs w:val="24"/>
        </w:rPr>
        <w:fldChar w:fldCharType="separate"/>
      </w:r>
      <w:r>
        <w:rPr>
          <w:rFonts w:ascii="Times New Roman" w:hAnsi="Times New Roman"/>
          <w:sz w:val="24"/>
          <w:szCs w:val="24"/>
        </w:rPr>
        <w:t>58</w:t>
      </w:r>
      <w:r>
        <w:rPr>
          <w:rFonts w:ascii="Times New Roman" w:hAnsi="Times New Roman"/>
          <w:sz w:val="24"/>
          <w:szCs w:val="24"/>
        </w:rPr>
        <w:fldChar w:fldCharType="end"/>
      </w:r>
      <w:r>
        <w:rPr>
          <w:rFonts w:ascii="Times New Roman" w:hAnsi="Times New Roman"/>
          <w:sz w:val="24"/>
          <w:szCs w:val="24"/>
        </w:rPr>
        <w:fldChar w:fldCharType="end"/>
      </w:r>
    </w:p>
    <w:p w14:paraId="15CFECF6">
      <w:pPr>
        <w:pStyle w:val="22"/>
        <w:tabs>
          <w:tab w:val="right" w:leader="dot" w:pos="9014"/>
        </w:tabs>
        <w:rPr>
          <w:rFonts w:ascii="Times New Roman" w:hAnsi="Times New Roman"/>
          <w:sz w:val="24"/>
          <w:szCs w:val="24"/>
        </w:rPr>
      </w:pPr>
      <w:r>
        <w:fldChar w:fldCharType="begin"/>
      </w:r>
      <w:r>
        <w:instrText xml:space="preserve"> HYPERLINK \l "_Toc3783" </w:instrText>
      </w:r>
      <w:r>
        <w:fldChar w:fldCharType="separate"/>
      </w:r>
      <w:r>
        <w:rPr>
          <w:rFonts w:ascii="Times New Roman" w:hAnsi="Times New Roman"/>
          <w:sz w:val="24"/>
          <w:szCs w:val="24"/>
        </w:rPr>
        <w:t>6.2环境保护目标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_Toc3783 \h </w:instrText>
      </w:r>
      <w:r>
        <w:rPr>
          <w:rFonts w:ascii="Times New Roman" w:hAnsi="Times New Roman"/>
          <w:sz w:val="24"/>
          <w:szCs w:val="24"/>
        </w:rPr>
        <w:fldChar w:fldCharType="separate"/>
      </w:r>
      <w:r>
        <w:rPr>
          <w:rFonts w:ascii="Times New Roman" w:hAnsi="Times New Roman"/>
          <w:sz w:val="24"/>
          <w:szCs w:val="24"/>
        </w:rPr>
        <w:t>59</w:t>
      </w:r>
      <w:r>
        <w:rPr>
          <w:rFonts w:ascii="Times New Roman" w:hAnsi="Times New Roman"/>
          <w:sz w:val="24"/>
          <w:szCs w:val="24"/>
        </w:rPr>
        <w:fldChar w:fldCharType="end"/>
      </w:r>
      <w:r>
        <w:rPr>
          <w:rFonts w:ascii="Times New Roman" w:hAnsi="Times New Roman"/>
          <w:sz w:val="24"/>
          <w:szCs w:val="24"/>
        </w:rPr>
        <w:fldChar w:fldCharType="end"/>
      </w:r>
    </w:p>
    <w:p w14:paraId="72A2B768">
      <w:pPr>
        <w:pStyle w:val="22"/>
        <w:tabs>
          <w:tab w:val="right" w:leader="dot" w:pos="9014"/>
        </w:tabs>
        <w:rPr>
          <w:rFonts w:ascii="Times New Roman" w:hAnsi="Times New Roman"/>
          <w:sz w:val="24"/>
          <w:szCs w:val="24"/>
        </w:rPr>
      </w:pPr>
      <w:r>
        <w:fldChar w:fldCharType="begin"/>
      </w:r>
      <w:r>
        <w:instrText xml:space="preserve"> HYPERLINK \l "_Toc22296" </w:instrText>
      </w:r>
      <w:r>
        <w:fldChar w:fldCharType="separate"/>
      </w:r>
      <w:r>
        <w:rPr>
          <w:rFonts w:ascii="Times New Roman" w:hAnsi="Times New Roman"/>
          <w:sz w:val="24"/>
          <w:szCs w:val="24"/>
        </w:rPr>
        <w:t>6.3环境保护原则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_Toc22296 \h </w:instrText>
      </w:r>
      <w:r>
        <w:rPr>
          <w:rFonts w:ascii="Times New Roman" w:hAnsi="Times New Roman"/>
          <w:sz w:val="24"/>
          <w:szCs w:val="24"/>
        </w:rPr>
        <w:fldChar w:fldCharType="separate"/>
      </w:r>
      <w:r>
        <w:rPr>
          <w:rFonts w:ascii="Times New Roman" w:hAnsi="Times New Roman"/>
          <w:sz w:val="24"/>
          <w:szCs w:val="24"/>
        </w:rPr>
        <w:t>65</w:t>
      </w:r>
      <w:r>
        <w:rPr>
          <w:rFonts w:ascii="Times New Roman" w:hAnsi="Times New Roman"/>
          <w:sz w:val="24"/>
          <w:szCs w:val="24"/>
        </w:rPr>
        <w:fldChar w:fldCharType="end"/>
      </w:r>
      <w:r>
        <w:rPr>
          <w:rFonts w:ascii="Times New Roman" w:hAnsi="Times New Roman"/>
          <w:sz w:val="24"/>
          <w:szCs w:val="24"/>
        </w:rPr>
        <w:fldChar w:fldCharType="end"/>
      </w:r>
    </w:p>
    <w:p w14:paraId="7392883F">
      <w:pPr>
        <w:pStyle w:val="22"/>
        <w:tabs>
          <w:tab w:val="right" w:leader="dot" w:pos="9014"/>
        </w:tabs>
        <w:rPr>
          <w:rFonts w:ascii="Times New Roman" w:hAnsi="Times New Roman"/>
          <w:sz w:val="24"/>
          <w:szCs w:val="24"/>
        </w:rPr>
      </w:pPr>
      <w:r>
        <w:fldChar w:fldCharType="begin"/>
      </w:r>
      <w:r>
        <w:instrText xml:space="preserve"> HYPERLINK \l "_Toc30189" </w:instrText>
      </w:r>
      <w:r>
        <w:fldChar w:fldCharType="separate"/>
      </w:r>
      <w:r>
        <w:rPr>
          <w:rFonts w:ascii="Times New Roman" w:hAnsi="Times New Roman"/>
          <w:sz w:val="24"/>
          <w:szCs w:val="24"/>
        </w:rPr>
        <w:t>6.4环境保护规划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_Toc30189 \h </w:instrText>
      </w:r>
      <w:r>
        <w:rPr>
          <w:rFonts w:ascii="Times New Roman" w:hAnsi="Times New Roman"/>
          <w:sz w:val="24"/>
          <w:szCs w:val="24"/>
        </w:rPr>
        <w:fldChar w:fldCharType="separate"/>
      </w:r>
      <w:r>
        <w:rPr>
          <w:rFonts w:ascii="Times New Roman" w:hAnsi="Times New Roman"/>
          <w:sz w:val="24"/>
          <w:szCs w:val="24"/>
        </w:rPr>
        <w:t>66</w:t>
      </w:r>
      <w:r>
        <w:rPr>
          <w:rFonts w:ascii="Times New Roman" w:hAnsi="Times New Roman"/>
          <w:sz w:val="24"/>
          <w:szCs w:val="24"/>
        </w:rPr>
        <w:fldChar w:fldCharType="end"/>
      </w:r>
      <w:r>
        <w:rPr>
          <w:rFonts w:ascii="Times New Roman" w:hAnsi="Times New Roman"/>
          <w:sz w:val="24"/>
          <w:szCs w:val="24"/>
        </w:rPr>
        <w:fldChar w:fldCharType="end"/>
      </w:r>
    </w:p>
    <w:p w14:paraId="5B35885A">
      <w:pPr>
        <w:pStyle w:val="22"/>
        <w:tabs>
          <w:tab w:val="right" w:leader="dot" w:pos="9014"/>
        </w:tabs>
        <w:rPr>
          <w:rFonts w:ascii="Times New Roman" w:hAnsi="Times New Roman"/>
          <w:sz w:val="24"/>
          <w:szCs w:val="24"/>
        </w:rPr>
      </w:pPr>
      <w:r>
        <w:fldChar w:fldCharType="begin"/>
      </w:r>
      <w:r>
        <w:instrText xml:space="preserve"> HYPERLINK \l "_Toc17025" </w:instrText>
      </w:r>
      <w:r>
        <w:fldChar w:fldCharType="separate"/>
      </w:r>
      <w:r>
        <w:rPr>
          <w:rFonts w:ascii="Times New Roman" w:hAnsi="Times New Roman"/>
          <w:sz w:val="24"/>
          <w:szCs w:val="24"/>
        </w:rPr>
        <w:t>6.5生态建设规划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_Toc17025 \h </w:instrText>
      </w:r>
      <w:r>
        <w:rPr>
          <w:rFonts w:ascii="Times New Roman" w:hAnsi="Times New Roman"/>
          <w:sz w:val="24"/>
          <w:szCs w:val="24"/>
        </w:rPr>
        <w:fldChar w:fldCharType="separate"/>
      </w:r>
      <w:r>
        <w:rPr>
          <w:rFonts w:ascii="Times New Roman" w:hAnsi="Times New Roman"/>
          <w:sz w:val="24"/>
          <w:szCs w:val="24"/>
        </w:rPr>
        <w:t>68</w:t>
      </w:r>
      <w:r>
        <w:rPr>
          <w:rFonts w:ascii="Times New Roman" w:hAnsi="Times New Roman"/>
          <w:sz w:val="24"/>
          <w:szCs w:val="24"/>
        </w:rPr>
        <w:fldChar w:fldCharType="end"/>
      </w:r>
      <w:r>
        <w:rPr>
          <w:rFonts w:ascii="Times New Roman" w:hAnsi="Times New Roman"/>
          <w:sz w:val="24"/>
          <w:szCs w:val="24"/>
        </w:rPr>
        <w:fldChar w:fldCharType="end"/>
      </w:r>
    </w:p>
    <w:p w14:paraId="6734CBDA">
      <w:pPr>
        <w:pStyle w:val="22"/>
        <w:tabs>
          <w:tab w:val="right" w:leader="dot" w:pos="9014"/>
        </w:tabs>
        <w:rPr>
          <w:rFonts w:ascii="Times New Roman" w:hAnsi="Times New Roman"/>
          <w:sz w:val="24"/>
          <w:szCs w:val="24"/>
        </w:rPr>
      </w:pPr>
      <w:r>
        <w:fldChar w:fldCharType="begin"/>
      </w:r>
      <w:r>
        <w:instrText xml:space="preserve"> HYPERLINK \l "_Toc28731" </w:instrText>
      </w:r>
      <w:r>
        <w:fldChar w:fldCharType="separate"/>
      </w:r>
      <w:r>
        <w:rPr>
          <w:rFonts w:ascii="Times New Roman" w:hAnsi="Times New Roman"/>
          <w:sz w:val="24"/>
          <w:szCs w:val="24"/>
        </w:rPr>
        <w:t>6.6环境保护管理措施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_Toc28731 \h </w:instrText>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r>
        <w:rPr>
          <w:rFonts w:ascii="Times New Roman" w:hAnsi="Times New Roman"/>
          <w:sz w:val="24"/>
          <w:szCs w:val="24"/>
        </w:rPr>
        <w:fldChar w:fldCharType="end"/>
      </w:r>
    </w:p>
    <w:p w14:paraId="12855856">
      <w:pPr>
        <w:pStyle w:val="20"/>
        <w:tabs>
          <w:tab w:val="right" w:leader="dot" w:pos="9014"/>
        </w:tabs>
        <w:rPr>
          <w:rFonts w:ascii="Times New Roman" w:hAnsi="Times New Roman"/>
          <w:sz w:val="24"/>
          <w:szCs w:val="24"/>
        </w:rPr>
      </w:pPr>
      <w:r>
        <w:fldChar w:fldCharType="begin"/>
      </w:r>
      <w:r>
        <w:instrText xml:space="preserve"> HYPERLINK \l "_Toc16544" </w:instrText>
      </w:r>
      <w:r>
        <w:fldChar w:fldCharType="separate"/>
      </w:r>
      <w:r>
        <w:rPr>
          <w:rFonts w:ascii="Times New Roman" w:hAnsi="Times New Roman"/>
          <w:sz w:val="24"/>
          <w:szCs w:val="24"/>
        </w:rPr>
        <w:t>7安全规划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_Toc16544 \h </w:instrText>
      </w:r>
      <w:r>
        <w:rPr>
          <w:rFonts w:ascii="Times New Roman" w:hAnsi="Times New Roman"/>
          <w:sz w:val="24"/>
          <w:szCs w:val="24"/>
        </w:rPr>
        <w:fldChar w:fldCharType="separate"/>
      </w:r>
      <w:r>
        <w:rPr>
          <w:rFonts w:ascii="Times New Roman" w:hAnsi="Times New Roman"/>
          <w:sz w:val="24"/>
          <w:szCs w:val="24"/>
        </w:rPr>
        <w:t>77</w:t>
      </w:r>
      <w:r>
        <w:rPr>
          <w:rFonts w:ascii="Times New Roman" w:hAnsi="Times New Roman"/>
          <w:sz w:val="24"/>
          <w:szCs w:val="24"/>
        </w:rPr>
        <w:fldChar w:fldCharType="end"/>
      </w:r>
      <w:r>
        <w:rPr>
          <w:rFonts w:ascii="Times New Roman" w:hAnsi="Times New Roman"/>
          <w:sz w:val="24"/>
          <w:szCs w:val="24"/>
        </w:rPr>
        <w:fldChar w:fldCharType="end"/>
      </w:r>
    </w:p>
    <w:p w14:paraId="5A9A627C">
      <w:pPr>
        <w:pStyle w:val="22"/>
        <w:tabs>
          <w:tab w:val="right" w:leader="dot" w:pos="9014"/>
        </w:tabs>
        <w:rPr>
          <w:rFonts w:ascii="Times New Roman" w:hAnsi="Times New Roman"/>
          <w:sz w:val="24"/>
          <w:szCs w:val="24"/>
        </w:rPr>
      </w:pPr>
      <w:r>
        <w:fldChar w:fldCharType="begin"/>
      </w:r>
      <w:r>
        <w:instrText xml:space="preserve"> HYPERLINK \l "_Toc18149" </w:instrText>
      </w:r>
      <w:r>
        <w:fldChar w:fldCharType="separate"/>
      </w:r>
      <w:r>
        <w:rPr>
          <w:rFonts w:ascii="Times New Roman" w:hAnsi="Times New Roman"/>
          <w:sz w:val="24"/>
          <w:szCs w:val="24"/>
        </w:rPr>
        <w:t>7.1危险源分析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_Toc18149 \h </w:instrText>
      </w:r>
      <w:r>
        <w:rPr>
          <w:rFonts w:ascii="Times New Roman" w:hAnsi="Times New Roman"/>
          <w:sz w:val="24"/>
          <w:szCs w:val="24"/>
        </w:rPr>
        <w:fldChar w:fldCharType="separate"/>
      </w:r>
      <w:r>
        <w:rPr>
          <w:rFonts w:ascii="Times New Roman" w:hAnsi="Times New Roman"/>
          <w:sz w:val="24"/>
          <w:szCs w:val="24"/>
        </w:rPr>
        <w:t>78</w:t>
      </w:r>
      <w:r>
        <w:rPr>
          <w:rFonts w:ascii="Times New Roman" w:hAnsi="Times New Roman"/>
          <w:sz w:val="24"/>
          <w:szCs w:val="24"/>
        </w:rPr>
        <w:fldChar w:fldCharType="end"/>
      </w:r>
      <w:r>
        <w:rPr>
          <w:rFonts w:ascii="Times New Roman" w:hAnsi="Times New Roman"/>
          <w:sz w:val="24"/>
          <w:szCs w:val="24"/>
        </w:rPr>
        <w:fldChar w:fldCharType="end"/>
      </w:r>
    </w:p>
    <w:p w14:paraId="203C7D75">
      <w:pPr>
        <w:pStyle w:val="22"/>
        <w:tabs>
          <w:tab w:val="right" w:leader="dot" w:pos="9014"/>
        </w:tabs>
        <w:rPr>
          <w:rFonts w:ascii="Times New Roman" w:hAnsi="Times New Roman"/>
          <w:sz w:val="24"/>
          <w:szCs w:val="24"/>
        </w:rPr>
      </w:pPr>
      <w:r>
        <w:fldChar w:fldCharType="begin"/>
      </w:r>
      <w:r>
        <w:instrText xml:space="preserve"> HYPERLINK \l "_Toc293" </w:instrText>
      </w:r>
      <w:r>
        <w:fldChar w:fldCharType="separate"/>
      </w:r>
      <w:r>
        <w:rPr>
          <w:rFonts w:ascii="Times New Roman" w:hAnsi="Times New Roman"/>
          <w:sz w:val="24"/>
          <w:szCs w:val="24"/>
        </w:rPr>
        <w:t>7.2安全规划的目的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_Toc293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14:paraId="769CB60A">
      <w:pPr>
        <w:pStyle w:val="22"/>
        <w:tabs>
          <w:tab w:val="right" w:leader="dot" w:pos="9014"/>
        </w:tabs>
        <w:rPr>
          <w:rFonts w:ascii="Times New Roman" w:hAnsi="Times New Roman"/>
          <w:sz w:val="24"/>
          <w:szCs w:val="24"/>
        </w:rPr>
      </w:pPr>
      <w:r>
        <w:fldChar w:fldCharType="begin"/>
      </w:r>
      <w:r>
        <w:instrText xml:space="preserve"> HYPERLINK \l "_Toc4333" </w:instrText>
      </w:r>
      <w:r>
        <w:fldChar w:fldCharType="separate"/>
      </w:r>
      <w:r>
        <w:rPr>
          <w:rFonts w:ascii="Times New Roman" w:hAnsi="Times New Roman"/>
          <w:sz w:val="24"/>
          <w:szCs w:val="24"/>
        </w:rPr>
        <w:t>7.3安全规划的依据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_Toc4333 \h </w:instrText>
      </w:r>
      <w:r>
        <w:rPr>
          <w:rFonts w:ascii="Times New Roman" w:hAnsi="Times New Roman"/>
          <w:sz w:val="24"/>
          <w:szCs w:val="24"/>
        </w:rPr>
        <w:fldChar w:fldCharType="separate"/>
      </w:r>
      <w:r>
        <w:rPr>
          <w:rFonts w:ascii="Times New Roman" w:hAnsi="Times New Roman"/>
          <w:sz w:val="24"/>
          <w:szCs w:val="24"/>
        </w:rPr>
        <w:t>109</w:t>
      </w:r>
      <w:r>
        <w:rPr>
          <w:rFonts w:ascii="Times New Roman" w:hAnsi="Times New Roman"/>
          <w:sz w:val="24"/>
          <w:szCs w:val="24"/>
        </w:rPr>
        <w:fldChar w:fldCharType="end"/>
      </w:r>
      <w:r>
        <w:rPr>
          <w:rFonts w:ascii="Times New Roman" w:hAnsi="Times New Roman"/>
          <w:sz w:val="24"/>
          <w:szCs w:val="24"/>
        </w:rPr>
        <w:fldChar w:fldCharType="end"/>
      </w:r>
    </w:p>
    <w:p w14:paraId="17C9CBFB">
      <w:pPr>
        <w:pStyle w:val="22"/>
        <w:tabs>
          <w:tab w:val="right" w:leader="dot" w:pos="9014"/>
        </w:tabs>
        <w:rPr>
          <w:rFonts w:ascii="Times New Roman" w:hAnsi="Times New Roman"/>
          <w:sz w:val="24"/>
          <w:szCs w:val="24"/>
        </w:rPr>
      </w:pPr>
      <w:r>
        <w:fldChar w:fldCharType="begin"/>
      </w:r>
      <w:r>
        <w:instrText xml:space="preserve"> HYPERLINK \l "_Toc29936" </w:instrText>
      </w:r>
      <w:r>
        <w:fldChar w:fldCharType="separate"/>
      </w:r>
      <w:r>
        <w:rPr>
          <w:rFonts w:ascii="Times New Roman" w:hAnsi="Times New Roman"/>
          <w:sz w:val="24"/>
          <w:szCs w:val="24"/>
        </w:rPr>
        <w:t>7.4安全规划的原则</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_Toc29936 \h </w:instrText>
      </w:r>
      <w:r>
        <w:rPr>
          <w:rFonts w:ascii="Times New Roman" w:hAnsi="Times New Roman"/>
          <w:sz w:val="24"/>
          <w:szCs w:val="24"/>
        </w:rPr>
        <w:fldChar w:fldCharType="separate"/>
      </w:r>
      <w:r>
        <w:rPr>
          <w:rFonts w:ascii="Times New Roman" w:hAnsi="Times New Roman"/>
          <w:sz w:val="24"/>
          <w:szCs w:val="24"/>
        </w:rPr>
        <w:t>117</w:t>
      </w:r>
      <w:r>
        <w:rPr>
          <w:rFonts w:ascii="Times New Roman" w:hAnsi="Times New Roman"/>
          <w:sz w:val="24"/>
          <w:szCs w:val="24"/>
        </w:rPr>
        <w:fldChar w:fldCharType="end"/>
      </w:r>
      <w:r>
        <w:rPr>
          <w:rFonts w:ascii="Times New Roman" w:hAnsi="Times New Roman"/>
          <w:sz w:val="24"/>
          <w:szCs w:val="24"/>
        </w:rPr>
        <w:fldChar w:fldCharType="end"/>
      </w:r>
    </w:p>
    <w:p w14:paraId="43EDFAFC">
      <w:pPr>
        <w:pStyle w:val="22"/>
        <w:tabs>
          <w:tab w:val="right" w:leader="dot" w:pos="9014"/>
        </w:tabs>
        <w:rPr>
          <w:rFonts w:ascii="Times New Roman" w:hAnsi="Times New Roman"/>
          <w:sz w:val="24"/>
          <w:szCs w:val="24"/>
        </w:rPr>
      </w:pPr>
      <w:r>
        <w:fldChar w:fldCharType="begin"/>
      </w:r>
      <w:r>
        <w:instrText xml:space="preserve"> HYPERLINK \l "_Toc25094" </w:instrText>
      </w:r>
      <w:r>
        <w:fldChar w:fldCharType="separate"/>
      </w:r>
      <w:r>
        <w:rPr>
          <w:rFonts w:ascii="Times New Roman" w:hAnsi="Times New Roman"/>
          <w:sz w:val="24"/>
          <w:szCs w:val="24"/>
        </w:rPr>
        <w:t>7.5安全规划的目标</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_Toc25094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1712E4A5">
      <w:pPr>
        <w:pStyle w:val="22"/>
        <w:tabs>
          <w:tab w:val="right" w:leader="dot" w:pos="9014"/>
        </w:tabs>
        <w:rPr>
          <w:rFonts w:ascii="Times New Roman" w:hAnsi="Times New Roman"/>
          <w:sz w:val="24"/>
          <w:szCs w:val="24"/>
        </w:rPr>
      </w:pPr>
      <w:r>
        <w:fldChar w:fldCharType="begin"/>
      </w:r>
      <w:r>
        <w:instrText xml:space="preserve"> HYPERLINK \l "_Toc5589" </w:instrText>
      </w:r>
      <w:r>
        <w:fldChar w:fldCharType="separate"/>
      </w:r>
      <w:r>
        <w:rPr>
          <w:rFonts w:ascii="Times New Roman" w:hAnsi="Times New Roman"/>
          <w:sz w:val="24"/>
          <w:szCs w:val="24"/>
        </w:rPr>
        <w:t>7.6安全规划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_Toc5589 \h </w:instrText>
      </w:r>
      <w:r>
        <w:rPr>
          <w:rFonts w:ascii="Times New Roman" w:hAnsi="Times New Roman"/>
          <w:sz w:val="24"/>
          <w:szCs w:val="24"/>
        </w:rPr>
        <w:fldChar w:fldCharType="separate"/>
      </w:r>
      <w:r>
        <w:rPr>
          <w:rFonts w:ascii="Times New Roman" w:hAnsi="Times New Roman"/>
          <w:sz w:val="24"/>
          <w:szCs w:val="24"/>
        </w:rPr>
        <w:t>118</w:t>
      </w:r>
      <w:r>
        <w:rPr>
          <w:rFonts w:ascii="Times New Roman" w:hAnsi="Times New Roman"/>
          <w:sz w:val="24"/>
          <w:szCs w:val="24"/>
        </w:rPr>
        <w:fldChar w:fldCharType="end"/>
      </w:r>
      <w:r>
        <w:rPr>
          <w:rFonts w:ascii="Times New Roman" w:hAnsi="Times New Roman"/>
          <w:sz w:val="24"/>
          <w:szCs w:val="24"/>
        </w:rPr>
        <w:fldChar w:fldCharType="end"/>
      </w:r>
    </w:p>
    <w:p w14:paraId="74E3681F">
      <w:pPr>
        <w:pStyle w:val="22"/>
        <w:tabs>
          <w:tab w:val="right" w:leader="dot" w:pos="9014"/>
        </w:tabs>
        <w:rPr>
          <w:rFonts w:ascii="Times New Roman" w:hAnsi="Times New Roman"/>
          <w:sz w:val="24"/>
          <w:szCs w:val="24"/>
        </w:rPr>
      </w:pPr>
      <w:r>
        <w:fldChar w:fldCharType="begin"/>
      </w:r>
      <w:r>
        <w:instrText xml:space="preserve"> HYPERLINK \l "_Toc30175" </w:instrText>
      </w:r>
      <w:r>
        <w:fldChar w:fldCharType="separate"/>
      </w:r>
      <w:r>
        <w:rPr>
          <w:rFonts w:ascii="Times New Roman" w:hAnsi="Times New Roman"/>
          <w:sz w:val="24"/>
          <w:szCs w:val="24"/>
        </w:rPr>
        <w:t>7.7应急救援体系规划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_Toc30175 \h </w:instrText>
      </w:r>
      <w:r>
        <w:rPr>
          <w:rFonts w:ascii="Times New Roman" w:hAnsi="Times New Roman"/>
          <w:sz w:val="24"/>
          <w:szCs w:val="24"/>
        </w:rPr>
        <w:fldChar w:fldCharType="separate"/>
      </w:r>
      <w:r>
        <w:rPr>
          <w:rFonts w:ascii="Times New Roman" w:hAnsi="Times New Roman"/>
          <w:sz w:val="24"/>
          <w:szCs w:val="24"/>
        </w:rPr>
        <w:t>132</w:t>
      </w:r>
      <w:r>
        <w:rPr>
          <w:rFonts w:ascii="Times New Roman" w:hAnsi="Times New Roman"/>
          <w:sz w:val="24"/>
          <w:szCs w:val="24"/>
        </w:rPr>
        <w:fldChar w:fldCharType="end"/>
      </w:r>
      <w:r>
        <w:rPr>
          <w:rFonts w:ascii="Times New Roman" w:hAnsi="Times New Roman"/>
          <w:sz w:val="24"/>
          <w:szCs w:val="24"/>
        </w:rPr>
        <w:fldChar w:fldCharType="end"/>
      </w:r>
    </w:p>
    <w:p w14:paraId="1C2CEF65">
      <w:pPr>
        <w:pStyle w:val="22"/>
        <w:tabs>
          <w:tab w:val="right" w:leader="dot" w:pos="9014"/>
        </w:tabs>
        <w:rPr>
          <w:rFonts w:ascii="Times New Roman" w:hAnsi="Times New Roman"/>
          <w:sz w:val="24"/>
          <w:szCs w:val="24"/>
        </w:rPr>
      </w:pPr>
      <w:r>
        <w:fldChar w:fldCharType="begin"/>
      </w:r>
      <w:r>
        <w:instrText xml:space="preserve"> HYPERLINK \l "_Toc23888" </w:instrText>
      </w:r>
      <w:r>
        <w:fldChar w:fldCharType="separate"/>
      </w:r>
      <w:r>
        <w:rPr>
          <w:rFonts w:ascii="Times New Roman" w:hAnsi="Times New Roman"/>
          <w:sz w:val="24"/>
          <w:szCs w:val="24"/>
        </w:rPr>
        <w:t>7.8安全管理规划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_Toc23888 \h </w:instrText>
      </w:r>
      <w:r>
        <w:rPr>
          <w:rFonts w:ascii="Times New Roman" w:hAnsi="Times New Roman"/>
          <w:sz w:val="24"/>
          <w:szCs w:val="24"/>
        </w:rPr>
        <w:fldChar w:fldCharType="separate"/>
      </w:r>
      <w:r>
        <w:rPr>
          <w:rFonts w:ascii="Times New Roman" w:hAnsi="Times New Roman"/>
          <w:sz w:val="24"/>
          <w:szCs w:val="24"/>
        </w:rPr>
        <w:t>139</w:t>
      </w:r>
      <w:r>
        <w:rPr>
          <w:rFonts w:ascii="Times New Roman" w:hAnsi="Times New Roman"/>
          <w:sz w:val="24"/>
          <w:szCs w:val="24"/>
        </w:rPr>
        <w:fldChar w:fldCharType="end"/>
      </w:r>
      <w:r>
        <w:rPr>
          <w:rFonts w:ascii="Times New Roman" w:hAnsi="Times New Roman"/>
          <w:sz w:val="24"/>
          <w:szCs w:val="24"/>
        </w:rPr>
        <w:fldChar w:fldCharType="end"/>
      </w:r>
    </w:p>
    <w:p w14:paraId="55FB9DAF">
      <w:pPr>
        <w:pStyle w:val="22"/>
        <w:tabs>
          <w:tab w:val="right" w:leader="dot" w:pos="9014"/>
        </w:tabs>
        <w:rPr>
          <w:rFonts w:ascii="Times New Roman" w:hAnsi="Times New Roman"/>
          <w:sz w:val="24"/>
          <w:szCs w:val="24"/>
        </w:rPr>
      </w:pPr>
      <w:r>
        <w:fldChar w:fldCharType="begin"/>
      </w:r>
      <w:r>
        <w:instrText xml:space="preserve"> HYPERLINK \l "_Toc25218" </w:instrText>
      </w:r>
      <w:r>
        <w:fldChar w:fldCharType="separate"/>
      </w:r>
      <w:r>
        <w:rPr>
          <w:rFonts w:ascii="Times New Roman" w:hAnsi="Times New Roman"/>
          <w:sz w:val="24"/>
          <w:szCs w:val="24"/>
        </w:rPr>
        <w:t>7.9安全防护规划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_Toc25218 \h </w:instrText>
      </w:r>
      <w:r>
        <w:rPr>
          <w:rFonts w:ascii="Times New Roman" w:hAnsi="Times New Roman"/>
          <w:sz w:val="24"/>
          <w:szCs w:val="24"/>
        </w:rPr>
        <w:fldChar w:fldCharType="separate"/>
      </w:r>
      <w:r>
        <w:rPr>
          <w:rFonts w:ascii="Times New Roman" w:hAnsi="Times New Roman"/>
          <w:sz w:val="24"/>
          <w:szCs w:val="24"/>
        </w:rPr>
        <w:t>149</w:t>
      </w:r>
      <w:r>
        <w:rPr>
          <w:rFonts w:ascii="Times New Roman" w:hAnsi="Times New Roman"/>
          <w:sz w:val="24"/>
          <w:szCs w:val="24"/>
        </w:rPr>
        <w:fldChar w:fldCharType="end"/>
      </w:r>
      <w:r>
        <w:rPr>
          <w:rFonts w:ascii="Times New Roman" w:hAnsi="Times New Roman"/>
          <w:sz w:val="24"/>
          <w:szCs w:val="24"/>
        </w:rPr>
        <w:fldChar w:fldCharType="end"/>
      </w:r>
    </w:p>
    <w:p w14:paraId="70CCB875">
      <w:pPr>
        <w:pStyle w:val="22"/>
        <w:tabs>
          <w:tab w:val="right" w:leader="dot" w:pos="9014"/>
        </w:tabs>
        <w:rPr>
          <w:rFonts w:ascii="Times New Roman" w:hAnsi="Times New Roman"/>
          <w:sz w:val="24"/>
          <w:szCs w:val="24"/>
        </w:rPr>
      </w:pPr>
      <w:r>
        <w:fldChar w:fldCharType="begin"/>
      </w:r>
      <w:r>
        <w:instrText xml:space="preserve"> HYPERLINK \l "_Toc27088" </w:instrText>
      </w:r>
      <w:r>
        <w:fldChar w:fldCharType="separate"/>
      </w:r>
      <w:r>
        <w:rPr>
          <w:rFonts w:ascii="Times New Roman" w:hAnsi="Times New Roman"/>
          <w:sz w:val="24"/>
          <w:szCs w:val="24"/>
        </w:rPr>
        <w:t>7.10职业卫生防护规划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_Toc27088 \h </w:instrText>
      </w:r>
      <w:r>
        <w:rPr>
          <w:rFonts w:ascii="Times New Roman" w:hAnsi="Times New Roman"/>
          <w:sz w:val="24"/>
          <w:szCs w:val="24"/>
        </w:rPr>
        <w:fldChar w:fldCharType="separate"/>
      </w:r>
      <w:r>
        <w:rPr>
          <w:rFonts w:ascii="Times New Roman" w:hAnsi="Times New Roman"/>
          <w:sz w:val="24"/>
          <w:szCs w:val="24"/>
        </w:rPr>
        <w:t>152</w:t>
      </w:r>
      <w:r>
        <w:rPr>
          <w:rFonts w:ascii="Times New Roman" w:hAnsi="Times New Roman"/>
          <w:sz w:val="24"/>
          <w:szCs w:val="24"/>
        </w:rPr>
        <w:fldChar w:fldCharType="end"/>
      </w:r>
      <w:r>
        <w:rPr>
          <w:rFonts w:ascii="Times New Roman" w:hAnsi="Times New Roman"/>
          <w:sz w:val="24"/>
          <w:szCs w:val="24"/>
        </w:rPr>
        <w:fldChar w:fldCharType="end"/>
      </w:r>
    </w:p>
    <w:p w14:paraId="6CC22AC6">
      <w:pPr>
        <w:pStyle w:val="20"/>
        <w:tabs>
          <w:tab w:val="right" w:leader="dot" w:pos="9014"/>
        </w:tabs>
        <w:rPr>
          <w:rFonts w:ascii="Times New Roman" w:hAnsi="Times New Roman"/>
          <w:sz w:val="24"/>
          <w:szCs w:val="24"/>
        </w:rPr>
      </w:pPr>
      <w:r>
        <w:fldChar w:fldCharType="begin"/>
      </w:r>
      <w:r>
        <w:instrText xml:space="preserve"> HYPERLINK \l "_Toc29413" </w:instrText>
      </w:r>
      <w:r>
        <w:fldChar w:fldCharType="separate"/>
      </w:r>
      <w:r>
        <w:rPr>
          <w:rFonts w:ascii="Times New Roman" w:hAnsi="Times New Roman"/>
          <w:sz w:val="24"/>
          <w:szCs w:val="24"/>
        </w:rPr>
        <w:t>8 消防救援规划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_Toc29413 \h </w:instrText>
      </w:r>
      <w:r>
        <w:rPr>
          <w:rFonts w:ascii="Times New Roman" w:hAnsi="Times New Roman"/>
          <w:sz w:val="24"/>
          <w:szCs w:val="24"/>
        </w:rPr>
        <w:fldChar w:fldCharType="separate"/>
      </w:r>
      <w:r>
        <w:rPr>
          <w:rFonts w:ascii="Times New Roman" w:hAnsi="Times New Roman"/>
          <w:sz w:val="24"/>
          <w:szCs w:val="24"/>
        </w:rPr>
        <w:t>153</w:t>
      </w:r>
      <w:r>
        <w:rPr>
          <w:rFonts w:ascii="Times New Roman" w:hAnsi="Times New Roman"/>
          <w:sz w:val="24"/>
          <w:szCs w:val="24"/>
        </w:rPr>
        <w:fldChar w:fldCharType="end"/>
      </w:r>
      <w:r>
        <w:rPr>
          <w:rFonts w:ascii="Times New Roman" w:hAnsi="Times New Roman"/>
          <w:sz w:val="24"/>
          <w:szCs w:val="24"/>
        </w:rPr>
        <w:fldChar w:fldCharType="end"/>
      </w:r>
    </w:p>
    <w:p w14:paraId="056713F1">
      <w:pPr>
        <w:pStyle w:val="22"/>
        <w:tabs>
          <w:tab w:val="right" w:leader="dot" w:pos="9014"/>
        </w:tabs>
        <w:rPr>
          <w:rFonts w:ascii="Times New Roman" w:hAnsi="Times New Roman"/>
          <w:sz w:val="24"/>
          <w:szCs w:val="24"/>
        </w:rPr>
      </w:pPr>
      <w:r>
        <w:fldChar w:fldCharType="begin"/>
      </w:r>
      <w:r>
        <w:instrText xml:space="preserve"> HYPERLINK \l "_Toc3988" </w:instrText>
      </w:r>
      <w:r>
        <w:fldChar w:fldCharType="separate"/>
      </w:r>
      <w:r>
        <w:rPr>
          <w:rFonts w:ascii="Times New Roman" w:hAnsi="Times New Roman"/>
          <w:sz w:val="24"/>
          <w:szCs w:val="24"/>
        </w:rPr>
        <w:t>8.1主要危险有害因素分析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_Toc3988 \h </w:instrText>
      </w:r>
      <w:r>
        <w:rPr>
          <w:rFonts w:ascii="Times New Roman" w:hAnsi="Times New Roman"/>
          <w:sz w:val="24"/>
          <w:szCs w:val="24"/>
        </w:rPr>
        <w:fldChar w:fldCharType="separate"/>
      </w:r>
      <w:r>
        <w:rPr>
          <w:rFonts w:ascii="Times New Roman" w:hAnsi="Times New Roman"/>
          <w:sz w:val="24"/>
          <w:szCs w:val="24"/>
        </w:rPr>
        <w:t>153</w:t>
      </w:r>
      <w:r>
        <w:rPr>
          <w:rFonts w:ascii="Times New Roman" w:hAnsi="Times New Roman"/>
          <w:sz w:val="24"/>
          <w:szCs w:val="24"/>
        </w:rPr>
        <w:fldChar w:fldCharType="end"/>
      </w:r>
      <w:r>
        <w:rPr>
          <w:rFonts w:ascii="Times New Roman" w:hAnsi="Times New Roman"/>
          <w:sz w:val="24"/>
          <w:szCs w:val="24"/>
        </w:rPr>
        <w:fldChar w:fldCharType="end"/>
      </w:r>
    </w:p>
    <w:p w14:paraId="53FDC604">
      <w:pPr>
        <w:pStyle w:val="22"/>
        <w:tabs>
          <w:tab w:val="right" w:leader="dot" w:pos="9014"/>
        </w:tabs>
        <w:rPr>
          <w:rFonts w:ascii="Times New Roman" w:hAnsi="Times New Roman"/>
          <w:sz w:val="24"/>
          <w:szCs w:val="24"/>
        </w:rPr>
      </w:pPr>
      <w:r>
        <w:fldChar w:fldCharType="begin"/>
      </w:r>
      <w:r>
        <w:instrText xml:space="preserve"> HYPERLINK \l "_Toc14632" </w:instrText>
      </w:r>
      <w:r>
        <w:fldChar w:fldCharType="separate"/>
      </w:r>
      <w:r>
        <w:rPr>
          <w:rFonts w:ascii="Times New Roman" w:hAnsi="Times New Roman"/>
          <w:sz w:val="24"/>
          <w:szCs w:val="24"/>
        </w:rPr>
        <w:t>8.2消防救援规划的目的</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_Toc14632 \h </w:instrText>
      </w:r>
      <w:r>
        <w:rPr>
          <w:rFonts w:ascii="Times New Roman" w:hAnsi="Times New Roman"/>
          <w:sz w:val="24"/>
          <w:szCs w:val="24"/>
        </w:rPr>
        <w:fldChar w:fldCharType="separate"/>
      </w:r>
      <w:r>
        <w:rPr>
          <w:rFonts w:ascii="Times New Roman" w:hAnsi="Times New Roman"/>
          <w:sz w:val="24"/>
          <w:szCs w:val="24"/>
        </w:rPr>
        <w:t>154</w:t>
      </w:r>
      <w:r>
        <w:rPr>
          <w:rFonts w:ascii="Times New Roman" w:hAnsi="Times New Roman"/>
          <w:sz w:val="24"/>
          <w:szCs w:val="24"/>
        </w:rPr>
        <w:fldChar w:fldCharType="end"/>
      </w:r>
      <w:r>
        <w:rPr>
          <w:rFonts w:ascii="Times New Roman" w:hAnsi="Times New Roman"/>
          <w:sz w:val="24"/>
          <w:szCs w:val="24"/>
        </w:rPr>
        <w:fldChar w:fldCharType="end"/>
      </w:r>
    </w:p>
    <w:p w14:paraId="16968217">
      <w:pPr>
        <w:pStyle w:val="22"/>
        <w:tabs>
          <w:tab w:val="right" w:leader="dot" w:pos="9014"/>
        </w:tabs>
        <w:rPr>
          <w:rFonts w:ascii="Times New Roman" w:hAnsi="Times New Roman"/>
          <w:sz w:val="24"/>
          <w:szCs w:val="24"/>
        </w:rPr>
      </w:pPr>
      <w:r>
        <w:fldChar w:fldCharType="begin"/>
      </w:r>
      <w:r>
        <w:instrText xml:space="preserve"> HYPERLINK \l "_Toc16474" </w:instrText>
      </w:r>
      <w:r>
        <w:fldChar w:fldCharType="separate"/>
      </w:r>
      <w:r>
        <w:rPr>
          <w:rFonts w:ascii="Times New Roman" w:hAnsi="Times New Roman"/>
          <w:sz w:val="24"/>
          <w:szCs w:val="24"/>
        </w:rPr>
        <w:t>8.3消防救援规划的依据</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_Toc16474 \h </w:instrText>
      </w:r>
      <w:r>
        <w:rPr>
          <w:rFonts w:ascii="Times New Roman" w:hAnsi="Times New Roman"/>
          <w:sz w:val="24"/>
          <w:szCs w:val="24"/>
        </w:rPr>
        <w:fldChar w:fldCharType="separate"/>
      </w:r>
      <w:r>
        <w:rPr>
          <w:rFonts w:ascii="Times New Roman" w:hAnsi="Times New Roman"/>
          <w:sz w:val="24"/>
          <w:szCs w:val="24"/>
        </w:rPr>
        <w:t>154</w:t>
      </w:r>
      <w:r>
        <w:rPr>
          <w:rFonts w:ascii="Times New Roman" w:hAnsi="Times New Roman"/>
          <w:sz w:val="24"/>
          <w:szCs w:val="24"/>
        </w:rPr>
        <w:fldChar w:fldCharType="end"/>
      </w:r>
      <w:r>
        <w:rPr>
          <w:rFonts w:ascii="Times New Roman" w:hAnsi="Times New Roman"/>
          <w:sz w:val="24"/>
          <w:szCs w:val="24"/>
        </w:rPr>
        <w:fldChar w:fldCharType="end"/>
      </w:r>
    </w:p>
    <w:p w14:paraId="770940F7">
      <w:pPr>
        <w:pStyle w:val="22"/>
        <w:tabs>
          <w:tab w:val="right" w:leader="dot" w:pos="9014"/>
        </w:tabs>
        <w:rPr>
          <w:rFonts w:ascii="Times New Roman" w:hAnsi="Times New Roman"/>
          <w:sz w:val="24"/>
          <w:szCs w:val="24"/>
        </w:rPr>
      </w:pPr>
      <w:r>
        <w:fldChar w:fldCharType="begin"/>
      </w:r>
      <w:r>
        <w:instrText xml:space="preserve"> HYPERLINK \l "_Toc23807" </w:instrText>
      </w:r>
      <w:r>
        <w:fldChar w:fldCharType="separate"/>
      </w:r>
      <w:r>
        <w:rPr>
          <w:rFonts w:ascii="Times New Roman" w:hAnsi="Times New Roman"/>
          <w:sz w:val="24"/>
          <w:szCs w:val="24"/>
        </w:rPr>
        <w:t>8.4消防救援规划</w:t>
      </w:r>
      <w:r>
        <w:rPr>
          <w:rFonts w:ascii="Times New Roman" w:hAnsi="Times New Roman"/>
          <w:sz w:val="24"/>
          <w:szCs w:val="24"/>
          <w:lang w:val="zh-CN"/>
        </w:rPr>
        <w:t>主要建设内容</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_Toc23807 \h </w:instrText>
      </w:r>
      <w:r>
        <w:rPr>
          <w:rFonts w:ascii="Times New Roman" w:hAnsi="Times New Roman"/>
          <w:sz w:val="24"/>
          <w:szCs w:val="24"/>
        </w:rPr>
        <w:fldChar w:fldCharType="separate"/>
      </w:r>
      <w:r>
        <w:rPr>
          <w:rFonts w:ascii="Times New Roman" w:hAnsi="Times New Roman"/>
          <w:sz w:val="24"/>
          <w:szCs w:val="24"/>
        </w:rPr>
        <w:t>155</w:t>
      </w:r>
      <w:r>
        <w:rPr>
          <w:rFonts w:ascii="Times New Roman" w:hAnsi="Times New Roman"/>
          <w:sz w:val="24"/>
          <w:szCs w:val="24"/>
        </w:rPr>
        <w:fldChar w:fldCharType="end"/>
      </w:r>
      <w:r>
        <w:rPr>
          <w:rFonts w:ascii="Times New Roman" w:hAnsi="Times New Roman"/>
          <w:sz w:val="24"/>
          <w:szCs w:val="24"/>
        </w:rPr>
        <w:fldChar w:fldCharType="end"/>
      </w:r>
    </w:p>
    <w:p w14:paraId="372FAF20">
      <w:pPr>
        <w:pStyle w:val="20"/>
        <w:tabs>
          <w:tab w:val="right" w:leader="dot" w:pos="9014"/>
        </w:tabs>
        <w:rPr>
          <w:rFonts w:ascii="Times New Roman" w:hAnsi="Times New Roman"/>
          <w:sz w:val="24"/>
          <w:szCs w:val="24"/>
        </w:rPr>
      </w:pPr>
      <w:r>
        <w:fldChar w:fldCharType="begin"/>
      </w:r>
      <w:r>
        <w:instrText xml:space="preserve"> HYPERLINK \l "_Toc20626" </w:instrText>
      </w:r>
      <w:r>
        <w:fldChar w:fldCharType="separate"/>
      </w:r>
      <w:r>
        <w:rPr>
          <w:rFonts w:ascii="Times New Roman" w:hAnsi="Times New Roman"/>
          <w:sz w:val="24"/>
          <w:szCs w:val="24"/>
        </w:rPr>
        <w:t>9、综合防灾减灾规划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_Toc20626 \h </w:instrText>
      </w:r>
      <w:r>
        <w:rPr>
          <w:rFonts w:ascii="Times New Roman" w:hAnsi="Times New Roman"/>
          <w:sz w:val="24"/>
          <w:szCs w:val="24"/>
        </w:rPr>
        <w:fldChar w:fldCharType="separate"/>
      </w:r>
      <w:r>
        <w:rPr>
          <w:rFonts w:ascii="Times New Roman" w:hAnsi="Times New Roman"/>
          <w:sz w:val="24"/>
          <w:szCs w:val="24"/>
        </w:rPr>
        <w:t>166</w:t>
      </w:r>
      <w:r>
        <w:rPr>
          <w:rFonts w:ascii="Times New Roman" w:hAnsi="Times New Roman"/>
          <w:sz w:val="24"/>
          <w:szCs w:val="24"/>
        </w:rPr>
        <w:fldChar w:fldCharType="end"/>
      </w:r>
      <w:r>
        <w:rPr>
          <w:rFonts w:ascii="Times New Roman" w:hAnsi="Times New Roman"/>
          <w:sz w:val="24"/>
          <w:szCs w:val="24"/>
        </w:rPr>
        <w:fldChar w:fldCharType="end"/>
      </w:r>
    </w:p>
    <w:p w14:paraId="00E2ABA4">
      <w:pPr>
        <w:pStyle w:val="22"/>
        <w:tabs>
          <w:tab w:val="right" w:leader="dot" w:pos="9014"/>
        </w:tabs>
        <w:rPr>
          <w:rFonts w:ascii="Times New Roman" w:hAnsi="Times New Roman"/>
          <w:sz w:val="24"/>
          <w:szCs w:val="24"/>
        </w:rPr>
      </w:pPr>
      <w:r>
        <w:fldChar w:fldCharType="begin"/>
      </w:r>
      <w:r>
        <w:instrText xml:space="preserve"> HYPERLINK \l "_Toc14534" </w:instrText>
      </w:r>
      <w:r>
        <w:fldChar w:fldCharType="separate"/>
      </w:r>
      <w:r>
        <w:rPr>
          <w:rFonts w:ascii="Times New Roman" w:hAnsi="Times New Roman"/>
          <w:sz w:val="24"/>
          <w:szCs w:val="24"/>
        </w:rPr>
        <w:t>9.1现状分析</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_Toc14534 \h </w:instrText>
      </w:r>
      <w:r>
        <w:rPr>
          <w:rFonts w:ascii="Times New Roman" w:hAnsi="Times New Roman"/>
          <w:sz w:val="24"/>
          <w:szCs w:val="24"/>
        </w:rPr>
        <w:fldChar w:fldCharType="separate"/>
      </w:r>
      <w:r>
        <w:rPr>
          <w:rFonts w:ascii="Times New Roman" w:hAnsi="Times New Roman"/>
          <w:sz w:val="24"/>
          <w:szCs w:val="24"/>
        </w:rPr>
        <w:t>166</w:t>
      </w:r>
      <w:r>
        <w:rPr>
          <w:rFonts w:ascii="Times New Roman" w:hAnsi="Times New Roman"/>
          <w:sz w:val="24"/>
          <w:szCs w:val="24"/>
        </w:rPr>
        <w:fldChar w:fldCharType="end"/>
      </w:r>
      <w:r>
        <w:rPr>
          <w:rFonts w:ascii="Times New Roman" w:hAnsi="Times New Roman"/>
          <w:sz w:val="24"/>
          <w:szCs w:val="24"/>
        </w:rPr>
        <w:fldChar w:fldCharType="end"/>
      </w:r>
    </w:p>
    <w:p w14:paraId="08C8F5BF">
      <w:pPr>
        <w:pStyle w:val="22"/>
        <w:tabs>
          <w:tab w:val="right" w:leader="dot" w:pos="9014"/>
        </w:tabs>
        <w:rPr>
          <w:rFonts w:ascii="Times New Roman" w:hAnsi="Times New Roman"/>
          <w:sz w:val="24"/>
          <w:szCs w:val="24"/>
        </w:rPr>
      </w:pPr>
      <w:r>
        <w:fldChar w:fldCharType="begin"/>
      </w:r>
      <w:r>
        <w:instrText xml:space="preserve"> HYPERLINK \l "_Toc6418" </w:instrText>
      </w:r>
      <w:r>
        <w:fldChar w:fldCharType="separate"/>
      </w:r>
      <w:r>
        <w:rPr>
          <w:rFonts w:ascii="Times New Roman" w:hAnsi="Times New Roman"/>
          <w:sz w:val="24"/>
          <w:szCs w:val="24"/>
        </w:rPr>
        <w:t>9.2园区“两重点一重大”辨识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_Toc6418 \h </w:instrText>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r>
        <w:rPr>
          <w:rFonts w:ascii="Times New Roman" w:hAnsi="Times New Roman"/>
          <w:sz w:val="24"/>
          <w:szCs w:val="24"/>
        </w:rPr>
        <w:fldChar w:fldCharType="end"/>
      </w:r>
    </w:p>
    <w:p w14:paraId="21376FCA">
      <w:pPr>
        <w:pStyle w:val="22"/>
        <w:tabs>
          <w:tab w:val="right" w:leader="dot" w:pos="9014"/>
        </w:tabs>
        <w:rPr>
          <w:rFonts w:ascii="Times New Roman" w:hAnsi="Times New Roman"/>
          <w:sz w:val="24"/>
          <w:szCs w:val="24"/>
        </w:rPr>
      </w:pPr>
      <w:r>
        <w:fldChar w:fldCharType="begin"/>
      </w:r>
      <w:r>
        <w:instrText xml:space="preserve"> HYPERLINK \l "_Toc18530" </w:instrText>
      </w:r>
      <w:r>
        <w:fldChar w:fldCharType="separate"/>
      </w:r>
      <w:r>
        <w:rPr>
          <w:rFonts w:ascii="Times New Roman" w:hAnsi="Times New Roman"/>
          <w:sz w:val="24"/>
          <w:szCs w:val="24"/>
        </w:rPr>
        <w:t>9.3重大危险源选址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_Toc18530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11977910">
      <w:pPr>
        <w:pStyle w:val="22"/>
        <w:tabs>
          <w:tab w:val="right" w:leader="dot" w:pos="9014"/>
        </w:tabs>
        <w:rPr>
          <w:rFonts w:ascii="Times New Roman" w:hAnsi="Times New Roman"/>
          <w:sz w:val="24"/>
          <w:szCs w:val="24"/>
        </w:rPr>
      </w:pPr>
      <w:r>
        <w:fldChar w:fldCharType="begin"/>
      </w:r>
      <w:r>
        <w:instrText xml:space="preserve"> HYPERLINK \l "_Toc14604" </w:instrText>
      </w:r>
      <w:r>
        <w:fldChar w:fldCharType="separate"/>
      </w:r>
      <w:r>
        <w:rPr>
          <w:rFonts w:ascii="Times New Roman" w:hAnsi="Times New Roman"/>
          <w:sz w:val="24"/>
          <w:szCs w:val="24"/>
        </w:rPr>
        <w:t>9.4园区内企业定量风险评价</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_Toc14604 \h </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r>
        <w:rPr>
          <w:rFonts w:ascii="Times New Roman" w:hAnsi="Times New Roman"/>
          <w:sz w:val="24"/>
          <w:szCs w:val="24"/>
        </w:rPr>
        <w:fldChar w:fldCharType="end"/>
      </w:r>
    </w:p>
    <w:p w14:paraId="0B4691BB">
      <w:pPr>
        <w:pStyle w:val="22"/>
        <w:tabs>
          <w:tab w:val="right" w:leader="dot" w:pos="9014"/>
        </w:tabs>
        <w:rPr>
          <w:rFonts w:ascii="Times New Roman" w:hAnsi="Times New Roman"/>
          <w:sz w:val="24"/>
          <w:szCs w:val="24"/>
        </w:rPr>
      </w:pPr>
      <w:r>
        <w:fldChar w:fldCharType="begin"/>
      </w:r>
      <w:r>
        <w:instrText xml:space="preserve"> HYPERLINK \l "_Toc23983" </w:instrText>
      </w:r>
      <w:r>
        <w:fldChar w:fldCharType="separate"/>
      </w:r>
      <w:r>
        <w:rPr>
          <w:rFonts w:ascii="Times New Roman" w:hAnsi="Times New Roman"/>
          <w:sz w:val="24"/>
          <w:szCs w:val="24"/>
        </w:rPr>
        <w:t>9.5化工园区消防安全布局</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_Toc23983 \h </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r>
        <w:rPr>
          <w:rFonts w:ascii="Times New Roman" w:hAnsi="Times New Roman"/>
          <w:sz w:val="24"/>
          <w:szCs w:val="24"/>
        </w:rPr>
        <w:fldChar w:fldCharType="end"/>
      </w:r>
    </w:p>
    <w:p w14:paraId="4CF27D99">
      <w:pPr>
        <w:pStyle w:val="22"/>
        <w:tabs>
          <w:tab w:val="right" w:leader="dot" w:pos="9014"/>
        </w:tabs>
        <w:rPr>
          <w:rFonts w:ascii="Times New Roman" w:hAnsi="Times New Roman"/>
          <w:sz w:val="24"/>
          <w:szCs w:val="24"/>
        </w:rPr>
      </w:pPr>
      <w:r>
        <w:fldChar w:fldCharType="begin"/>
      </w:r>
      <w:r>
        <w:instrText xml:space="preserve"> HYPERLINK \l "_Toc29839" </w:instrText>
      </w:r>
      <w:r>
        <w:fldChar w:fldCharType="separate"/>
      </w:r>
      <w:r>
        <w:rPr>
          <w:rFonts w:ascii="Times New Roman" w:hAnsi="Times New Roman"/>
          <w:sz w:val="24"/>
          <w:szCs w:val="24"/>
        </w:rPr>
        <w:t>9.6重大事故应急救援体系建设</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_Toc29839 \h </w:instrText>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r>
        <w:rPr>
          <w:rFonts w:ascii="Times New Roman" w:hAnsi="Times New Roman"/>
          <w:sz w:val="24"/>
          <w:szCs w:val="24"/>
        </w:rPr>
        <w:fldChar w:fldCharType="end"/>
      </w:r>
    </w:p>
    <w:p w14:paraId="2D737D60">
      <w:pPr>
        <w:pStyle w:val="22"/>
        <w:tabs>
          <w:tab w:val="right" w:leader="dot" w:pos="9014"/>
        </w:tabs>
        <w:rPr>
          <w:rFonts w:ascii="Times New Roman" w:hAnsi="Times New Roman"/>
          <w:sz w:val="24"/>
          <w:szCs w:val="24"/>
        </w:rPr>
      </w:pPr>
      <w:r>
        <w:fldChar w:fldCharType="begin"/>
      </w:r>
      <w:r>
        <w:instrText xml:space="preserve"> HYPERLINK \l "_Toc10116" </w:instrText>
      </w:r>
      <w:r>
        <w:fldChar w:fldCharType="separate"/>
      </w:r>
      <w:r>
        <w:rPr>
          <w:rFonts w:ascii="Times New Roman" w:hAnsi="Times New Roman"/>
          <w:sz w:val="24"/>
          <w:szCs w:val="24"/>
        </w:rPr>
        <w:t>9.7监督管理</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_Toc10116 \h </w:instrText>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r>
        <w:rPr>
          <w:rFonts w:ascii="Times New Roman" w:hAnsi="Times New Roman"/>
          <w:sz w:val="24"/>
          <w:szCs w:val="24"/>
        </w:rPr>
        <w:fldChar w:fldCharType="end"/>
      </w:r>
    </w:p>
    <w:p w14:paraId="59DFB004">
      <w:pPr>
        <w:pStyle w:val="20"/>
        <w:tabs>
          <w:tab w:val="right" w:leader="dot" w:pos="9014"/>
        </w:tabs>
        <w:rPr>
          <w:rFonts w:ascii="Times New Roman" w:hAnsi="Times New Roman"/>
          <w:sz w:val="24"/>
          <w:szCs w:val="24"/>
        </w:rPr>
      </w:pPr>
      <w:r>
        <w:fldChar w:fldCharType="begin"/>
      </w:r>
      <w:r>
        <w:instrText xml:space="preserve"> HYPERLINK \l "_Toc22037" </w:instrText>
      </w:r>
      <w:r>
        <w:fldChar w:fldCharType="separate"/>
      </w:r>
      <w:r>
        <w:rPr>
          <w:rFonts w:ascii="Times New Roman" w:hAnsi="Times New Roman"/>
          <w:sz w:val="24"/>
          <w:szCs w:val="24"/>
        </w:rPr>
        <w:t>10、基础设施规划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_Toc22037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35975ACC">
      <w:pPr>
        <w:pStyle w:val="22"/>
        <w:tabs>
          <w:tab w:val="right" w:leader="dot" w:pos="9014"/>
        </w:tabs>
        <w:rPr>
          <w:rFonts w:ascii="Times New Roman" w:hAnsi="Times New Roman"/>
          <w:sz w:val="24"/>
          <w:szCs w:val="24"/>
        </w:rPr>
      </w:pPr>
      <w:r>
        <w:fldChar w:fldCharType="begin"/>
      </w:r>
      <w:r>
        <w:instrText xml:space="preserve"> HYPERLINK \l "_Toc10630" </w:instrText>
      </w:r>
      <w:r>
        <w:fldChar w:fldCharType="separate"/>
      </w:r>
      <w:r>
        <w:rPr>
          <w:rFonts w:ascii="Times New Roman" w:hAnsi="Times New Roman"/>
          <w:sz w:val="24"/>
          <w:szCs w:val="24"/>
        </w:rPr>
        <w:t>10.1 基础设施规划思路</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_Toc10630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2F9BE098">
      <w:pPr>
        <w:pStyle w:val="22"/>
        <w:tabs>
          <w:tab w:val="right" w:leader="dot" w:pos="9014"/>
        </w:tabs>
        <w:rPr>
          <w:rFonts w:ascii="Times New Roman" w:hAnsi="Times New Roman"/>
          <w:sz w:val="24"/>
          <w:szCs w:val="24"/>
        </w:rPr>
      </w:pPr>
      <w:r>
        <w:fldChar w:fldCharType="begin"/>
      </w:r>
      <w:r>
        <w:instrText xml:space="preserve"> HYPERLINK \l "_Toc12664" </w:instrText>
      </w:r>
      <w:r>
        <w:fldChar w:fldCharType="separate"/>
      </w:r>
      <w:r>
        <w:rPr>
          <w:rFonts w:ascii="Times New Roman" w:hAnsi="Times New Roman"/>
          <w:sz w:val="24"/>
          <w:szCs w:val="24"/>
        </w:rPr>
        <w:t>10.2 交通基础设施规划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_Toc12664 \h </w:instrText>
      </w:r>
      <w:r>
        <w:rPr>
          <w:rFonts w:ascii="Times New Roman" w:hAnsi="Times New Roman"/>
          <w:sz w:val="24"/>
          <w:szCs w:val="24"/>
        </w:rPr>
        <w:fldChar w:fldCharType="separate"/>
      </w:r>
      <w:r>
        <w:rPr>
          <w:rFonts w:ascii="Times New Roman" w:hAnsi="Times New Roman"/>
          <w:sz w:val="24"/>
          <w:szCs w:val="24"/>
        </w:rPr>
        <w:t>22</w:t>
      </w:r>
      <w:r>
        <w:rPr>
          <w:rFonts w:ascii="Times New Roman" w:hAnsi="Times New Roman"/>
          <w:sz w:val="24"/>
          <w:szCs w:val="24"/>
        </w:rPr>
        <w:fldChar w:fldCharType="end"/>
      </w:r>
      <w:r>
        <w:rPr>
          <w:rFonts w:ascii="Times New Roman" w:hAnsi="Times New Roman"/>
          <w:sz w:val="24"/>
          <w:szCs w:val="24"/>
        </w:rPr>
        <w:fldChar w:fldCharType="end"/>
      </w:r>
    </w:p>
    <w:p w14:paraId="19D23732">
      <w:pPr>
        <w:pStyle w:val="22"/>
        <w:tabs>
          <w:tab w:val="right" w:leader="dot" w:pos="9014"/>
        </w:tabs>
        <w:rPr>
          <w:rFonts w:ascii="Times New Roman" w:hAnsi="Times New Roman"/>
          <w:sz w:val="24"/>
          <w:szCs w:val="24"/>
        </w:rPr>
      </w:pPr>
      <w:r>
        <w:fldChar w:fldCharType="begin"/>
      </w:r>
      <w:r>
        <w:instrText xml:space="preserve"> HYPERLINK \l "_Toc29638" </w:instrText>
      </w:r>
      <w:r>
        <w:fldChar w:fldCharType="separate"/>
      </w:r>
      <w:r>
        <w:rPr>
          <w:rFonts w:ascii="Times New Roman" w:hAnsi="Times New Roman"/>
          <w:sz w:val="24"/>
          <w:szCs w:val="24"/>
        </w:rPr>
        <w:t>10.3 供热基础设施规划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_Toc29638 \h </w:instrText>
      </w:r>
      <w:r>
        <w:rPr>
          <w:rFonts w:ascii="Times New Roman" w:hAnsi="Times New Roman"/>
          <w:sz w:val="24"/>
          <w:szCs w:val="24"/>
        </w:rPr>
        <w:fldChar w:fldCharType="separate"/>
      </w:r>
      <w:r>
        <w:rPr>
          <w:rFonts w:ascii="Times New Roman" w:hAnsi="Times New Roman"/>
          <w:sz w:val="24"/>
          <w:szCs w:val="24"/>
        </w:rPr>
        <w:t>23</w:t>
      </w:r>
      <w:r>
        <w:rPr>
          <w:rFonts w:ascii="Times New Roman" w:hAnsi="Times New Roman"/>
          <w:sz w:val="24"/>
          <w:szCs w:val="24"/>
        </w:rPr>
        <w:fldChar w:fldCharType="end"/>
      </w:r>
      <w:r>
        <w:rPr>
          <w:rFonts w:ascii="Times New Roman" w:hAnsi="Times New Roman"/>
          <w:sz w:val="24"/>
          <w:szCs w:val="24"/>
        </w:rPr>
        <w:fldChar w:fldCharType="end"/>
      </w:r>
    </w:p>
    <w:p w14:paraId="30F73955">
      <w:pPr>
        <w:pStyle w:val="22"/>
        <w:tabs>
          <w:tab w:val="right" w:leader="dot" w:pos="9014"/>
        </w:tabs>
        <w:rPr>
          <w:rFonts w:ascii="Times New Roman" w:hAnsi="Times New Roman"/>
          <w:sz w:val="24"/>
          <w:szCs w:val="24"/>
        </w:rPr>
      </w:pPr>
      <w:r>
        <w:fldChar w:fldCharType="begin"/>
      </w:r>
      <w:r>
        <w:instrText xml:space="preserve"> HYPERLINK \l "_Toc15258" </w:instrText>
      </w:r>
      <w:r>
        <w:fldChar w:fldCharType="separate"/>
      </w:r>
      <w:r>
        <w:rPr>
          <w:rFonts w:ascii="Times New Roman" w:hAnsi="Times New Roman"/>
          <w:bCs/>
          <w:sz w:val="24"/>
          <w:szCs w:val="24"/>
        </w:rPr>
        <w:t>10.4 供排水基础设施规划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_Toc15258 \h </w:instrText>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r>
        <w:rPr>
          <w:rFonts w:ascii="Times New Roman" w:hAnsi="Times New Roman"/>
          <w:sz w:val="24"/>
          <w:szCs w:val="24"/>
        </w:rPr>
        <w:fldChar w:fldCharType="end"/>
      </w:r>
    </w:p>
    <w:p w14:paraId="59E65104">
      <w:pPr>
        <w:pStyle w:val="22"/>
        <w:tabs>
          <w:tab w:val="right" w:leader="dot" w:pos="9014"/>
        </w:tabs>
        <w:rPr>
          <w:rFonts w:ascii="Times New Roman" w:hAnsi="Times New Roman"/>
          <w:sz w:val="24"/>
          <w:szCs w:val="24"/>
        </w:rPr>
      </w:pPr>
      <w:r>
        <w:fldChar w:fldCharType="begin"/>
      </w:r>
      <w:r>
        <w:instrText xml:space="preserve"> HYPERLINK \l "_Toc8273" </w:instrText>
      </w:r>
      <w:r>
        <w:fldChar w:fldCharType="separate"/>
      </w:r>
      <w:r>
        <w:rPr>
          <w:rFonts w:ascii="Times New Roman" w:hAnsi="Times New Roman"/>
          <w:sz w:val="24"/>
          <w:szCs w:val="24"/>
        </w:rPr>
        <w:t>10.5 供电基础设施规划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_Toc8273 \h </w:instrText>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r>
        <w:rPr>
          <w:rFonts w:ascii="Times New Roman" w:hAnsi="Times New Roman"/>
          <w:sz w:val="24"/>
          <w:szCs w:val="24"/>
        </w:rPr>
        <w:fldChar w:fldCharType="end"/>
      </w:r>
    </w:p>
    <w:p w14:paraId="020E0619">
      <w:pPr>
        <w:pStyle w:val="22"/>
        <w:tabs>
          <w:tab w:val="right" w:leader="dot" w:pos="9014"/>
        </w:tabs>
        <w:rPr>
          <w:rFonts w:ascii="Times New Roman" w:hAnsi="Times New Roman"/>
          <w:sz w:val="24"/>
          <w:szCs w:val="24"/>
        </w:rPr>
      </w:pPr>
      <w:r>
        <w:fldChar w:fldCharType="begin"/>
      </w:r>
      <w:r>
        <w:instrText xml:space="preserve"> HYPERLINK \l "_Toc17478" </w:instrText>
      </w:r>
      <w:r>
        <w:fldChar w:fldCharType="separate"/>
      </w:r>
      <w:r>
        <w:rPr>
          <w:rFonts w:ascii="Times New Roman" w:hAnsi="Times New Roman"/>
          <w:sz w:val="24"/>
          <w:szCs w:val="24"/>
        </w:rPr>
        <w:t>10.6 电信邮政基础设施规划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_Toc17478 \h </w:instrText>
      </w:r>
      <w:r>
        <w:rPr>
          <w:rFonts w:ascii="Times New Roman" w:hAnsi="Times New Roman"/>
          <w:sz w:val="24"/>
          <w:szCs w:val="24"/>
        </w:rPr>
        <w:fldChar w:fldCharType="separate"/>
      </w:r>
      <w:r>
        <w:rPr>
          <w:rFonts w:ascii="Times New Roman" w:hAnsi="Times New Roman"/>
          <w:sz w:val="24"/>
          <w:szCs w:val="24"/>
        </w:rPr>
        <w:t>27</w:t>
      </w:r>
      <w:r>
        <w:rPr>
          <w:rFonts w:ascii="Times New Roman" w:hAnsi="Times New Roman"/>
          <w:sz w:val="24"/>
          <w:szCs w:val="24"/>
        </w:rPr>
        <w:fldChar w:fldCharType="end"/>
      </w:r>
      <w:r>
        <w:rPr>
          <w:rFonts w:ascii="Times New Roman" w:hAnsi="Times New Roman"/>
          <w:sz w:val="24"/>
          <w:szCs w:val="24"/>
        </w:rPr>
        <w:fldChar w:fldCharType="end"/>
      </w:r>
    </w:p>
    <w:p w14:paraId="284D0B33">
      <w:pPr>
        <w:pStyle w:val="22"/>
        <w:tabs>
          <w:tab w:val="right" w:leader="dot" w:pos="9014"/>
        </w:tabs>
        <w:rPr>
          <w:rFonts w:ascii="Times New Roman" w:hAnsi="Times New Roman"/>
          <w:sz w:val="24"/>
          <w:szCs w:val="24"/>
        </w:rPr>
      </w:pPr>
      <w:r>
        <w:fldChar w:fldCharType="begin"/>
      </w:r>
      <w:r>
        <w:instrText xml:space="preserve"> HYPERLINK \l "_Toc3591" </w:instrText>
      </w:r>
      <w:r>
        <w:fldChar w:fldCharType="separate"/>
      </w:r>
      <w:r>
        <w:rPr>
          <w:rFonts w:ascii="Times New Roman" w:hAnsi="Times New Roman"/>
          <w:sz w:val="24"/>
          <w:szCs w:val="24"/>
        </w:rPr>
        <w:t>10.7 供气基础设施规划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_Toc3591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4D04BD3F">
      <w:pPr>
        <w:pStyle w:val="22"/>
        <w:tabs>
          <w:tab w:val="right" w:leader="dot" w:pos="9014"/>
        </w:tabs>
        <w:rPr>
          <w:rFonts w:ascii="Times New Roman" w:hAnsi="Times New Roman"/>
          <w:sz w:val="24"/>
          <w:szCs w:val="24"/>
        </w:rPr>
      </w:pPr>
      <w:r>
        <w:fldChar w:fldCharType="begin"/>
      </w:r>
      <w:r>
        <w:instrText xml:space="preserve"> HYPERLINK \l "_Toc19473" </w:instrText>
      </w:r>
      <w:r>
        <w:fldChar w:fldCharType="separate"/>
      </w:r>
      <w:r>
        <w:rPr>
          <w:rFonts w:ascii="Times New Roman" w:hAnsi="Times New Roman" w:eastAsiaTheme="minorEastAsia"/>
          <w:sz w:val="24"/>
          <w:szCs w:val="24"/>
        </w:rPr>
        <w:t>10.8 工业管廊</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_Toc19473 \h </w:instrText>
      </w:r>
      <w:r>
        <w:rPr>
          <w:rFonts w:ascii="Times New Roman" w:hAnsi="Times New Roman"/>
          <w:sz w:val="24"/>
          <w:szCs w:val="24"/>
        </w:rPr>
        <w:fldChar w:fldCharType="separate"/>
      </w:r>
      <w:r>
        <w:rPr>
          <w:rFonts w:ascii="Times New Roman" w:hAnsi="Times New Roman"/>
          <w:sz w:val="24"/>
          <w:szCs w:val="24"/>
        </w:rPr>
        <w:t>28</w:t>
      </w:r>
      <w:r>
        <w:rPr>
          <w:rFonts w:ascii="Times New Roman" w:hAnsi="Times New Roman"/>
          <w:sz w:val="24"/>
          <w:szCs w:val="24"/>
        </w:rPr>
        <w:fldChar w:fldCharType="end"/>
      </w:r>
      <w:r>
        <w:rPr>
          <w:rFonts w:ascii="Times New Roman" w:hAnsi="Times New Roman"/>
          <w:sz w:val="24"/>
          <w:szCs w:val="24"/>
        </w:rPr>
        <w:fldChar w:fldCharType="end"/>
      </w:r>
    </w:p>
    <w:p w14:paraId="4F637199">
      <w:pPr>
        <w:pStyle w:val="22"/>
        <w:tabs>
          <w:tab w:val="right" w:leader="dot" w:pos="9014"/>
        </w:tabs>
        <w:rPr>
          <w:rFonts w:ascii="Times New Roman" w:hAnsi="Times New Roman"/>
          <w:sz w:val="24"/>
          <w:szCs w:val="24"/>
        </w:rPr>
      </w:pPr>
      <w:r>
        <w:fldChar w:fldCharType="begin"/>
      </w:r>
      <w:r>
        <w:instrText xml:space="preserve"> HYPERLINK \l "_Toc19328" </w:instrText>
      </w:r>
      <w:r>
        <w:fldChar w:fldCharType="separate"/>
      </w:r>
      <w:r>
        <w:rPr>
          <w:rFonts w:ascii="Times New Roman" w:hAnsi="Times New Roman"/>
          <w:sz w:val="24"/>
          <w:szCs w:val="24"/>
        </w:rPr>
        <w:t xml:space="preserve">10.9 </w:t>
      </w:r>
      <w:r>
        <w:rPr>
          <w:rFonts w:ascii="Times New Roman" w:hAnsi="Times New Roman" w:eastAsiaTheme="minorEastAsia"/>
          <w:sz w:val="24"/>
          <w:szCs w:val="24"/>
        </w:rPr>
        <w:t>综合防灾</w:t>
      </w:r>
      <w:r>
        <w:rPr>
          <w:rFonts w:ascii="Times New Roman" w:hAnsi="Times New Roman"/>
          <w:sz w:val="24"/>
          <w:szCs w:val="24"/>
        </w:rPr>
        <w:t>减灾工程规划</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_Toc19328 \h </w:instrText>
      </w:r>
      <w:r>
        <w:rPr>
          <w:rFonts w:ascii="Times New Roman" w:hAnsi="Times New Roman"/>
          <w:sz w:val="24"/>
          <w:szCs w:val="24"/>
        </w:rPr>
        <w:fldChar w:fldCharType="separate"/>
      </w:r>
      <w:r>
        <w:rPr>
          <w:rFonts w:ascii="Times New Roman" w:hAnsi="Times New Roman"/>
          <w:sz w:val="24"/>
          <w:szCs w:val="24"/>
        </w:rPr>
        <w:t>29</w:t>
      </w:r>
      <w:r>
        <w:rPr>
          <w:rFonts w:ascii="Times New Roman" w:hAnsi="Times New Roman"/>
          <w:sz w:val="24"/>
          <w:szCs w:val="24"/>
        </w:rPr>
        <w:fldChar w:fldCharType="end"/>
      </w:r>
      <w:r>
        <w:rPr>
          <w:rFonts w:ascii="Times New Roman" w:hAnsi="Times New Roman"/>
          <w:sz w:val="24"/>
          <w:szCs w:val="24"/>
        </w:rPr>
        <w:fldChar w:fldCharType="end"/>
      </w:r>
    </w:p>
    <w:p w14:paraId="426C5E09">
      <w:pPr>
        <w:pStyle w:val="20"/>
        <w:tabs>
          <w:tab w:val="right" w:leader="dot" w:pos="9014"/>
        </w:tabs>
        <w:rPr>
          <w:rFonts w:ascii="Times New Roman" w:hAnsi="Times New Roman"/>
          <w:sz w:val="24"/>
          <w:szCs w:val="24"/>
        </w:rPr>
      </w:pPr>
      <w:r>
        <w:fldChar w:fldCharType="begin"/>
      </w:r>
      <w:r>
        <w:instrText xml:space="preserve"> HYPERLINK \l "_Toc15937" </w:instrText>
      </w:r>
      <w:r>
        <w:fldChar w:fldCharType="separate"/>
      </w:r>
      <w:r>
        <w:rPr>
          <w:rFonts w:ascii="Times New Roman" w:hAnsi="Times New Roman"/>
          <w:sz w:val="24"/>
          <w:szCs w:val="24"/>
        </w:rPr>
        <w:t>11保障措施</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_Toc15937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79450A73">
      <w:pPr>
        <w:pStyle w:val="22"/>
        <w:tabs>
          <w:tab w:val="right" w:leader="dot" w:pos="9014"/>
        </w:tabs>
        <w:rPr>
          <w:rFonts w:ascii="Times New Roman" w:hAnsi="Times New Roman"/>
          <w:sz w:val="24"/>
          <w:szCs w:val="24"/>
        </w:rPr>
      </w:pPr>
      <w:r>
        <w:fldChar w:fldCharType="begin"/>
      </w:r>
      <w:r>
        <w:instrText xml:space="preserve"> HYPERLINK \l "_Toc31174" </w:instrText>
      </w:r>
      <w:r>
        <w:fldChar w:fldCharType="separate"/>
      </w:r>
      <w:r>
        <w:rPr>
          <w:rFonts w:ascii="Times New Roman" w:hAnsi="Times New Roman"/>
          <w:sz w:val="24"/>
          <w:szCs w:val="24"/>
        </w:rPr>
        <w:t>11.1 加强领导，统一认识，加大支持力度</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_Toc31174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54541EB1">
      <w:pPr>
        <w:pStyle w:val="22"/>
        <w:tabs>
          <w:tab w:val="right" w:leader="dot" w:pos="9014"/>
        </w:tabs>
        <w:rPr>
          <w:rFonts w:ascii="Times New Roman" w:hAnsi="Times New Roman"/>
          <w:sz w:val="24"/>
          <w:szCs w:val="24"/>
        </w:rPr>
      </w:pPr>
      <w:r>
        <w:fldChar w:fldCharType="begin"/>
      </w:r>
      <w:r>
        <w:instrText xml:space="preserve"> HYPERLINK \l "_Toc5900" </w:instrText>
      </w:r>
      <w:r>
        <w:fldChar w:fldCharType="separate"/>
      </w:r>
      <w:r>
        <w:rPr>
          <w:rFonts w:ascii="Times New Roman" w:hAnsi="Times New Roman"/>
          <w:sz w:val="24"/>
          <w:szCs w:val="24"/>
        </w:rPr>
        <w:t>11.2做好规划实施过程的统筹工作</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_Toc5900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394E0D26">
      <w:pPr>
        <w:pStyle w:val="22"/>
        <w:tabs>
          <w:tab w:val="right" w:leader="dot" w:pos="9014"/>
        </w:tabs>
        <w:rPr>
          <w:rFonts w:ascii="Times New Roman" w:hAnsi="Times New Roman"/>
          <w:sz w:val="24"/>
          <w:szCs w:val="24"/>
        </w:rPr>
      </w:pPr>
      <w:r>
        <w:fldChar w:fldCharType="begin"/>
      </w:r>
      <w:r>
        <w:instrText xml:space="preserve"> HYPERLINK \l "_Toc28203" </w:instrText>
      </w:r>
      <w:r>
        <w:fldChar w:fldCharType="separate"/>
      </w:r>
      <w:r>
        <w:rPr>
          <w:rFonts w:ascii="Times New Roman" w:hAnsi="Times New Roman"/>
          <w:sz w:val="24"/>
          <w:szCs w:val="24"/>
        </w:rPr>
        <w:t>11.3加大人力资源开发和引进的力度</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_Toc28203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4645E5D0">
      <w:pPr>
        <w:pStyle w:val="22"/>
        <w:tabs>
          <w:tab w:val="right" w:leader="dot" w:pos="9014"/>
        </w:tabs>
        <w:rPr>
          <w:rFonts w:ascii="Times New Roman" w:hAnsi="Times New Roman"/>
          <w:sz w:val="24"/>
          <w:szCs w:val="24"/>
        </w:rPr>
      </w:pPr>
      <w:r>
        <w:fldChar w:fldCharType="begin"/>
      </w:r>
      <w:r>
        <w:instrText xml:space="preserve"> HYPERLINK \l "_Toc16555" </w:instrText>
      </w:r>
      <w:r>
        <w:fldChar w:fldCharType="separate"/>
      </w:r>
      <w:r>
        <w:rPr>
          <w:rFonts w:ascii="Times New Roman" w:hAnsi="Times New Roman"/>
          <w:sz w:val="24"/>
          <w:szCs w:val="24"/>
        </w:rPr>
        <w:t>11.4关注行业发展，坚持科技创新，以新技术的推广带动化工产业的发展</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_Toc16555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310F0E77">
      <w:pPr>
        <w:pStyle w:val="22"/>
        <w:tabs>
          <w:tab w:val="right" w:leader="dot" w:pos="9014"/>
        </w:tabs>
        <w:rPr>
          <w:rFonts w:ascii="Times New Roman" w:hAnsi="Times New Roman"/>
        </w:rPr>
      </w:pPr>
      <w:r>
        <w:fldChar w:fldCharType="begin"/>
      </w:r>
      <w:r>
        <w:instrText xml:space="preserve"> HYPERLINK \l "_Toc21382" </w:instrText>
      </w:r>
      <w:r>
        <w:fldChar w:fldCharType="separate"/>
      </w:r>
      <w:r>
        <w:rPr>
          <w:rFonts w:ascii="Times New Roman" w:hAnsi="Times New Roman"/>
          <w:sz w:val="24"/>
          <w:szCs w:val="24"/>
        </w:rPr>
        <w:t>11.5加强招商引资，发展循环经济</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_Toc21382 \h </w:instrText>
      </w:r>
      <w:r>
        <w:rPr>
          <w:rFonts w:ascii="Times New Roman" w:hAnsi="Times New Roman"/>
          <w:sz w:val="24"/>
          <w:szCs w:val="24"/>
        </w:rPr>
        <w:fldChar w:fldCharType="separate"/>
      </w:r>
      <w:r>
        <w:rPr>
          <w:rFonts w:ascii="Times New Roman" w:hAnsi="Times New Roman"/>
          <w:sz w:val="24"/>
          <w:szCs w:val="24"/>
        </w:rPr>
        <w:t>34</w:t>
      </w:r>
      <w:r>
        <w:rPr>
          <w:rFonts w:ascii="Times New Roman" w:hAnsi="Times New Roman"/>
          <w:sz w:val="24"/>
          <w:szCs w:val="24"/>
        </w:rPr>
        <w:fldChar w:fldCharType="end"/>
      </w:r>
      <w:r>
        <w:rPr>
          <w:rFonts w:ascii="Times New Roman" w:hAnsi="Times New Roman"/>
          <w:sz w:val="24"/>
          <w:szCs w:val="24"/>
        </w:rPr>
        <w:fldChar w:fldCharType="end"/>
      </w:r>
    </w:p>
    <w:p w14:paraId="08A767F5">
      <w:pPr>
        <w:jc w:val="center"/>
        <w:rPr>
          <w:sz w:val="40"/>
        </w:rPr>
      </w:pPr>
      <w:r>
        <w:fldChar w:fldCharType="end"/>
      </w:r>
    </w:p>
    <w:p w14:paraId="1DE6C7F3">
      <w:pPr>
        <w:widowControl/>
        <w:spacing w:line="360" w:lineRule="auto"/>
        <w:jc w:val="left"/>
        <w:rPr>
          <w:b/>
          <w:sz w:val="24"/>
          <w:szCs w:val="24"/>
        </w:rPr>
      </w:pPr>
    </w:p>
    <w:p w14:paraId="52EA980B">
      <w:pPr>
        <w:widowControl/>
        <w:spacing w:line="360" w:lineRule="auto"/>
        <w:jc w:val="left"/>
        <w:rPr>
          <w:b/>
          <w:sz w:val="24"/>
          <w:szCs w:val="24"/>
        </w:rPr>
      </w:pPr>
    </w:p>
    <w:p w14:paraId="2A1B7019">
      <w:pPr>
        <w:widowControl/>
        <w:spacing w:line="360" w:lineRule="auto"/>
        <w:jc w:val="left"/>
        <w:rPr>
          <w:b/>
          <w:szCs w:val="36"/>
        </w:rPr>
      </w:pPr>
      <w:r>
        <w:rPr>
          <w:b/>
          <w:sz w:val="36"/>
          <w:szCs w:val="36"/>
        </w:rPr>
        <w:br w:type="page"/>
      </w:r>
    </w:p>
    <w:p w14:paraId="67A9C84A">
      <w:pPr>
        <w:widowControl/>
        <w:spacing w:beforeLines="200" w:afterLines="100" w:line="360" w:lineRule="auto"/>
        <w:contextualSpacing/>
        <w:jc w:val="center"/>
        <w:rPr>
          <w:b/>
          <w:sz w:val="36"/>
          <w:szCs w:val="36"/>
        </w:rPr>
      </w:pPr>
    </w:p>
    <w:p w14:paraId="2DE2DD1D">
      <w:pPr>
        <w:widowControl/>
        <w:spacing w:beforeLines="200" w:afterLines="100" w:line="360" w:lineRule="auto"/>
        <w:contextualSpacing/>
        <w:jc w:val="center"/>
        <w:outlineLvl w:val="0"/>
        <w:rPr>
          <w:kern w:val="0"/>
          <w:sz w:val="44"/>
          <w:szCs w:val="44"/>
        </w:rPr>
      </w:pPr>
      <w:bookmarkStart w:id="2" w:name="_Toc22972"/>
      <w:r>
        <w:rPr>
          <w:kern w:val="0"/>
          <w:sz w:val="44"/>
          <w:szCs w:val="44"/>
        </w:rPr>
        <w:t>前言</w:t>
      </w:r>
      <w:bookmarkEnd w:id="2"/>
    </w:p>
    <w:p w14:paraId="14681EFE">
      <w:pPr>
        <w:spacing w:line="360" w:lineRule="auto"/>
        <w:ind w:firstLine="480" w:firstLineChars="200"/>
        <w:rPr>
          <w:kern w:val="0"/>
          <w:sz w:val="24"/>
        </w:rPr>
      </w:pPr>
      <w:r>
        <w:rPr>
          <w:kern w:val="0"/>
          <w:sz w:val="24"/>
        </w:rPr>
        <w:t>2022年7月，</w:t>
      </w:r>
      <w:r>
        <w:rPr>
          <w:sz w:val="24"/>
        </w:rPr>
        <w:t>我公司接受</w:t>
      </w:r>
      <w:r>
        <w:rPr>
          <w:rFonts w:hint="eastAsia"/>
          <w:sz w:val="24"/>
        </w:rPr>
        <w:t>淮南经济技术开发区管委会</w:t>
      </w:r>
      <w:r>
        <w:rPr>
          <w:sz w:val="24"/>
        </w:rPr>
        <w:t>的委托，负责进行《淮南</w:t>
      </w:r>
      <w:r>
        <w:rPr>
          <w:kern w:val="0"/>
          <w:sz w:val="24"/>
        </w:rPr>
        <w:t>经开化工园区总体发展规划（2021-2030）（202</w:t>
      </w:r>
      <w:r>
        <w:rPr>
          <w:rFonts w:hint="eastAsia"/>
          <w:kern w:val="0"/>
          <w:sz w:val="24"/>
        </w:rPr>
        <w:t>3</w:t>
      </w:r>
      <w:r>
        <w:rPr>
          <w:kern w:val="0"/>
          <w:sz w:val="24"/>
        </w:rPr>
        <w:t>年修编）》（以下简称“本规划”）的修编工作。</w:t>
      </w:r>
    </w:p>
    <w:p w14:paraId="7639EBD6">
      <w:pPr>
        <w:widowControl/>
        <w:spacing w:line="360" w:lineRule="auto"/>
        <w:ind w:firstLine="480" w:firstLineChars="200"/>
        <w:jc w:val="left"/>
        <w:rPr>
          <w:sz w:val="24"/>
        </w:rPr>
      </w:pPr>
      <w:r>
        <w:rPr>
          <w:sz w:val="24"/>
        </w:rPr>
        <w:t>依据安徽省应急管理厅发布的《关于安徽省化工园区（第一批）名单的公示)》（2021年2月4日）、《安徽省人民政府关于同意认定第一批安徽省化工园区的批复》（皖政秘〔2021〕93号），淮南经开化工园区（原名称：淮南经济技术开发区（化工集中区】））属于符合《安徽省化工园区认定办法》条件的安徽省化工园区（第一批）中的名单，依据《安徽省自然资源厅关于核定淮南经开化工园区四至范围和面积的通知》（皖自然资用函〔2023〕21号），经省自然资源与规划厅核定淮南经开化工园区省政府批准面积158.9公顷，园区上报范围总面积</w:t>
      </w:r>
      <w:r>
        <w:rPr>
          <w:rFonts w:hint="eastAsia"/>
          <w:sz w:val="24"/>
        </w:rPr>
        <w:t>153.14</w:t>
      </w:r>
      <w:r>
        <w:rPr>
          <w:sz w:val="24"/>
        </w:rPr>
        <w:t>公顷，包含两个区块，其中区块一面积</w:t>
      </w:r>
      <w:r>
        <w:rPr>
          <w:rFonts w:hint="eastAsia"/>
          <w:sz w:val="24"/>
        </w:rPr>
        <w:t>33.04公顷</w:t>
      </w:r>
      <w:r>
        <w:rPr>
          <w:sz w:val="24"/>
        </w:rPr>
        <w:t>，四至范围为：东至永兴路，南至田东路，西至皖淮化工厂留守处，</w:t>
      </w:r>
      <w:r>
        <w:rPr>
          <w:rFonts w:hint="eastAsia"/>
          <w:sz w:val="24"/>
        </w:rPr>
        <w:t>北至规划电厂路</w:t>
      </w:r>
      <w:r>
        <w:rPr>
          <w:sz w:val="24"/>
        </w:rPr>
        <w:t>；区块二面积</w:t>
      </w:r>
      <w:r>
        <w:rPr>
          <w:rFonts w:hint="eastAsia"/>
          <w:sz w:val="24"/>
        </w:rPr>
        <w:t>120.10公顷</w:t>
      </w:r>
      <w:r>
        <w:rPr>
          <w:sz w:val="24"/>
        </w:rPr>
        <w:t>，四至范围为：东至东兴路，南至朝阳东路，</w:t>
      </w:r>
      <w:r>
        <w:rPr>
          <w:rFonts w:hint="eastAsia"/>
          <w:sz w:val="24"/>
        </w:rPr>
        <w:t>西至屯头排涝站排涝干渠</w:t>
      </w:r>
      <w:r>
        <w:rPr>
          <w:sz w:val="24"/>
        </w:rPr>
        <w:t>，北至长富路。</w:t>
      </w:r>
    </w:p>
    <w:p w14:paraId="0D46BC66">
      <w:pPr>
        <w:widowControl/>
        <w:spacing w:line="360" w:lineRule="auto"/>
        <w:ind w:firstLine="480" w:firstLineChars="200"/>
        <w:jc w:val="left"/>
        <w:rPr>
          <w:sz w:val="24"/>
        </w:rPr>
      </w:pPr>
      <w:r>
        <w:rPr>
          <w:sz w:val="24"/>
        </w:rPr>
        <w:t>本规划修编主要依据淮南市政府关于《淮南市国民经济和社会发展第十四个五年规划和2035年远景目标纲要》的指导精神以及与化工园区建设有关的各级规划、批复文件，并遵照《化工园区建设标准和认定管理办法（试行）》（工信部联原〔2021〕220号文）、《应急管理部危化监管一司关于征求化工园区安全整治提升工作方案（征求意见稿）意见的函》，《淮南市关于进一步加强危险化学品安全监督管理工作的意见》（淮安﹝2016﹞8号）对化工园区产业发展方向要求，结合淮南现代医药化工产业园概念规划、淮南经开化工园区现有发展情况和重点企业发展对原《淮南经济技术开发区化工集中区总体发展规划）》规划进行编制。</w:t>
      </w:r>
    </w:p>
    <w:p w14:paraId="3B85D92A">
      <w:pPr>
        <w:spacing w:line="360" w:lineRule="auto"/>
        <w:ind w:firstLine="480" w:firstLineChars="200"/>
      </w:pPr>
      <w:r>
        <w:rPr>
          <w:sz w:val="24"/>
        </w:rPr>
        <w:t>本规划</w:t>
      </w:r>
      <w:r>
        <w:rPr>
          <w:kern w:val="0"/>
          <w:sz w:val="24"/>
        </w:rPr>
        <w:t>修编的主要内容：进一步明确提出化工园区安全发展要以集中布局、集群发展和降低安全风险等级（“两集一低”）为目标，紧盯“一园一案”整治提升方案完善落实，</w:t>
      </w:r>
      <w:r>
        <w:rPr>
          <w:sz w:val="24"/>
          <w:szCs w:val="24"/>
          <w:u w:color="FFFFFF"/>
        </w:rPr>
        <w:t>以依据《化工园区安全风险排查治理导则（试行）》为基准，重点补充园区消防救援规划、综合防灾减灾规划、安全管</w:t>
      </w:r>
      <w:r>
        <w:rPr>
          <w:kern w:val="0"/>
          <w:sz w:val="24"/>
        </w:rPr>
        <w:t>理体系、“四至”范围、安全控制线、公用工程、封闭化管理、危化品车辆专用停车场、信息化平台、实训基地、消防设施、“禁限控”目录、禁止有居民居住或设立劳动密集型企业等内容，持续深化化工园区安全规划。</w:t>
      </w:r>
    </w:p>
    <w:p w14:paraId="0266496C">
      <w:pPr>
        <w:spacing w:line="360" w:lineRule="auto"/>
        <w:ind w:firstLine="480" w:firstLineChars="200"/>
        <w:rPr>
          <w:b/>
        </w:rPr>
      </w:pPr>
      <w:r>
        <w:rPr>
          <w:kern w:val="0"/>
          <w:sz w:val="24"/>
        </w:rPr>
        <w:t>本规划</w:t>
      </w:r>
      <w:r>
        <w:rPr>
          <w:rFonts w:hint="eastAsia"/>
          <w:kern w:val="0"/>
          <w:sz w:val="24"/>
        </w:rPr>
        <w:t>修</w:t>
      </w:r>
      <w:r>
        <w:rPr>
          <w:kern w:val="0"/>
          <w:sz w:val="24"/>
        </w:rPr>
        <w:t>编过程中得到了淮南市，大通区、淮南经济技术开发区政府相关部门专家和领导的大力支持和具体指导。在此，对有关单位的专家和领导表示衷心的感谢！</w:t>
      </w:r>
    </w:p>
    <w:p w14:paraId="1EFF841B">
      <w:pPr>
        <w:widowControl/>
        <w:spacing w:line="360" w:lineRule="auto"/>
        <w:jc w:val="left"/>
        <w:rPr>
          <w:b/>
        </w:rPr>
        <w:sectPr>
          <w:headerReference r:id="rId9" w:type="default"/>
          <w:footerReference r:id="rId10" w:type="default"/>
          <w:type w:val="oddPage"/>
          <w:pgSz w:w="11907" w:h="16840"/>
          <w:pgMar w:top="1701" w:right="1021" w:bottom="1418" w:left="1418" w:header="1418" w:footer="851" w:gutter="454"/>
          <w:paperSrc w:first="32" w:other="32"/>
          <w:pgNumType w:start="1"/>
          <w:cols w:space="720" w:num="1"/>
        </w:sectPr>
      </w:pPr>
    </w:p>
    <w:p w14:paraId="7D6F2E36">
      <w:pPr>
        <w:pStyle w:val="3"/>
        <w:numPr>
          <w:ilvl w:val="0"/>
          <w:numId w:val="2"/>
        </w:numPr>
        <w:rPr>
          <w:sz w:val="24"/>
          <w:szCs w:val="24"/>
        </w:rPr>
      </w:pPr>
      <w:bookmarkStart w:id="3" w:name="_Toc369270757"/>
      <w:bookmarkStart w:id="4" w:name="_Toc1628628"/>
      <w:bookmarkStart w:id="5" w:name="_Toc15729"/>
      <w:r>
        <w:t>总论</w:t>
      </w:r>
      <w:bookmarkEnd w:id="3"/>
      <w:bookmarkEnd w:id="4"/>
      <w:bookmarkEnd w:id="5"/>
      <w:bookmarkStart w:id="6" w:name="_Toc369270758"/>
      <w:bookmarkStart w:id="7" w:name="_Toc1628629"/>
    </w:p>
    <w:bookmarkEnd w:id="6"/>
    <w:bookmarkEnd w:id="7"/>
    <w:p w14:paraId="7C433D83">
      <w:pPr>
        <w:pStyle w:val="4"/>
        <w:numPr>
          <w:ilvl w:val="1"/>
          <w:numId w:val="3"/>
        </w:numPr>
        <w:ind w:firstLine="0"/>
        <w:rPr>
          <w:rFonts w:ascii="Times New Roman" w:hAnsi="Times New Roman"/>
          <w:sz w:val="24"/>
          <w:szCs w:val="24"/>
        </w:rPr>
      </w:pPr>
      <w:bookmarkStart w:id="8" w:name="_Toc11121"/>
      <w:bookmarkStart w:id="9" w:name="_Toc13795"/>
      <w:bookmarkStart w:id="10" w:name="_Toc10006"/>
      <w:bookmarkStart w:id="11" w:name="_Toc30934"/>
      <w:bookmarkStart w:id="12" w:name="_Toc32573"/>
      <w:bookmarkStart w:id="13" w:name="_Toc21613"/>
      <w:bookmarkStart w:id="14" w:name="_Toc1702"/>
      <w:bookmarkStart w:id="15" w:name="_Toc447956228"/>
      <w:bookmarkStart w:id="16" w:name="_Toc447957698"/>
      <w:bookmarkStart w:id="17" w:name="_Toc448022731"/>
      <w:bookmarkStart w:id="18" w:name="_Toc447957400"/>
      <w:bookmarkStart w:id="19" w:name="_Toc447957996"/>
      <w:bookmarkStart w:id="20" w:name="_Toc447956995"/>
      <w:bookmarkStart w:id="21" w:name="_Toc447958496"/>
      <w:bookmarkStart w:id="22" w:name="_Toc447957234"/>
      <w:bookmarkStart w:id="23" w:name="_Toc447958834"/>
      <w:bookmarkStart w:id="24" w:name="_Toc447957940"/>
      <w:bookmarkStart w:id="25" w:name="_Toc447959046"/>
      <w:bookmarkStart w:id="26" w:name="_Toc447956024"/>
      <w:bookmarkStart w:id="27" w:name="_Toc447958273"/>
      <w:bookmarkStart w:id="28" w:name="_Toc447958738"/>
      <w:r>
        <w:rPr>
          <w:rFonts w:ascii="Times New Roman" w:hAnsi="Times New Roman"/>
          <w:sz w:val="24"/>
          <w:szCs w:val="24"/>
        </w:rPr>
        <w:t>规划目的</w:t>
      </w:r>
      <w:bookmarkEnd w:id="8"/>
      <w:bookmarkEnd w:id="9"/>
      <w:bookmarkEnd w:id="10"/>
      <w:bookmarkEnd w:id="11"/>
      <w:bookmarkEnd w:id="12"/>
      <w:bookmarkEnd w:id="13"/>
      <w:bookmarkEnd w:id="14"/>
    </w:p>
    <w:p w14:paraId="535A5E55">
      <w:pPr>
        <w:spacing w:line="360" w:lineRule="auto"/>
        <w:rPr>
          <w:kern w:val="0"/>
          <w:sz w:val="24"/>
        </w:rPr>
      </w:pPr>
      <w:r>
        <w:rPr>
          <w:kern w:val="0"/>
          <w:sz w:val="24"/>
        </w:rPr>
        <w:t>1.1.1背景介绍</w:t>
      </w:r>
    </w:p>
    <w:p w14:paraId="26E082B1">
      <w:pPr>
        <w:spacing w:line="360" w:lineRule="auto"/>
        <w:ind w:firstLine="480" w:firstLineChars="200"/>
        <w:rPr>
          <w:kern w:val="0"/>
          <w:sz w:val="24"/>
        </w:rPr>
      </w:pPr>
      <w:r>
        <w:rPr>
          <w:kern w:val="0"/>
          <w:sz w:val="24"/>
        </w:rPr>
        <w:t>淮南经济技术开发区始建于1988年5月，1993年4月经省政府批准为省级开发区，2013年3月经国务院批准为国家级经济技术开发区，成为皖北地区首家国家级经济技术开发区（以下简称开发区）。开发区原规划面积4.29平方公里，2011年经省政府批准扩大至20平方公里。重点企业主要有：美国卡特彼勒比塞洛斯、江森自控安徽新南港汽车内饰件、久益环球采矿设备、中国建材集团淮南北新建材等世界500强企业，中国医药集团国瑞药业、凯盛重工、中盐集团德邦化工、中化三建等知名央企，以及陕汽重卡、国瑞药业、绿十字生物制品、安徽山河药业辅料等行业龙头企业，已形成新能源汽车及零配件、机械装备制造、现代医药、轻工纺织、商贸物流等产业门类。拥有省级新型工业化煤机装备制造产业和医药化工产业示范基地、全省重点支持文化产业（淮南文化设备用品和创意产业）示范园区等三个特色园区。</w:t>
      </w:r>
    </w:p>
    <w:p w14:paraId="28AD8E4C">
      <w:pPr>
        <w:spacing w:line="360" w:lineRule="auto"/>
        <w:ind w:firstLine="480" w:firstLineChars="200"/>
        <w:rPr>
          <w:kern w:val="0"/>
          <w:sz w:val="24"/>
        </w:rPr>
      </w:pPr>
      <w:r>
        <w:rPr>
          <w:kern w:val="0"/>
          <w:sz w:val="24"/>
        </w:rPr>
        <w:t>（一）综合实力实现重大跨越</w:t>
      </w:r>
    </w:p>
    <w:p w14:paraId="06CD18B8">
      <w:pPr>
        <w:spacing w:line="360" w:lineRule="auto"/>
        <w:ind w:firstLine="480" w:firstLineChars="200"/>
        <w:rPr>
          <w:kern w:val="0"/>
          <w:sz w:val="24"/>
        </w:rPr>
      </w:pPr>
      <w:r>
        <w:rPr>
          <w:kern w:val="0"/>
          <w:sz w:val="24"/>
        </w:rPr>
        <w:t>淮南经开区以优势产业为纽带，加快产业转型升级步伐，综合实力实现快速增长，目前拥有省级生物医药工业园、省级新型工业化煤机装备制造产业示范基地、省级新型工业化医药化工产业示范基地、全省重点支持文化产业示范园区等特色园区称号以及省级科技孵化器等载体。在国家级经开区综合发展水平考核评价排名稳步提升，从185位提升至122名，前进63位，实现了跨越式发展。</w:t>
      </w:r>
    </w:p>
    <w:p w14:paraId="3FF1FA2F">
      <w:pPr>
        <w:spacing w:line="360" w:lineRule="auto"/>
        <w:ind w:firstLine="480" w:firstLineChars="200"/>
        <w:rPr>
          <w:kern w:val="0"/>
          <w:sz w:val="24"/>
        </w:rPr>
      </w:pPr>
      <w:r>
        <w:rPr>
          <w:kern w:val="0"/>
          <w:sz w:val="24"/>
        </w:rPr>
        <w:t>（二）结构调整取得明显成效</w:t>
      </w:r>
    </w:p>
    <w:p w14:paraId="02DCDB0C">
      <w:pPr>
        <w:spacing w:line="360" w:lineRule="auto"/>
        <w:ind w:firstLine="480" w:firstLineChars="200"/>
        <w:rPr>
          <w:kern w:val="0"/>
          <w:sz w:val="24"/>
        </w:rPr>
      </w:pPr>
      <w:r>
        <w:rPr>
          <w:kern w:val="0"/>
          <w:sz w:val="24"/>
        </w:rPr>
        <w:t>以高质量发展为统领，淮南经开区积极优化增量、调整存量、提升质量，主导产业集聚效应凸显，以陕汽淮南专用汽车有限公司为代表的专用汽车及零部件产业工业已成为区内首位产业；以中国医药集团国瑞药业、安徽山河药辅、绿十字（中国）生物制品、恒诚制药、华辰药业、振德医疗、东芝堂药业等为代表的医药产业业务范围涉及原料药、药用辅料、化学药剂、生物制药、中药制造、医用耗材等药品制造领域；以凯盛重工、平安开诚、中志轨道、钱潮轴承等为代表的装备制造业正在形成集聚效应。</w:t>
      </w:r>
    </w:p>
    <w:p w14:paraId="19344EC3">
      <w:pPr>
        <w:spacing w:line="360" w:lineRule="auto"/>
        <w:ind w:firstLine="480" w:firstLineChars="200"/>
        <w:rPr>
          <w:kern w:val="0"/>
          <w:sz w:val="24"/>
        </w:rPr>
      </w:pPr>
      <w:r>
        <w:rPr>
          <w:kern w:val="0"/>
          <w:sz w:val="24"/>
        </w:rPr>
        <w:t>（三）创新高地建设稳步推进</w:t>
      </w:r>
    </w:p>
    <w:p w14:paraId="4664B77A">
      <w:pPr>
        <w:spacing w:line="360" w:lineRule="auto"/>
        <w:ind w:firstLine="480" w:firstLineChars="200"/>
        <w:rPr>
          <w:kern w:val="0"/>
          <w:sz w:val="24"/>
        </w:rPr>
      </w:pPr>
      <w:r>
        <w:rPr>
          <w:kern w:val="0"/>
          <w:sz w:val="24"/>
        </w:rPr>
        <w:t>淮南经开区以创新赋能发展，不断提升科技研发、企业孵化和落地转化能力，加快打造皖北科技创新高地。“十三五”期间，淮南经开区高新技术企业、战略性新兴企业在数量上、发展规模上均呈现大幅增长。截至2020年，共有安徽省科技厅认定的10家工程技术研究中心、安徽省经信厅认定的11家省级企业技术中心和安徽省发改委认定的2家工程研究中心，省院士工作站5个，省博士后工作站3个，国家级博士后工作站1个。</w:t>
      </w:r>
    </w:p>
    <w:p w14:paraId="2410D5E2">
      <w:pPr>
        <w:spacing w:line="360" w:lineRule="auto"/>
        <w:ind w:firstLine="480" w:firstLineChars="200"/>
        <w:rPr>
          <w:kern w:val="0"/>
          <w:sz w:val="24"/>
        </w:rPr>
      </w:pPr>
      <w:r>
        <w:rPr>
          <w:kern w:val="0"/>
          <w:sz w:val="24"/>
        </w:rPr>
        <w:t>（四）开放合作发展纵深推进</w:t>
      </w:r>
    </w:p>
    <w:p w14:paraId="6811FFC2">
      <w:pPr>
        <w:spacing w:line="360" w:lineRule="auto"/>
        <w:ind w:firstLine="480" w:firstLineChars="200"/>
        <w:rPr>
          <w:kern w:val="0"/>
          <w:sz w:val="24"/>
        </w:rPr>
      </w:pPr>
      <w:r>
        <w:rPr>
          <w:kern w:val="0"/>
          <w:sz w:val="24"/>
        </w:rPr>
        <w:t>淮南经开区以“建链”“补链”“强链”为抓手，以合作开创新局，积极抓住长三角一体化发展、合肥都市圈、蚌埠城市群等重大区域战略机遇，聚焦长三角、珠三角等重点地区，突出振兴装备智造园、医药化工产业园、科技创新产业园等专业基地和特色园区，充分利用成熟用地，挖掘现有企业潜能，大力开展招商工作。通过优质项目招引和落地，主导产业优势更加明显，产业集聚效应正在形成。</w:t>
      </w:r>
    </w:p>
    <w:p w14:paraId="479C8F7C">
      <w:pPr>
        <w:spacing w:line="360" w:lineRule="auto"/>
        <w:ind w:firstLine="480" w:firstLineChars="200"/>
        <w:rPr>
          <w:kern w:val="0"/>
          <w:sz w:val="24"/>
        </w:rPr>
      </w:pPr>
      <w:r>
        <w:rPr>
          <w:kern w:val="0"/>
          <w:sz w:val="24"/>
        </w:rPr>
        <w:t>（五）营商环境全面优化升级</w:t>
      </w:r>
    </w:p>
    <w:p w14:paraId="47C3BCE0">
      <w:pPr>
        <w:spacing w:line="360" w:lineRule="auto"/>
        <w:ind w:firstLine="480" w:firstLineChars="200"/>
      </w:pPr>
      <w:r>
        <w:rPr>
          <w:kern w:val="0"/>
          <w:sz w:val="24"/>
        </w:rPr>
        <w:t>淮南经开区加大公共服务投入力度，设立了（一站式）政务服务大厅，优化了服务流程，通过交办会固化项目入区落地流程，通过“四送一服”、“三包三抓”、创优“四最”营商环境等专项活动，提升入园企业满意度。</w:t>
      </w:r>
    </w:p>
    <w:p w14:paraId="4A21D9AA">
      <w:pPr>
        <w:spacing w:line="360" w:lineRule="auto"/>
        <w:ind w:firstLine="480" w:firstLineChars="200"/>
        <w:rPr>
          <w:kern w:val="0"/>
          <w:sz w:val="24"/>
        </w:rPr>
      </w:pPr>
      <w:r>
        <w:rPr>
          <w:kern w:val="0"/>
          <w:sz w:val="24"/>
        </w:rPr>
        <w:t>区内基础设施配套完善，功能齐全。拥有热电站、变电站、污水处理厂、电信分局等配套设施。现已实现道路、供水、排水、供电、供热、燃气、通讯、有线电视和土地平整，可为投资提供“八通一平”的建设用地。</w:t>
      </w:r>
    </w:p>
    <w:p w14:paraId="1F8431FB">
      <w:pPr>
        <w:widowControl/>
        <w:spacing w:line="360" w:lineRule="auto"/>
        <w:ind w:firstLine="480" w:firstLineChars="200"/>
        <w:jc w:val="left"/>
        <w:rPr>
          <w:rFonts w:eastAsia="宋体"/>
          <w:sz w:val="24"/>
        </w:rPr>
      </w:pPr>
      <w:bookmarkStart w:id="29" w:name="_Toc353954606"/>
      <w:bookmarkStart w:id="30" w:name="_Toc330799737"/>
      <w:bookmarkStart w:id="31" w:name="_Toc1628630"/>
      <w:bookmarkStart w:id="32" w:name="_Toc369270759"/>
      <w:bookmarkStart w:id="33" w:name="_Toc330880694"/>
      <w:bookmarkStart w:id="34" w:name="_Toc305829895"/>
      <w:r>
        <w:rPr>
          <w:sz w:val="24"/>
        </w:rPr>
        <w:t>淮南经开化工园区作为淮南经济技术开发区组成部分之一，依据《安徽省自然资源厅关于核定淮南经开化工园区四至范围和面积的通知》（皖自然资用函〔2023〕21号），经省自然资源与规划厅核定淮南经开化工园区省政府批准面积158.9公顷，园区上报范围总面积</w:t>
      </w:r>
      <w:r>
        <w:rPr>
          <w:rFonts w:hint="eastAsia"/>
          <w:sz w:val="24"/>
        </w:rPr>
        <w:t>153.14</w:t>
      </w:r>
      <w:r>
        <w:rPr>
          <w:sz w:val="24"/>
        </w:rPr>
        <w:t>公顷，包含两个区块，其中区块一面积</w:t>
      </w:r>
      <w:r>
        <w:rPr>
          <w:rFonts w:hint="eastAsia"/>
          <w:sz w:val="24"/>
        </w:rPr>
        <w:t>33.04公顷</w:t>
      </w:r>
      <w:r>
        <w:rPr>
          <w:sz w:val="24"/>
        </w:rPr>
        <w:t>，四至范围为：东至永兴路，南至田东路，西至皖淮化工厂留守处，</w:t>
      </w:r>
      <w:r>
        <w:rPr>
          <w:rFonts w:hint="eastAsia"/>
          <w:sz w:val="24"/>
        </w:rPr>
        <w:t>北至规划电厂路</w:t>
      </w:r>
      <w:r>
        <w:rPr>
          <w:sz w:val="24"/>
        </w:rPr>
        <w:t>；区块二面积</w:t>
      </w:r>
      <w:r>
        <w:rPr>
          <w:rFonts w:hint="eastAsia"/>
          <w:sz w:val="24"/>
        </w:rPr>
        <w:t>120.10公顷</w:t>
      </w:r>
      <w:r>
        <w:rPr>
          <w:sz w:val="24"/>
        </w:rPr>
        <w:t>，四至范围为：东至东兴路，南至朝阳东路，</w:t>
      </w:r>
      <w:r>
        <w:rPr>
          <w:rFonts w:hint="eastAsia"/>
          <w:sz w:val="24"/>
        </w:rPr>
        <w:t>西至屯头排涝站排涝干渠</w:t>
      </w:r>
      <w:r>
        <w:rPr>
          <w:sz w:val="24"/>
        </w:rPr>
        <w:t>，北至长富路。依据《淮南市人民政府关于调整淮南经济技术开发区化工集中区四至范围的批复》（淮政秘【2018】201号），本化工园区定位：加快推进重点企业向行业龙头发展，重点发展洁净医药化工，将本化工园区逐步打造成省内医药化工研发中心和生产基地。</w:t>
      </w:r>
      <w:r>
        <w:rPr>
          <w:rFonts w:hint="eastAsia" w:eastAsia="宋体"/>
          <w:sz w:val="24"/>
        </w:rPr>
        <w:drawing>
          <wp:inline distT="0" distB="0" distL="114300" distR="114300">
            <wp:extent cx="5825490" cy="4076700"/>
            <wp:effectExtent l="0" t="0" r="3810" b="0"/>
            <wp:docPr id="82" name="图片 82" descr="170536734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705367340971"/>
                    <pic:cNvPicPr>
                      <a:picLocks noChangeAspect="1"/>
                    </pic:cNvPicPr>
                  </pic:nvPicPr>
                  <pic:blipFill>
                    <a:blip r:embed="rId18"/>
                    <a:stretch>
                      <a:fillRect/>
                    </a:stretch>
                  </pic:blipFill>
                  <pic:spPr>
                    <a:xfrm>
                      <a:off x="0" y="0"/>
                      <a:ext cx="5825490" cy="4076700"/>
                    </a:xfrm>
                    <a:prstGeom prst="rect">
                      <a:avLst/>
                    </a:prstGeom>
                  </pic:spPr>
                </pic:pic>
              </a:graphicData>
            </a:graphic>
          </wp:inline>
        </w:drawing>
      </w:r>
    </w:p>
    <w:p w14:paraId="03A6E5DE">
      <w:pPr>
        <w:spacing w:line="360" w:lineRule="auto"/>
        <w:rPr>
          <w:kern w:val="0"/>
          <w:sz w:val="24"/>
        </w:rPr>
      </w:pPr>
      <w:r>
        <w:rPr>
          <w:kern w:val="0"/>
          <w:sz w:val="24"/>
        </w:rPr>
        <w:t>1.1.2规划目的</w:t>
      </w:r>
    </w:p>
    <w:p w14:paraId="53B529B1">
      <w:pPr>
        <w:spacing w:line="360" w:lineRule="auto"/>
        <w:ind w:firstLine="480" w:firstLineChars="200"/>
        <w:jc w:val="left"/>
        <w:rPr>
          <w:sz w:val="24"/>
        </w:rPr>
      </w:pPr>
      <w:r>
        <w:rPr>
          <w:sz w:val="24"/>
        </w:rPr>
        <w:t>贯彻国务院、安徽省人民政府化工总体发展规划的文件精神，谋求本地区经济、社会和化工安全的协调发展，保障人民群众的生命财产安全，促进淮南经开化工园区社会生产力持续发展。同时，为了提升经开区工业的层次，实现经开区工业健康式发展，合理安排经开区的各类建设用地，为淮南经开化工园区建设项目进行控制和指导提供技术性法规依据。</w:t>
      </w:r>
    </w:p>
    <w:p w14:paraId="59385DE8">
      <w:pPr>
        <w:pStyle w:val="4"/>
        <w:numPr>
          <w:ilvl w:val="1"/>
          <w:numId w:val="2"/>
        </w:numPr>
        <w:ind w:firstLine="0"/>
        <w:rPr>
          <w:rFonts w:ascii="Times New Roman" w:hAnsi="Times New Roman"/>
          <w:sz w:val="24"/>
          <w:szCs w:val="24"/>
        </w:rPr>
      </w:pPr>
      <w:bookmarkStart w:id="35" w:name="_Toc3981"/>
      <w:r>
        <w:rPr>
          <w:rFonts w:ascii="Times New Roman" w:hAnsi="Times New Roman"/>
          <w:sz w:val="24"/>
          <w:szCs w:val="24"/>
        </w:rPr>
        <w:t>规划编制依据</w:t>
      </w:r>
      <w:bookmarkEnd w:id="29"/>
      <w:bookmarkEnd w:id="30"/>
      <w:bookmarkEnd w:id="31"/>
      <w:bookmarkEnd w:id="32"/>
      <w:bookmarkEnd w:id="33"/>
      <w:bookmarkEnd w:id="34"/>
      <w:bookmarkEnd w:id="35"/>
    </w:p>
    <w:p w14:paraId="1EAF78D0">
      <w:pPr>
        <w:pStyle w:val="5"/>
        <w:numPr>
          <w:ilvl w:val="2"/>
          <w:numId w:val="2"/>
        </w:numPr>
        <w:ind w:firstLine="0"/>
        <w:rPr>
          <w:sz w:val="24"/>
          <w:szCs w:val="24"/>
        </w:rPr>
      </w:pPr>
      <w:r>
        <w:rPr>
          <w:sz w:val="24"/>
          <w:szCs w:val="24"/>
        </w:rPr>
        <w:t>法规和规范</w:t>
      </w:r>
    </w:p>
    <w:p w14:paraId="0139BA9D">
      <w:pPr>
        <w:spacing w:line="360" w:lineRule="auto"/>
        <w:ind w:firstLine="480" w:firstLineChars="200"/>
        <w:rPr>
          <w:kern w:val="0"/>
          <w:sz w:val="24"/>
        </w:rPr>
      </w:pPr>
      <w:r>
        <w:rPr>
          <w:kern w:val="0"/>
          <w:sz w:val="24"/>
        </w:rPr>
        <w:t>（1）</w:t>
      </w:r>
      <w:r>
        <w:t>《</w:t>
      </w:r>
      <w:r>
        <w:rPr>
          <w:kern w:val="0"/>
          <w:sz w:val="24"/>
        </w:rPr>
        <w:t>中华人民共和国城乡规划法》（2008年）</w:t>
      </w:r>
    </w:p>
    <w:p w14:paraId="2A5B6354">
      <w:pPr>
        <w:spacing w:line="360" w:lineRule="auto"/>
        <w:ind w:firstLine="480" w:firstLineChars="200"/>
        <w:rPr>
          <w:kern w:val="0"/>
          <w:sz w:val="24"/>
        </w:rPr>
      </w:pPr>
      <w:r>
        <w:rPr>
          <w:kern w:val="0"/>
          <w:sz w:val="24"/>
        </w:rPr>
        <w:t>（2）《城市用地分类与规划建设用地标准》（GB50137-2011）</w:t>
      </w:r>
    </w:p>
    <w:p w14:paraId="6EE21A42">
      <w:pPr>
        <w:spacing w:line="360" w:lineRule="auto"/>
        <w:ind w:firstLine="480" w:firstLineChars="200"/>
        <w:rPr>
          <w:kern w:val="0"/>
          <w:sz w:val="24"/>
        </w:rPr>
      </w:pPr>
      <w:r>
        <w:rPr>
          <w:kern w:val="0"/>
          <w:sz w:val="24"/>
        </w:rPr>
        <w:t>（3）《城市规划编制办法》（2006年）</w:t>
      </w:r>
    </w:p>
    <w:p w14:paraId="352C537C">
      <w:pPr>
        <w:spacing w:line="360" w:lineRule="auto"/>
        <w:ind w:firstLine="480" w:firstLineChars="200"/>
        <w:rPr>
          <w:kern w:val="0"/>
          <w:sz w:val="24"/>
        </w:rPr>
      </w:pPr>
      <w:r>
        <w:rPr>
          <w:kern w:val="0"/>
          <w:sz w:val="24"/>
        </w:rPr>
        <w:t>（4）《中华人民共和国环境保护法》（2015年）</w:t>
      </w:r>
    </w:p>
    <w:p w14:paraId="23877CA4">
      <w:pPr>
        <w:spacing w:line="360" w:lineRule="auto"/>
        <w:ind w:firstLine="480" w:firstLineChars="200"/>
        <w:rPr>
          <w:kern w:val="0"/>
          <w:sz w:val="24"/>
        </w:rPr>
      </w:pPr>
      <w:r>
        <w:rPr>
          <w:kern w:val="0"/>
          <w:sz w:val="24"/>
        </w:rPr>
        <w:t>（5）《中华人民共和国土地管理法》（2004年）</w:t>
      </w:r>
    </w:p>
    <w:p w14:paraId="1EC9D972">
      <w:pPr>
        <w:spacing w:line="360" w:lineRule="auto"/>
        <w:ind w:firstLine="480" w:firstLineChars="200"/>
        <w:rPr>
          <w:kern w:val="0"/>
          <w:sz w:val="24"/>
        </w:rPr>
      </w:pPr>
      <w:r>
        <w:rPr>
          <w:kern w:val="0"/>
          <w:sz w:val="24"/>
        </w:rPr>
        <w:t>（6）《国务院关于促进节约集约用地的通知》（国发[2008]3号）</w:t>
      </w:r>
    </w:p>
    <w:p w14:paraId="4F4DD1E9">
      <w:pPr>
        <w:spacing w:line="360" w:lineRule="auto"/>
        <w:ind w:firstLine="480" w:firstLineChars="200"/>
        <w:rPr>
          <w:kern w:val="0"/>
          <w:sz w:val="24"/>
        </w:rPr>
      </w:pPr>
      <w:r>
        <w:rPr>
          <w:kern w:val="0"/>
          <w:sz w:val="24"/>
        </w:rPr>
        <w:t>（7）《中国制造2025》（国发〔2015〕28号）</w:t>
      </w:r>
    </w:p>
    <w:p w14:paraId="16F3A21A">
      <w:pPr>
        <w:spacing w:line="360" w:lineRule="auto"/>
        <w:ind w:firstLine="480" w:firstLineChars="200"/>
        <w:rPr>
          <w:kern w:val="0"/>
          <w:sz w:val="24"/>
        </w:rPr>
      </w:pPr>
      <w:r>
        <w:rPr>
          <w:kern w:val="0"/>
          <w:sz w:val="24"/>
        </w:rPr>
        <w:t>（8）《石化和化学工业发展规划(2016-2020年) 》（工信部规[2016]318号）</w:t>
      </w:r>
    </w:p>
    <w:p w14:paraId="76F72897">
      <w:pPr>
        <w:spacing w:line="360" w:lineRule="auto"/>
        <w:ind w:firstLine="480" w:firstLineChars="200"/>
        <w:rPr>
          <w:kern w:val="0"/>
          <w:sz w:val="24"/>
        </w:rPr>
      </w:pPr>
      <w:r>
        <w:rPr>
          <w:kern w:val="0"/>
          <w:sz w:val="24"/>
        </w:rPr>
        <w:t>（9）《促进化工产业园区规范发展指导意见》（工信部原〔2015〕433号）</w:t>
      </w:r>
    </w:p>
    <w:p w14:paraId="5A48482D">
      <w:pPr>
        <w:spacing w:line="360" w:lineRule="auto"/>
        <w:ind w:firstLine="480" w:firstLineChars="200"/>
        <w:rPr>
          <w:kern w:val="0"/>
          <w:sz w:val="24"/>
        </w:rPr>
      </w:pPr>
      <w:r>
        <w:rPr>
          <w:kern w:val="0"/>
          <w:sz w:val="24"/>
        </w:rPr>
        <w:t>（10）《关于加强化工产业园区环境保护工作的意见》（环发[2012]54号）</w:t>
      </w:r>
    </w:p>
    <w:p w14:paraId="470FB4F9">
      <w:pPr>
        <w:spacing w:line="360" w:lineRule="auto"/>
        <w:ind w:firstLine="480" w:firstLineChars="200"/>
        <w:rPr>
          <w:kern w:val="0"/>
          <w:sz w:val="24"/>
        </w:rPr>
      </w:pPr>
      <w:r>
        <w:rPr>
          <w:kern w:val="0"/>
          <w:sz w:val="24"/>
        </w:rPr>
        <w:t>（11）《2015年循环经济推进计划》（发改环资[2015]769号）</w:t>
      </w:r>
    </w:p>
    <w:p w14:paraId="6186DC29">
      <w:pPr>
        <w:pStyle w:val="45"/>
        <w:spacing w:line="360" w:lineRule="auto"/>
        <w:ind w:firstLine="480"/>
        <w:rPr>
          <w:kern w:val="0"/>
          <w:sz w:val="24"/>
        </w:rPr>
      </w:pPr>
      <w:r>
        <w:rPr>
          <w:kern w:val="0"/>
          <w:sz w:val="24"/>
        </w:rPr>
        <w:t>（12）《产业结构调整指导目录》（2011年本2013年修正）中华人民共和国国家发展和改革委员会令第21号2013年2月</w:t>
      </w:r>
    </w:p>
    <w:p w14:paraId="754816C7">
      <w:pPr>
        <w:spacing w:line="360" w:lineRule="auto"/>
        <w:ind w:firstLine="480" w:firstLineChars="200"/>
        <w:rPr>
          <w:kern w:val="0"/>
          <w:sz w:val="24"/>
        </w:rPr>
      </w:pPr>
      <w:r>
        <w:rPr>
          <w:kern w:val="0"/>
          <w:sz w:val="24"/>
        </w:rPr>
        <w:t>（13）《安徽省城乡规划条例》（2010年）</w:t>
      </w:r>
    </w:p>
    <w:p w14:paraId="0D0BC5B9">
      <w:pPr>
        <w:spacing w:line="360" w:lineRule="auto"/>
        <w:ind w:firstLine="480" w:firstLineChars="200"/>
        <w:rPr>
          <w:kern w:val="0"/>
          <w:sz w:val="24"/>
        </w:rPr>
      </w:pPr>
      <w:r>
        <w:rPr>
          <w:kern w:val="0"/>
          <w:sz w:val="24"/>
        </w:rPr>
        <w:t>（14）《安徽省新型化工基地发展纲要( 2013-2020 年)》（皖政〔2013〕13 号）</w:t>
      </w:r>
    </w:p>
    <w:p w14:paraId="38F9915C">
      <w:pPr>
        <w:pStyle w:val="45"/>
        <w:spacing w:line="360" w:lineRule="auto"/>
        <w:ind w:firstLine="480"/>
        <w:rPr>
          <w:kern w:val="0"/>
          <w:sz w:val="24"/>
        </w:rPr>
      </w:pPr>
      <w:r>
        <w:rPr>
          <w:kern w:val="0"/>
          <w:sz w:val="24"/>
        </w:rPr>
        <w:t>（15）《安徽省人民政府关于进一步推进节约集约用地的若干意见》（皖政办〔2011〕64号）</w:t>
      </w:r>
    </w:p>
    <w:p w14:paraId="1F26BE0D">
      <w:pPr>
        <w:spacing w:line="360" w:lineRule="auto"/>
        <w:ind w:firstLine="480" w:firstLineChars="200"/>
        <w:rPr>
          <w:kern w:val="0"/>
          <w:sz w:val="24"/>
        </w:rPr>
      </w:pPr>
      <w:r>
        <w:rPr>
          <w:kern w:val="0"/>
          <w:sz w:val="24"/>
        </w:rPr>
        <w:t>（16）《关于深入推进高成长性产业加快发展的意见》（皖政[2014]58号）</w:t>
      </w:r>
    </w:p>
    <w:p w14:paraId="26B63F07">
      <w:pPr>
        <w:spacing w:line="360" w:lineRule="auto"/>
        <w:ind w:firstLine="480" w:firstLineChars="200"/>
        <w:rPr>
          <w:kern w:val="0"/>
          <w:sz w:val="24"/>
        </w:rPr>
      </w:pPr>
      <w:r>
        <w:rPr>
          <w:kern w:val="0"/>
          <w:sz w:val="24"/>
        </w:rPr>
        <w:t>（17）《关于促进我省化工产业健康发展的意见》（皖政办〔2012〕57号文）</w:t>
      </w:r>
    </w:p>
    <w:p w14:paraId="60CA90BD">
      <w:pPr>
        <w:pStyle w:val="45"/>
        <w:spacing w:line="360" w:lineRule="auto"/>
        <w:ind w:firstLine="480"/>
        <w:rPr>
          <w:kern w:val="0"/>
          <w:sz w:val="24"/>
        </w:rPr>
      </w:pPr>
      <w:r>
        <w:rPr>
          <w:kern w:val="0"/>
          <w:sz w:val="24"/>
        </w:rPr>
        <w:t>（18）《安徽省人民政府关于进一步强化土地节约集约利用工作的意见》（皖政〔2013〕58号）</w:t>
      </w:r>
    </w:p>
    <w:p w14:paraId="07179D36">
      <w:pPr>
        <w:spacing w:line="360" w:lineRule="auto"/>
        <w:ind w:firstLine="480" w:firstLineChars="200"/>
        <w:rPr>
          <w:kern w:val="0"/>
          <w:sz w:val="24"/>
        </w:rPr>
      </w:pPr>
      <w:r>
        <w:rPr>
          <w:kern w:val="0"/>
          <w:sz w:val="24"/>
        </w:rPr>
        <w:t>（19）《淮南市东部工业区总体规划》（2008-2020）</w:t>
      </w:r>
    </w:p>
    <w:p w14:paraId="6940E8F6">
      <w:pPr>
        <w:pStyle w:val="45"/>
        <w:spacing w:line="360" w:lineRule="auto"/>
        <w:ind w:firstLine="480"/>
        <w:rPr>
          <w:kern w:val="0"/>
          <w:sz w:val="24"/>
        </w:rPr>
      </w:pPr>
      <w:r>
        <w:rPr>
          <w:kern w:val="0"/>
          <w:sz w:val="24"/>
        </w:rPr>
        <w:t>（20）淮南经济技术开发区总体规划(2015-2020年)</w:t>
      </w:r>
    </w:p>
    <w:p w14:paraId="0FECEAA5">
      <w:pPr>
        <w:spacing w:line="360" w:lineRule="auto"/>
        <w:ind w:firstLine="480" w:firstLineChars="200"/>
        <w:rPr>
          <w:kern w:val="0"/>
          <w:sz w:val="24"/>
        </w:rPr>
      </w:pPr>
      <w:r>
        <w:rPr>
          <w:kern w:val="0"/>
          <w:sz w:val="24"/>
        </w:rPr>
        <w:t>（21）《淮南市城市总体规划（2005-2020年）》</w:t>
      </w:r>
    </w:p>
    <w:p w14:paraId="24A333A0">
      <w:pPr>
        <w:spacing w:line="360" w:lineRule="auto"/>
        <w:ind w:firstLine="480" w:firstLineChars="200"/>
        <w:rPr>
          <w:kern w:val="0"/>
          <w:sz w:val="24"/>
        </w:rPr>
      </w:pPr>
      <w:r>
        <w:rPr>
          <w:kern w:val="0"/>
          <w:sz w:val="24"/>
        </w:rPr>
        <w:t>（22）《淮南市关于进一步加强危险化学品安全监督管理工作的意见》（淮安﹝2016﹞8号）</w:t>
      </w:r>
    </w:p>
    <w:p w14:paraId="6557F2DD">
      <w:pPr>
        <w:spacing w:line="360" w:lineRule="auto"/>
        <w:ind w:firstLine="480" w:firstLineChars="200"/>
        <w:rPr>
          <w:kern w:val="0"/>
          <w:sz w:val="24"/>
        </w:rPr>
      </w:pPr>
      <w:r>
        <w:rPr>
          <w:kern w:val="0"/>
          <w:sz w:val="24"/>
        </w:rPr>
        <w:t>（23）《大通区土地利用总体规划（2006-2020年）》</w:t>
      </w:r>
    </w:p>
    <w:p w14:paraId="0299CFA4">
      <w:pPr>
        <w:spacing w:line="360" w:lineRule="auto"/>
        <w:ind w:firstLine="480" w:firstLineChars="200"/>
        <w:rPr>
          <w:kern w:val="0"/>
          <w:sz w:val="24"/>
        </w:rPr>
      </w:pPr>
      <w:r>
        <w:rPr>
          <w:kern w:val="0"/>
          <w:sz w:val="24"/>
        </w:rPr>
        <w:t>（24）《石油化工企业卫生防护距离(附条文说明)》（SH 3093-1999）</w:t>
      </w:r>
    </w:p>
    <w:p w14:paraId="6F449275">
      <w:pPr>
        <w:spacing w:line="360" w:lineRule="auto"/>
        <w:ind w:firstLine="480" w:firstLineChars="200"/>
        <w:jc w:val="left"/>
        <w:rPr>
          <w:sz w:val="24"/>
        </w:rPr>
      </w:pPr>
      <w:r>
        <w:rPr>
          <w:kern w:val="0"/>
          <w:sz w:val="24"/>
        </w:rPr>
        <w:t>（25）《</w:t>
      </w:r>
      <w:r>
        <w:rPr>
          <w:sz w:val="24"/>
        </w:rPr>
        <w:t>淮南市化工产业发展规划（2021-2025年）</w:t>
      </w:r>
      <w:r>
        <w:rPr>
          <w:kern w:val="0"/>
          <w:sz w:val="24"/>
        </w:rPr>
        <w:t>》</w:t>
      </w:r>
    </w:p>
    <w:p w14:paraId="2396CB49">
      <w:pPr>
        <w:spacing w:line="360" w:lineRule="auto"/>
        <w:ind w:firstLine="480" w:firstLineChars="200"/>
        <w:jc w:val="left"/>
        <w:rPr>
          <w:sz w:val="24"/>
        </w:rPr>
      </w:pPr>
      <w:r>
        <w:rPr>
          <w:sz w:val="24"/>
        </w:rPr>
        <w:t>（26）《淮南市“十四五”工业发展规划》</w:t>
      </w:r>
    </w:p>
    <w:p w14:paraId="27BDF71F">
      <w:pPr>
        <w:spacing w:line="360" w:lineRule="auto"/>
        <w:ind w:firstLine="480" w:firstLineChars="200"/>
        <w:jc w:val="left"/>
        <w:rPr>
          <w:sz w:val="24"/>
        </w:rPr>
      </w:pPr>
      <w:r>
        <w:rPr>
          <w:sz w:val="24"/>
        </w:rPr>
        <w:t>（2</w:t>
      </w:r>
      <w:r>
        <w:rPr>
          <w:rFonts w:hint="eastAsia"/>
          <w:sz w:val="24"/>
        </w:rPr>
        <w:t>7</w:t>
      </w:r>
      <w:r>
        <w:rPr>
          <w:sz w:val="24"/>
        </w:rPr>
        <w:t>）《淮南经济技术开发区总体规划（2015-2020）》</w:t>
      </w:r>
    </w:p>
    <w:p w14:paraId="47224CC7">
      <w:pPr>
        <w:spacing w:line="360" w:lineRule="auto"/>
        <w:ind w:firstLine="480" w:firstLineChars="200"/>
        <w:jc w:val="left"/>
        <w:rPr>
          <w:sz w:val="24"/>
        </w:rPr>
      </w:pPr>
      <w:r>
        <w:rPr>
          <w:sz w:val="24"/>
        </w:rPr>
        <w:t>（2</w:t>
      </w:r>
      <w:r>
        <w:rPr>
          <w:rFonts w:hint="eastAsia"/>
          <w:sz w:val="24"/>
        </w:rPr>
        <w:t>8</w:t>
      </w:r>
      <w:r>
        <w:rPr>
          <w:sz w:val="24"/>
        </w:rPr>
        <w:t>）《安徽省国民经济和社会发展第十四个五年规划和2035年远景目标纲要》</w:t>
      </w:r>
    </w:p>
    <w:p w14:paraId="71D63342">
      <w:pPr>
        <w:spacing w:line="360" w:lineRule="auto"/>
        <w:ind w:firstLine="480" w:firstLineChars="200"/>
        <w:jc w:val="left"/>
        <w:rPr>
          <w:sz w:val="24"/>
        </w:rPr>
      </w:pPr>
      <w:r>
        <w:rPr>
          <w:sz w:val="24"/>
        </w:rPr>
        <w:t>（2</w:t>
      </w:r>
      <w:r>
        <w:rPr>
          <w:rFonts w:hint="eastAsia"/>
          <w:sz w:val="24"/>
        </w:rPr>
        <w:t>9</w:t>
      </w:r>
      <w:r>
        <w:rPr>
          <w:sz w:val="24"/>
        </w:rPr>
        <w:t>）《淮南市国民经济和社会发展第十四个五年规划和2035年远景目标纲要》</w:t>
      </w:r>
    </w:p>
    <w:p w14:paraId="70AF9796">
      <w:pPr>
        <w:spacing w:line="360" w:lineRule="auto"/>
        <w:ind w:firstLine="480" w:firstLineChars="200"/>
        <w:jc w:val="left"/>
        <w:rPr>
          <w:sz w:val="24"/>
        </w:rPr>
      </w:pPr>
      <w:r>
        <w:rPr>
          <w:sz w:val="24"/>
        </w:rPr>
        <w:t>（</w:t>
      </w:r>
      <w:r>
        <w:rPr>
          <w:rFonts w:hint="eastAsia"/>
          <w:sz w:val="24"/>
        </w:rPr>
        <w:t>30</w:t>
      </w:r>
      <w:r>
        <w:rPr>
          <w:sz w:val="24"/>
        </w:rPr>
        <w:t>）《化工园区建设标准和认定管理办法（试行）》（工信部联原〔2021〕220号文）</w:t>
      </w:r>
    </w:p>
    <w:p w14:paraId="6D2006CB">
      <w:pPr>
        <w:spacing w:line="360" w:lineRule="auto"/>
        <w:ind w:firstLine="480" w:firstLineChars="200"/>
        <w:jc w:val="left"/>
        <w:rPr>
          <w:sz w:val="24"/>
        </w:rPr>
      </w:pPr>
      <w:r>
        <w:rPr>
          <w:sz w:val="24"/>
        </w:rPr>
        <w:t>（3</w:t>
      </w:r>
      <w:r>
        <w:rPr>
          <w:rFonts w:hint="eastAsia"/>
          <w:sz w:val="24"/>
        </w:rPr>
        <w:t>1</w:t>
      </w:r>
      <w:r>
        <w:rPr>
          <w:sz w:val="24"/>
        </w:rPr>
        <w:t>）《安徽发展改革委等部门关于印发安徽省化工园区认定办法（试行）的通知》（皖发改产业〔2022〕355号）</w:t>
      </w:r>
    </w:p>
    <w:p w14:paraId="6B1484BE">
      <w:pPr>
        <w:spacing w:line="360" w:lineRule="auto"/>
        <w:ind w:firstLine="480" w:firstLineChars="200"/>
        <w:jc w:val="left"/>
        <w:rPr>
          <w:sz w:val="24"/>
        </w:rPr>
      </w:pPr>
      <w:r>
        <w:rPr>
          <w:sz w:val="24"/>
        </w:rPr>
        <w:t>（3</w:t>
      </w:r>
      <w:r>
        <w:rPr>
          <w:rFonts w:hint="eastAsia"/>
          <w:sz w:val="24"/>
        </w:rPr>
        <w:t>2</w:t>
      </w:r>
      <w:r>
        <w:rPr>
          <w:sz w:val="24"/>
        </w:rPr>
        <w:t>）《应急管理部危化监管一司关于征求化工园区安全整治提升工作方案（征求意见稿）意见的函》</w:t>
      </w:r>
    </w:p>
    <w:p w14:paraId="04BF6341">
      <w:pPr>
        <w:spacing w:line="360" w:lineRule="auto"/>
        <w:ind w:firstLine="480" w:firstLineChars="200"/>
        <w:jc w:val="left"/>
        <w:rPr>
          <w:sz w:val="24"/>
        </w:rPr>
      </w:pPr>
      <w:r>
        <w:rPr>
          <w:sz w:val="24"/>
        </w:rPr>
        <w:t>（3</w:t>
      </w:r>
      <w:r>
        <w:rPr>
          <w:rFonts w:hint="eastAsia"/>
          <w:sz w:val="24"/>
        </w:rPr>
        <w:t>3</w:t>
      </w:r>
      <w:r>
        <w:rPr>
          <w:sz w:val="24"/>
        </w:rPr>
        <w:t>）《关于进一步规范化工项目建设管理的通知》（皖经信原材料〔2022〕73号）</w:t>
      </w:r>
    </w:p>
    <w:p w14:paraId="04B93D48">
      <w:pPr>
        <w:spacing w:line="360" w:lineRule="auto"/>
        <w:ind w:firstLine="480" w:firstLineChars="200"/>
        <w:jc w:val="left"/>
        <w:rPr>
          <w:sz w:val="24"/>
        </w:rPr>
      </w:pPr>
      <w:r>
        <w:rPr>
          <w:sz w:val="24"/>
        </w:rPr>
        <w:t>（3</w:t>
      </w:r>
      <w:r>
        <w:rPr>
          <w:rFonts w:hint="eastAsia"/>
          <w:sz w:val="24"/>
        </w:rPr>
        <w:t>4</w:t>
      </w:r>
      <w:r>
        <w:rPr>
          <w:sz w:val="24"/>
        </w:rPr>
        <w:t>）《安徽省自然资源厅关于核定淮南经开化工园区四至范围和面积的通知》（皖自然资用函〔2023〕21号）</w:t>
      </w:r>
    </w:p>
    <w:p w14:paraId="280CE00E">
      <w:pPr>
        <w:spacing w:line="360" w:lineRule="auto"/>
        <w:ind w:firstLine="480" w:firstLineChars="200"/>
        <w:jc w:val="left"/>
        <w:rPr>
          <w:sz w:val="24"/>
        </w:rPr>
      </w:pPr>
      <w:r>
        <w:rPr>
          <w:sz w:val="24"/>
        </w:rPr>
        <w:t>（3</w:t>
      </w:r>
      <w:r>
        <w:rPr>
          <w:rFonts w:hint="eastAsia"/>
          <w:sz w:val="24"/>
        </w:rPr>
        <w:t>5</w:t>
      </w:r>
      <w:r>
        <w:rPr>
          <w:sz w:val="24"/>
        </w:rPr>
        <w:t>）</w:t>
      </w:r>
      <w:r>
        <w:rPr>
          <w:rFonts w:hint="eastAsia"/>
          <w:sz w:val="24"/>
        </w:rPr>
        <w:t>《淮南经开区整体性风险评估报告》</w:t>
      </w:r>
    </w:p>
    <w:p w14:paraId="745E51BA">
      <w:pPr>
        <w:spacing w:line="360" w:lineRule="auto"/>
        <w:ind w:firstLine="480" w:firstLineChars="200"/>
        <w:jc w:val="left"/>
        <w:rPr>
          <w:sz w:val="24"/>
        </w:rPr>
      </w:pPr>
      <w:r>
        <w:rPr>
          <w:sz w:val="24"/>
        </w:rPr>
        <w:t>（3</w:t>
      </w:r>
      <w:r>
        <w:rPr>
          <w:rFonts w:hint="eastAsia"/>
          <w:sz w:val="24"/>
        </w:rPr>
        <w:t>6</w:t>
      </w:r>
      <w:r>
        <w:rPr>
          <w:sz w:val="24"/>
        </w:rPr>
        <w:t>）国家及省、市相关法律、法规、规范和标准</w:t>
      </w:r>
    </w:p>
    <w:p w14:paraId="10A3E8B0">
      <w:pPr>
        <w:spacing w:line="360" w:lineRule="auto"/>
        <w:ind w:firstLine="480" w:firstLineChars="200"/>
        <w:jc w:val="left"/>
        <w:rPr>
          <w:sz w:val="24"/>
        </w:rPr>
      </w:pPr>
      <w:r>
        <w:rPr>
          <w:sz w:val="24"/>
        </w:rPr>
        <w:t>（3</w:t>
      </w:r>
      <w:r>
        <w:rPr>
          <w:rFonts w:hint="eastAsia"/>
          <w:sz w:val="24"/>
        </w:rPr>
        <w:t>7</w:t>
      </w:r>
      <w:r>
        <w:rPr>
          <w:sz w:val="24"/>
        </w:rPr>
        <w:t>）淮南市及大通区各部门提供的相关资料</w:t>
      </w:r>
    </w:p>
    <w:p w14:paraId="417E7CC0">
      <w:pPr>
        <w:pStyle w:val="5"/>
        <w:numPr>
          <w:ilvl w:val="2"/>
          <w:numId w:val="2"/>
        </w:numPr>
        <w:spacing w:afterLines="50"/>
        <w:ind w:firstLine="0"/>
        <w:rPr>
          <w:sz w:val="24"/>
          <w:szCs w:val="24"/>
        </w:rPr>
      </w:pPr>
      <w:r>
        <w:rPr>
          <w:sz w:val="24"/>
          <w:szCs w:val="24"/>
        </w:rPr>
        <w:t>规划区性质</w:t>
      </w:r>
    </w:p>
    <w:p w14:paraId="1DA5B1FC">
      <w:pPr>
        <w:spacing w:line="360" w:lineRule="auto"/>
        <w:ind w:firstLine="480" w:firstLineChars="200"/>
        <w:rPr>
          <w:kern w:val="0"/>
          <w:sz w:val="24"/>
        </w:rPr>
      </w:pPr>
      <w:r>
        <w:rPr>
          <w:kern w:val="0"/>
          <w:sz w:val="24"/>
        </w:rPr>
        <w:t>本规划与《淮南市国民经济和社会发展第十四个五年规划和2035年远景目标纲要》和《淮南经济技术开发区总体规划(2015-2020年)》在产业发展与空间布局规划具有相容性。</w:t>
      </w:r>
    </w:p>
    <w:p w14:paraId="0A0F6AE0">
      <w:pPr>
        <w:spacing w:line="360" w:lineRule="auto"/>
        <w:ind w:firstLine="480" w:firstLineChars="200"/>
        <w:jc w:val="left"/>
        <w:rPr>
          <w:sz w:val="24"/>
        </w:rPr>
      </w:pPr>
      <w:r>
        <w:rPr>
          <w:sz w:val="24"/>
        </w:rPr>
        <w:t>《淮南市国民经济和社会发展第十四个五年规划和2035年远景目标纲要》中第三章第一节 深度融入长三角一体化发展：坚持高质量推进能源保障一体化，以长三角地区清洁能源供应基地及化工原材料生产基地为依托，保障长三角能源供应安全可靠。全面落实国家促进皖北承接产业转移集聚区建设若干政策措施，用足用好用地保障、人才培育引进、电力和天然气价格市场化改革等重大政策，加快承接中心区工程机械、轻工食品、纺织服装、化工新材料等产业。</w:t>
      </w:r>
    </w:p>
    <w:p w14:paraId="25B70465">
      <w:pPr>
        <w:spacing w:line="360" w:lineRule="auto"/>
        <w:ind w:firstLine="480" w:firstLineChars="200"/>
        <w:jc w:val="left"/>
        <w:rPr>
          <w:sz w:val="24"/>
        </w:rPr>
      </w:pPr>
      <w:r>
        <w:rPr>
          <w:sz w:val="24"/>
        </w:rPr>
        <w:t xml:space="preserve">第六章第一节中培育发展化工新材料：围绕煤化工基础材料进行延链，培育和引入发展高性能合成橡胶及弹性体、工程塑料及特种工程塑料、功能性高分子材料等精细化工材料，积极引育化学试剂和助剂、专项化学用品、医学生产用信息化学品、电子专用材料等电子专用化学品，大力发展高固体分子涂料、丙烯酸防水涂料等环保型功能涂料。 </w:t>
      </w:r>
    </w:p>
    <w:p w14:paraId="74A1E1D5">
      <w:pPr>
        <w:numPr>
          <w:ilvl w:val="0"/>
          <w:numId w:val="4"/>
        </w:numPr>
        <w:spacing w:line="360" w:lineRule="auto"/>
        <w:ind w:firstLine="480" w:firstLineChars="200"/>
        <w:jc w:val="left"/>
        <w:rPr>
          <w:sz w:val="24"/>
        </w:rPr>
      </w:pPr>
      <w:r>
        <w:rPr>
          <w:sz w:val="24"/>
        </w:rPr>
        <w:t>培育壮大生物和大健康产业做强生物医药产业。发挥国药集团的资源优势、省级药物冻干工程研究中心的科研优势和新药制剂冻干的产品优势，加大新产品研发力度，重点发展抗感染药、心脑血管药、肿瘤治疗药、呼吸系统药品、冻干产品、特色化的小容量注射剂产品等，形成安徽最大的化学制剂药品生产基地。加快发展生物制药及血液制品，开发、引进与生产治疗心脏病、血液病、肝炎等疾病的专用药物和提高免疫力的生物药物。发挥市场优势和企业自身核心技术优势，逐步做精做大做强，形成安徽乃至全国一流的生物制药生产基地。发挥淮南原料药生产基础优势，通过合资合作、技改扩建新建，提升原料药实际生产能力。加快高端精细原料药、新品种原料药研发和产业化。依托省级药用辅料产业技术创新战略联盟、院士工作站等创新平台，积极开发高端制剂、可提供特定功能的辅料和功能性材料，形成全国最大的药用辅料生产基地。超前谋划生物医药前沿产业。积极对接长三角，瞄准DNA数据存储、纳米生物技术、脑机接口等前沿方向，在生物医药和医疗器械领域进行前沿技术商业应用的超前布局谋划，重点关注疫苗技术，引进一批具有自主知识产权核心技术和核心产品的国内外知名企业。</w:t>
      </w:r>
    </w:p>
    <w:p w14:paraId="3EEC6B1E">
      <w:pPr>
        <w:spacing w:line="360" w:lineRule="auto"/>
        <w:ind w:firstLine="480" w:firstLineChars="200"/>
        <w:jc w:val="left"/>
        <w:rPr>
          <w:kern w:val="0"/>
          <w:sz w:val="24"/>
        </w:rPr>
      </w:pPr>
      <w:r>
        <w:rPr>
          <w:kern w:val="0"/>
          <w:sz w:val="24"/>
        </w:rPr>
        <w:t>《淮南经济技术开发区总体规划(2015-2020年)》其中对制造业布局结构三个制造业板块分别为：现代医药与大健康产业板块、装备制造产业板块、轻纺服装产业。淮南经开化工园区属于现代医药与大健康产业板块。</w:t>
      </w:r>
    </w:p>
    <w:p w14:paraId="1327C87F">
      <w:pPr>
        <w:spacing w:line="360" w:lineRule="auto"/>
        <w:ind w:firstLine="480" w:firstLineChars="200"/>
        <w:jc w:val="left"/>
      </w:pPr>
      <w:r>
        <w:rPr>
          <w:sz w:val="24"/>
        </w:rPr>
        <w:t>依据《安徽省自然资源厅关于核定淮南经开化工园区四至范围和面积的通知》（皖自然资用函〔2023〕21号），经省自然资源与规划厅核定淮南经开化工园区省政府批准面积158.9公顷，园区上报范围总面积</w:t>
      </w:r>
      <w:r>
        <w:rPr>
          <w:rFonts w:hint="eastAsia"/>
          <w:sz w:val="24"/>
        </w:rPr>
        <w:t>153.14</w:t>
      </w:r>
      <w:r>
        <w:rPr>
          <w:sz w:val="24"/>
        </w:rPr>
        <w:t>公顷，包含两个区块，其中区块一面积33.0</w:t>
      </w:r>
      <w:r>
        <w:rPr>
          <w:rFonts w:hint="eastAsia"/>
          <w:sz w:val="24"/>
        </w:rPr>
        <w:t>4</w:t>
      </w:r>
      <w:r>
        <w:rPr>
          <w:sz w:val="24"/>
        </w:rPr>
        <w:t>公顷，四至范围为：东至永兴路，南至田东路，西至皖淮化工厂留守处，</w:t>
      </w:r>
      <w:r>
        <w:rPr>
          <w:rFonts w:hint="eastAsia"/>
          <w:sz w:val="24"/>
        </w:rPr>
        <w:t>北至规划电厂路</w:t>
      </w:r>
      <w:r>
        <w:rPr>
          <w:sz w:val="24"/>
        </w:rPr>
        <w:t>；区块二面积12</w:t>
      </w:r>
      <w:r>
        <w:rPr>
          <w:rFonts w:hint="eastAsia"/>
          <w:sz w:val="24"/>
        </w:rPr>
        <w:t>0.10</w:t>
      </w:r>
      <w:r>
        <w:rPr>
          <w:sz w:val="24"/>
        </w:rPr>
        <w:t>公顷，四至范围为：东至东兴路，南至朝阳东路，</w:t>
      </w:r>
      <w:r>
        <w:rPr>
          <w:rFonts w:hint="eastAsia"/>
          <w:sz w:val="24"/>
        </w:rPr>
        <w:t>西至屯头排涝站排涝干渠</w:t>
      </w:r>
      <w:r>
        <w:rPr>
          <w:sz w:val="24"/>
        </w:rPr>
        <w:t>，北至长富路。规划产业定位：以医药化工产业为主，力争打造成为省内医药化工研发中心和生产基地。</w:t>
      </w:r>
    </w:p>
    <w:p w14:paraId="04360A9C">
      <w:pPr>
        <w:widowControl/>
        <w:shd w:val="clear" w:color="auto" w:fill="FFFFFF"/>
        <w:spacing w:line="360" w:lineRule="auto"/>
        <w:ind w:firstLine="480" w:firstLineChars="200"/>
        <w:jc w:val="left"/>
        <w:rPr>
          <w:kern w:val="0"/>
          <w:sz w:val="24"/>
        </w:rPr>
      </w:pPr>
      <w:r>
        <w:rPr>
          <w:kern w:val="0"/>
          <w:sz w:val="24"/>
        </w:rPr>
        <w:t>此外，化工园区还规划了为项目建设相配套的水、电、汽、道路、通讯、绿化、市政、公用工程及辅助设施。</w:t>
      </w:r>
    </w:p>
    <w:p w14:paraId="2D0AE14E">
      <w:pPr>
        <w:pStyle w:val="5"/>
        <w:numPr>
          <w:ilvl w:val="2"/>
          <w:numId w:val="2"/>
        </w:numPr>
        <w:spacing w:afterLines="50"/>
        <w:ind w:firstLine="0"/>
        <w:rPr>
          <w:sz w:val="24"/>
          <w:szCs w:val="24"/>
        </w:rPr>
      </w:pPr>
      <w:r>
        <w:rPr>
          <w:sz w:val="24"/>
          <w:szCs w:val="24"/>
        </w:rPr>
        <w:t>产业定位</w:t>
      </w:r>
    </w:p>
    <w:p w14:paraId="7185E5E9">
      <w:pPr>
        <w:spacing w:line="360" w:lineRule="auto"/>
        <w:ind w:firstLine="480" w:firstLineChars="200"/>
        <w:rPr>
          <w:kern w:val="0"/>
          <w:sz w:val="24"/>
        </w:rPr>
      </w:pPr>
      <w:r>
        <w:rPr>
          <w:kern w:val="0"/>
          <w:sz w:val="24"/>
        </w:rPr>
        <w:t>依据《淮南市人民政府关于调整淮南经济技术开发区化工集中区四至范围的批复》（淮政秘【2018】201号），本化工园区定位：重点发展医药化工。</w:t>
      </w:r>
    </w:p>
    <w:p w14:paraId="1ACD78B3">
      <w:pPr>
        <w:pStyle w:val="4"/>
        <w:numPr>
          <w:ilvl w:val="1"/>
          <w:numId w:val="2"/>
        </w:numPr>
        <w:spacing w:before="156" w:after="156"/>
        <w:ind w:firstLine="0"/>
        <w:rPr>
          <w:rFonts w:ascii="Times New Roman" w:hAnsi="Times New Roman"/>
          <w:sz w:val="24"/>
          <w:szCs w:val="24"/>
        </w:rPr>
      </w:pPr>
      <w:bookmarkStart w:id="36" w:name="_Toc1628631"/>
      <w:bookmarkStart w:id="37" w:name="_Toc369270760"/>
      <w:bookmarkStart w:id="38" w:name="_Toc28797"/>
      <w:r>
        <w:rPr>
          <w:rFonts w:ascii="Times New Roman" w:hAnsi="Times New Roman"/>
          <w:sz w:val="24"/>
          <w:szCs w:val="24"/>
        </w:rPr>
        <w:t>规划的必要性及意义</w:t>
      </w:r>
      <w:bookmarkEnd w:id="36"/>
      <w:bookmarkEnd w:id="37"/>
      <w:bookmarkEnd w:id="38"/>
      <w:bookmarkStart w:id="39" w:name="_Toc369270761"/>
    </w:p>
    <w:p w14:paraId="03B0B4A8">
      <w:pPr>
        <w:spacing w:line="360" w:lineRule="auto"/>
        <w:outlineLvl w:val="2"/>
        <w:rPr>
          <w:b/>
          <w:sz w:val="24"/>
        </w:rPr>
      </w:pPr>
      <w:r>
        <w:rPr>
          <w:b/>
          <w:sz w:val="24"/>
        </w:rPr>
        <w:t>1.3.1规划的必要性</w:t>
      </w:r>
    </w:p>
    <w:p w14:paraId="57B6FEFE">
      <w:pPr>
        <w:spacing w:line="360" w:lineRule="auto"/>
        <w:ind w:firstLine="480" w:firstLineChars="200"/>
        <w:jc w:val="left"/>
        <w:rPr>
          <w:sz w:val="24"/>
        </w:rPr>
      </w:pPr>
      <w:r>
        <w:rPr>
          <w:sz w:val="24"/>
        </w:rPr>
        <w:t>（1）明确化工园区产业发展方向，加速产业结构调整</w:t>
      </w:r>
    </w:p>
    <w:p w14:paraId="28EC34B1">
      <w:pPr>
        <w:spacing w:line="360" w:lineRule="auto"/>
        <w:ind w:firstLine="480" w:firstLineChars="200"/>
        <w:jc w:val="left"/>
        <w:rPr>
          <w:sz w:val="24"/>
        </w:rPr>
      </w:pPr>
      <w:r>
        <w:rPr>
          <w:sz w:val="24"/>
        </w:rPr>
        <w:t>根据《安徽省国民经济和社会发展第十四个五年规划和二〇三五年远景目标纲要》《淮南市国民经济和社会发展第十四个五年规划和二〇三五年远景目标纲要》《淮南经济技术开发区总体规划（2015-2020）》等，结合安徽省“十四五”期间产业发展政策和淮南经开化工园区产业情况，对淮南经开化工园区现状企业产业状况进行有效梳理，确定符合本区域发展实际情况的产业发展方向，鼓励和支持企业加速产品提档升级和结构调整，对现有产业及产能进行有机融合，按照产业链上下游一体化关系合理布置各生产装置，实现资源上下游聚集链状发展模式，减少物流运输成本，并扩大产能，提高市场占有率。</w:t>
      </w:r>
    </w:p>
    <w:p w14:paraId="40EE4302">
      <w:pPr>
        <w:spacing w:line="360" w:lineRule="auto"/>
        <w:ind w:firstLine="480" w:firstLineChars="200"/>
        <w:jc w:val="left"/>
        <w:rPr>
          <w:sz w:val="24"/>
        </w:rPr>
      </w:pPr>
      <w:r>
        <w:rPr>
          <w:sz w:val="24"/>
        </w:rPr>
        <w:t>（2）加快工艺技术和装备水平的提升</w:t>
      </w:r>
    </w:p>
    <w:p w14:paraId="361A95BA">
      <w:pPr>
        <w:spacing w:line="360" w:lineRule="auto"/>
        <w:ind w:firstLine="480" w:firstLineChars="200"/>
        <w:jc w:val="left"/>
        <w:rPr>
          <w:sz w:val="24"/>
        </w:rPr>
      </w:pPr>
      <w:r>
        <w:rPr>
          <w:sz w:val="24"/>
        </w:rPr>
        <w:t>抓住“十四五”建设发展契机，针对医药化工产业技术与装备、生产工艺流程的现状，进行重点环节的技术改造。积极承接国内外先进产业技术，与国内外知名工程设计公司进行合作与交流，引进、消化和吸收先进的制造技术和管理技术，提升产品层次，推进产品结构升级。</w:t>
      </w:r>
    </w:p>
    <w:p w14:paraId="1DB7FAC6">
      <w:pPr>
        <w:spacing w:line="360" w:lineRule="auto"/>
        <w:ind w:firstLine="480" w:firstLineChars="200"/>
        <w:jc w:val="left"/>
        <w:rPr>
          <w:sz w:val="24"/>
        </w:rPr>
      </w:pPr>
      <w:r>
        <w:rPr>
          <w:sz w:val="24"/>
        </w:rPr>
        <w:t>（3）降低安全和环保风险</w:t>
      </w:r>
    </w:p>
    <w:p w14:paraId="1DB2990C">
      <w:pPr>
        <w:spacing w:line="360" w:lineRule="auto"/>
        <w:ind w:firstLine="480" w:firstLineChars="200"/>
        <w:jc w:val="left"/>
        <w:rPr>
          <w:sz w:val="24"/>
        </w:rPr>
      </w:pPr>
      <w:r>
        <w:rPr>
          <w:sz w:val="24"/>
        </w:rPr>
        <w:t>依据安徽省应急管理厅发布的《关于安徽省化工园区（第一批）名单的公示)》（2021年2月4日），淮南经开化工园区属于符合《安徽省化工园区认定办法》条件的安徽省化工园区（第一批）中的名单，依据《安徽省自然资源厅关于核定淮南经开化工园区四至范围和面积的通知》（皖自然资用函〔2023〕21号）</w:t>
      </w:r>
      <w:r>
        <w:rPr>
          <w:kern w:val="0"/>
          <w:sz w:val="24"/>
        </w:rPr>
        <w:t>，</w:t>
      </w:r>
      <w:r>
        <w:rPr>
          <w:sz w:val="24"/>
        </w:rPr>
        <w:t>经省自然资源与规划厅核定淮南经开化工园区省政府批准面积158.9公顷，园区上报范围总面积</w:t>
      </w:r>
      <w:r>
        <w:rPr>
          <w:rFonts w:hint="eastAsia"/>
          <w:sz w:val="24"/>
        </w:rPr>
        <w:t>153.14</w:t>
      </w:r>
      <w:r>
        <w:rPr>
          <w:sz w:val="24"/>
        </w:rPr>
        <w:t>公顷，包含两个区块。目前区块一总规划面积</w:t>
      </w:r>
      <w:r>
        <w:rPr>
          <w:rFonts w:hint="eastAsia"/>
          <w:sz w:val="24"/>
        </w:rPr>
        <w:t>33.04公顷</w:t>
      </w:r>
      <w:r>
        <w:rPr>
          <w:sz w:val="24"/>
        </w:rPr>
        <w:t>，已开发面积30.71公顷，道路绿化0.66公顷，未开发面积1.6</w:t>
      </w:r>
      <w:r>
        <w:rPr>
          <w:rFonts w:hint="eastAsia"/>
          <w:sz w:val="24"/>
        </w:rPr>
        <w:t>7</w:t>
      </w:r>
      <w:r>
        <w:rPr>
          <w:sz w:val="24"/>
        </w:rPr>
        <w:t>公顷。</w:t>
      </w:r>
      <w:r>
        <w:rPr>
          <w:rFonts w:hint="eastAsia"/>
          <w:sz w:val="24"/>
        </w:rPr>
        <w:t>区块二总规划面积120.10公顷，已开发面积49.12公顷，道路绿化及公共设施用的面积19.88公顷，未开发面积51.1公顷。</w:t>
      </w:r>
      <w:r>
        <w:rPr>
          <w:sz w:val="24"/>
        </w:rPr>
        <w:t>化工生产</w:t>
      </w:r>
      <w:bookmarkStart w:id="400" w:name="_GoBack"/>
      <w:bookmarkEnd w:id="400"/>
      <w:r>
        <w:rPr>
          <w:rFonts w:hint="eastAsia"/>
          <w:sz w:val="24"/>
          <w:lang w:eastAsia="zh-CN"/>
        </w:rPr>
        <w:t>涉及</w:t>
      </w:r>
      <w:r>
        <w:rPr>
          <w:sz w:val="24"/>
        </w:rPr>
        <w:t>一定量易燃易爆的危险化学品，规划进入化工园区的项目按照国家及行业标准规范进行合理布局建设，合理安全规划，提出安全管控措施，有效降低化工生产的安全和环保风险。</w:t>
      </w:r>
    </w:p>
    <w:p w14:paraId="07BE6AA4">
      <w:pPr>
        <w:spacing w:line="360" w:lineRule="auto"/>
        <w:ind w:firstLine="480" w:firstLineChars="200"/>
        <w:jc w:val="left"/>
        <w:rPr>
          <w:sz w:val="24"/>
          <w:szCs w:val="24"/>
        </w:rPr>
      </w:pPr>
      <w:r>
        <w:rPr>
          <w:sz w:val="24"/>
        </w:rPr>
        <w:t>（4）</w:t>
      </w:r>
      <w:r>
        <w:rPr>
          <w:sz w:val="24"/>
          <w:szCs w:val="24"/>
        </w:rPr>
        <w:t>规划是安全、环保、消防一体化的需要</w:t>
      </w:r>
    </w:p>
    <w:p w14:paraId="616A22AE">
      <w:pPr>
        <w:spacing w:line="360" w:lineRule="auto"/>
        <w:ind w:firstLine="480" w:firstLineChars="200"/>
        <w:rPr>
          <w:sz w:val="24"/>
          <w:szCs w:val="24"/>
        </w:rPr>
      </w:pPr>
      <w:r>
        <w:rPr>
          <w:sz w:val="24"/>
          <w:szCs w:val="24"/>
        </w:rPr>
        <w:t>根据安徽省人民政府《关于进一步加强企业安全生产工作的实施意见》（皖政〔2010〕89号）的要求，化工行业需制定化工行业发展规划，明确产业定位，确定化工园区或者化工集中区等专门区域。新建、改建、扩建的剧毒化学品生产、储存项目必须进入依法规划的化工园区等专门区域。涉及易燃、易爆和“危险化工工艺”的剧毒化学品生产、储存企业，应处于所在地消防部门10分钟里程防护圈内，大型企业须依法自建专职消防队。</w:t>
      </w:r>
    </w:p>
    <w:p w14:paraId="22089155">
      <w:pPr>
        <w:spacing w:line="360" w:lineRule="auto"/>
        <w:ind w:firstLine="480" w:firstLineChars="200"/>
      </w:pPr>
      <w:r>
        <w:rPr>
          <w:sz w:val="24"/>
          <w:szCs w:val="24"/>
        </w:rPr>
        <w:t>建设项目与企业的外部安全防护距离须符合国家标准规范的规定，在安全防护距离内不得建有任何建（构）筑物，从而实现化工企业、环保及消防的一体化；同时，根据《关于加强化工园区环境保护工作的意见（环发[2012]54号文）》要求：化工园区入园项目必须符合国家产业结构调整的要求，采用清洁生产技术及先进的技术装备，同时，对特征化学污染物采取有效的治理措施，确保稳定达标排放，有必要对化工园区进行统一规划。</w:t>
      </w:r>
    </w:p>
    <w:p w14:paraId="66BE6908">
      <w:pPr>
        <w:spacing w:line="360" w:lineRule="auto"/>
        <w:outlineLvl w:val="2"/>
        <w:rPr>
          <w:b/>
          <w:sz w:val="24"/>
        </w:rPr>
      </w:pPr>
      <w:r>
        <w:rPr>
          <w:b/>
          <w:sz w:val="24"/>
        </w:rPr>
        <w:t>1.3.2淮南经开化工园区产业发展的意义</w:t>
      </w:r>
      <w:r>
        <w:rPr>
          <w:b/>
          <w:sz w:val="24"/>
        </w:rPr>
        <w:tab/>
      </w:r>
    </w:p>
    <w:p w14:paraId="39BBF2D8">
      <w:pPr>
        <w:spacing w:line="360" w:lineRule="auto"/>
        <w:ind w:firstLine="480" w:firstLineChars="200"/>
        <w:jc w:val="left"/>
        <w:rPr>
          <w:sz w:val="24"/>
        </w:rPr>
      </w:pPr>
      <w:r>
        <w:rPr>
          <w:sz w:val="24"/>
          <w:szCs w:val="24"/>
        </w:rPr>
        <w:t>依据《安徽省国民经济和社会发展第十四个五年规划和2035年远景目标纲要》，</w:t>
      </w:r>
      <w:r>
        <w:rPr>
          <w:sz w:val="24"/>
        </w:rPr>
        <w:t>“十四五”期间是安徽省</w:t>
      </w:r>
      <w:r>
        <w:rPr>
          <w:sz w:val="24"/>
          <w:szCs w:val="24"/>
          <w:shd w:val="clear" w:color="auto" w:fill="FFFFFF"/>
        </w:rPr>
        <w:t>新材料和智能制造</w:t>
      </w:r>
      <w:r>
        <w:rPr>
          <w:sz w:val="24"/>
        </w:rPr>
        <w:t>推陈出新，调整结构，实现全面升级，由传统产业迈向现代化产业的关键时期</w:t>
      </w:r>
      <w:r>
        <w:rPr>
          <w:sz w:val="24"/>
          <w:szCs w:val="24"/>
          <w:shd w:val="clear" w:color="auto" w:fill="FFFFFF"/>
        </w:rPr>
        <w:t>，淮南经开化工园区发展医药化工产业符合国家、安徽省、淮南市产业政策和战略</w:t>
      </w:r>
      <w:r>
        <w:rPr>
          <w:rFonts w:hint="eastAsia"/>
          <w:sz w:val="24"/>
          <w:szCs w:val="24"/>
          <w:shd w:val="clear" w:color="auto" w:fill="FFFFFF"/>
          <w:lang w:eastAsia="zh-CN"/>
        </w:rPr>
        <w:t>部</w:t>
      </w:r>
      <w:r>
        <w:rPr>
          <w:sz w:val="24"/>
          <w:szCs w:val="24"/>
          <w:shd w:val="clear" w:color="auto" w:fill="FFFFFF"/>
        </w:rPr>
        <w:t>署。</w:t>
      </w:r>
    </w:p>
    <w:p w14:paraId="3BA2A66E">
      <w:pPr>
        <w:spacing w:line="360" w:lineRule="auto"/>
        <w:ind w:firstLine="482" w:firstLineChars="200"/>
        <w:jc w:val="left"/>
        <w:rPr>
          <w:b/>
          <w:sz w:val="24"/>
        </w:rPr>
      </w:pPr>
      <w:r>
        <w:rPr>
          <w:b/>
          <w:sz w:val="24"/>
        </w:rPr>
        <w:t>（1）符合国家长江三角洲区域一体化发展战略要求</w:t>
      </w:r>
    </w:p>
    <w:p w14:paraId="2978AE75">
      <w:pPr>
        <w:widowControl/>
        <w:spacing w:line="360" w:lineRule="auto"/>
        <w:ind w:firstLine="480" w:firstLineChars="200"/>
        <w:jc w:val="left"/>
      </w:pPr>
      <w:r>
        <w:rPr>
          <w:sz w:val="24"/>
        </w:rPr>
        <w:t>深入实施《淮南市融入长江三角洲区域一体化发展行动方案》，充分发挥毗邻长三角副中心城市合肥的区位优势，以“一廊五地”建设为抓手，以合淮同城化为主攻方向，打造长三角产业转移集聚区。《淮南市国民经济和社会发展第十四个五年规划和2035年远景目标纲要》中第三章第一节深度融入长三角一体化发展中提出：“一、积极融入长三角中心区一体化发展坚持高质量推进开放合作一体化，积极与沪苏浙相关市（区）结对共建友好城市（市区），推动市、县区（园区）与长三角发达地区共建开发园区，共同打造跨行政区域产城融合发展新型功能区。坚持高质量推进能源保障一体化，以长三角地区清洁能源供应基地及化工原材料生产基地为依托，保障长三角能源供应安全可靠。全面落实国家促进皖北承接产业转移集聚区建设若干政策措施，用足用好用地保障、人才培育引进、电力和天然气价格市场化改革等重大政策，加快承接中心区工程机械、轻工食品、纺织服装、化工新材料等产业。</w:t>
      </w:r>
    </w:p>
    <w:p w14:paraId="3528DDEA">
      <w:pPr>
        <w:spacing w:line="360" w:lineRule="auto"/>
        <w:ind w:firstLine="482" w:firstLineChars="200"/>
        <w:jc w:val="left"/>
        <w:rPr>
          <w:b/>
          <w:sz w:val="24"/>
        </w:rPr>
      </w:pPr>
      <w:r>
        <w:rPr>
          <w:b/>
          <w:sz w:val="24"/>
        </w:rPr>
        <w:t>（2）淮南经开化工园区自身产业发展及承接产业转移的需要</w:t>
      </w:r>
    </w:p>
    <w:p w14:paraId="24F2F420">
      <w:pPr>
        <w:spacing w:line="360" w:lineRule="auto"/>
        <w:ind w:firstLine="480" w:firstLineChars="200"/>
        <w:rPr>
          <w:sz w:val="24"/>
          <w:szCs w:val="24"/>
        </w:rPr>
      </w:pPr>
      <w:r>
        <w:rPr>
          <w:sz w:val="24"/>
          <w:szCs w:val="24"/>
        </w:rPr>
        <w:t>医药化工产业是</w:t>
      </w:r>
      <w:r>
        <w:rPr>
          <w:kern w:val="0"/>
          <w:sz w:val="24"/>
        </w:rPr>
        <w:t>淮南经济技术开发区</w:t>
      </w:r>
      <w:r>
        <w:rPr>
          <w:sz w:val="24"/>
          <w:szCs w:val="24"/>
        </w:rPr>
        <w:t>主导产业之一，也是淮南市特色产业。长期以来，淮南市政府一直重视医药化工产业发展，并将其作为开发区首位产业加以扶持。1999年6月经省政府批准设立安徽淮南生物医药工业园，是我省第一家生物医药工业园。2005年以来，先后被省政府命名为安徽省生物医药化工产业基地、高新技术产业示范基地，也是安徽省“861”行动计划重点项目。2013年被省政府批准为安徽省新型工业化示范基地。经过近20年的发展完善，该工业园已经形成基础设施完备和产业链条完整的医药化工产业，产业的经济效益显著好于其他产业，且各项重要指标都走在了全省同业化工园区的前列。</w:t>
      </w:r>
    </w:p>
    <w:p w14:paraId="671CDCD3">
      <w:pPr>
        <w:spacing w:line="360" w:lineRule="auto"/>
        <w:ind w:firstLine="480" w:firstLineChars="200"/>
        <w:rPr>
          <w:sz w:val="24"/>
          <w:szCs w:val="24"/>
        </w:rPr>
      </w:pPr>
      <w:r>
        <w:rPr>
          <w:sz w:val="24"/>
          <w:szCs w:val="24"/>
        </w:rPr>
        <w:t>开发区发展医药化工产业具有良好的基础，大力发展医药化工产业也正当其时。开发区目前有国瑞药业、山河药辅、绿十字生物制品、东盛制药、东芝堂药业、盖天力药业、江中高邦、华辰制药、泰复制药等10余家企业入驻，具备了一定的人才、技术、资金优势。由于前期项目用地目前已基本建成，为了淮南医药化工的长远发展，需要对化工园区（东区）进行总体发展规划。</w:t>
      </w:r>
    </w:p>
    <w:p w14:paraId="1D50D90E">
      <w:pPr>
        <w:spacing w:line="360" w:lineRule="auto"/>
        <w:ind w:firstLine="482" w:firstLineChars="200"/>
        <w:jc w:val="left"/>
        <w:rPr>
          <w:b/>
          <w:sz w:val="24"/>
        </w:rPr>
      </w:pPr>
      <w:r>
        <w:rPr>
          <w:b/>
          <w:sz w:val="24"/>
        </w:rPr>
        <w:t>（3）产业转型升级的需要</w:t>
      </w:r>
    </w:p>
    <w:p w14:paraId="01E46299">
      <w:pPr>
        <w:spacing w:line="360" w:lineRule="auto"/>
        <w:ind w:firstLine="480" w:firstLineChars="200"/>
        <w:rPr>
          <w:sz w:val="24"/>
          <w:szCs w:val="24"/>
        </w:rPr>
      </w:pPr>
      <w:r>
        <w:rPr>
          <w:sz w:val="24"/>
          <w:szCs w:val="24"/>
        </w:rPr>
        <w:t>《淮南市国民经济和社会发展第十四个五年规划和2035年远景目标纲要》中第四章第二节 第二节 打造创新合作示范区：“立足淮南转型发展急迫需要和长远需求，做好科研选题。扩容升级科技创新“攻坚”计划，聚焦智能装备、生物医药、现代煤化工、互联网大数据、光通信、先进结构材料等重点领域，瞄准工业“四基”瓶颈制约，加快实施科技专项。发挥好现有科研实验室等高端创新平台的辐射带头作用，整合创新资源，集聚创新人才，积极开展科技合作。鼓励高端通用和专业重大科学仪器设备的仪器开发、应用开发、工程化开发和产业化开发。加快信息技术、工程技术及其它新兴科技与产业的深度融合，抢占前沿技术发展的制高点。加大对首台套设备、首批次新材料、首版次软件应用的支持力度。”</w:t>
      </w:r>
    </w:p>
    <w:p w14:paraId="6159B5F1">
      <w:pPr>
        <w:spacing w:line="360" w:lineRule="auto"/>
        <w:ind w:firstLine="480" w:firstLineChars="200"/>
        <w:rPr>
          <w:sz w:val="24"/>
          <w:szCs w:val="24"/>
        </w:rPr>
      </w:pPr>
      <w:r>
        <w:rPr>
          <w:sz w:val="24"/>
          <w:szCs w:val="24"/>
        </w:rPr>
        <w:t>医药化工产业作为淮南市重点打造的非煤产业，是淮南市经济发展的名片和亮点。近年来，开发区管委会把医药化工产业确定为引领开发区经济转型升级、做大做强的战略型新兴产业，规划建设专业化工园区，制定出台扶持政策，大力实施招商引资，着力培育龙头企业，医药化工产业发展势头强劲。</w:t>
      </w:r>
    </w:p>
    <w:p w14:paraId="1B75F09C">
      <w:pPr>
        <w:spacing w:line="360" w:lineRule="auto"/>
        <w:ind w:firstLine="480" w:firstLineChars="200"/>
        <w:rPr>
          <w:sz w:val="24"/>
          <w:szCs w:val="24"/>
        </w:rPr>
      </w:pPr>
      <w:r>
        <w:rPr>
          <w:sz w:val="24"/>
          <w:szCs w:val="24"/>
        </w:rPr>
        <w:t>因而，医药化工产业是淮南市产业转型的突破口，为当地经济的快速发展提供更好发展机遇。淮南现代医药科技产业园为整个开发区的医药化工产业扩大提供平台，有利于促进整个开发区现有医药化工产业的知名度。</w:t>
      </w:r>
    </w:p>
    <w:p w14:paraId="140FA4C9">
      <w:pPr>
        <w:spacing w:line="360" w:lineRule="auto"/>
        <w:ind w:firstLine="482" w:firstLineChars="200"/>
        <w:rPr>
          <w:sz w:val="24"/>
          <w:szCs w:val="24"/>
        </w:rPr>
      </w:pPr>
      <w:r>
        <w:rPr>
          <w:b/>
          <w:bCs/>
          <w:sz w:val="24"/>
          <w:szCs w:val="24"/>
        </w:rPr>
        <w:t>（4）医药化工产业对淮南经开区其他产业发展的产生推动作用</w:t>
      </w:r>
    </w:p>
    <w:p w14:paraId="0F21C160">
      <w:pPr>
        <w:spacing w:line="360" w:lineRule="auto"/>
        <w:ind w:firstLine="480" w:firstLineChars="200"/>
        <w:rPr>
          <w:sz w:val="24"/>
          <w:szCs w:val="24"/>
        </w:rPr>
      </w:pPr>
      <w:r>
        <w:rPr>
          <w:sz w:val="24"/>
          <w:szCs w:val="24"/>
        </w:rPr>
        <w:t>医药化工产业的带动力极强，一般来说，医药化工产业与相关产业的带动比例为1：3，医药化工产业对淮南经开区乃至淮南周边地区的化工新材料、医疗器械等产业有带动作用。因此，医药化工产业是带动淮南经开区未来经济增长的主要产业。淮南经开区发展医药化工产业是发挥地域和资源优势，拉长产业链，调整产业结构，转变经济增长方式的战略选择。医药化工产业产业链条长，增值空间大，关联程度高，发展前景广，加快医药化工产业发展对于发挥淮南经开区调整产业结构、培育新的经济增长点，具有重要意义。</w:t>
      </w:r>
    </w:p>
    <w:p w14:paraId="5FBBB212">
      <w:pPr>
        <w:pStyle w:val="4"/>
        <w:numPr>
          <w:ilvl w:val="1"/>
          <w:numId w:val="2"/>
        </w:numPr>
        <w:ind w:firstLine="0"/>
        <w:rPr>
          <w:rFonts w:ascii="Times New Roman" w:hAnsi="Times New Roman"/>
          <w:sz w:val="24"/>
          <w:szCs w:val="24"/>
        </w:rPr>
      </w:pPr>
      <w:bookmarkStart w:id="40" w:name="_Toc7957"/>
      <w:bookmarkStart w:id="41" w:name="_Toc1628632"/>
      <w:r>
        <w:rPr>
          <w:rFonts w:ascii="Times New Roman" w:hAnsi="Times New Roman"/>
          <w:sz w:val="24"/>
          <w:szCs w:val="24"/>
        </w:rPr>
        <w:t>规划范围</w:t>
      </w:r>
      <w:bookmarkEnd w:id="39"/>
      <w:bookmarkEnd w:id="40"/>
      <w:bookmarkEnd w:id="41"/>
    </w:p>
    <w:p w14:paraId="72C514CD">
      <w:pPr>
        <w:widowControl/>
        <w:spacing w:line="360" w:lineRule="auto"/>
        <w:ind w:firstLine="480" w:firstLineChars="200"/>
        <w:jc w:val="left"/>
        <w:rPr>
          <w:kern w:val="0"/>
          <w:sz w:val="24"/>
        </w:rPr>
      </w:pPr>
      <w:bookmarkStart w:id="42" w:name="_Toc369270762"/>
      <w:bookmarkStart w:id="43" w:name="_Toc1628633"/>
      <w:r>
        <w:rPr>
          <w:kern w:val="0"/>
          <w:sz w:val="24"/>
        </w:rPr>
        <w:t>规划范围：本规划</w:t>
      </w:r>
      <w:r>
        <w:rPr>
          <w:sz w:val="24"/>
        </w:rPr>
        <w:t>包含两个区块，其中区块一面积</w:t>
      </w:r>
      <w:r>
        <w:rPr>
          <w:rFonts w:hint="eastAsia"/>
          <w:sz w:val="24"/>
        </w:rPr>
        <w:t>33.04公顷</w:t>
      </w:r>
      <w:r>
        <w:rPr>
          <w:sz w:val="24"/>
        </w:rPr>
        <w:t>，四至范围为：东至永兴路，南至田东路，西至皖淮化工厂留守处，</w:t>
      </w:r>
      <w:r>
        <w:rPr>
          <w:rFonts w:hint="eastAsia"/>
          <w:sz w:val="24"/>
        </w:rPr>
        <w:t>北至规划电厂路</w:t>
      </w:r>
      <w:r>
        <w:rPr>
          <w:sz w:val="24"/>
        </w:rPr>
        <w:t>；区块二面积</w:t>
      </w:r>
      <w:r>
        <w:rPr>
          <w:rFonts w:hint="eastAsia"/>
          <w:sz w:val="24"/>
        </w:rPr>
        <w:t>120.10公顷</w:t>
      </w:r>
      <w:r>
        <w:rPr>
          <w:sz w:val="24"/>
        </w:rPr>
        <w:t>，四至范围为：东至东兴路，南至朝阳东路，</w:t>
      </w:r>
      <w:r>
        <w:rPr>
          <w:rFonts w:hint="eastAsia"/>
          <w:sz w:val="24"/>
        </w:rPr>
        <w:t>西至屯头排涝站排涝干渠</w:t>
      </w:r>
      <w:r>
        <w:rPr>
          <w:sz w:val="24"/>
        </w:rPr>
        <w:t>，北至长富路。</w:t>
      </w:r>
    </w:p>
    <w:p w14:paraId="074ECD5E">
      <w:pPr>
        <w:pStyle w:val="45"/>
        <w:spacing w:line="360" w:lineRule="auto"/>
        <w:ind w:firstLine="480"/>
        <w:rPr>
          <w:sz w:val="24"/>
          <w:szCs w:val="24"/>
        </w:rPr>
      </w:pPr>
      <w:r>
        <w:rPr>
          <w:sz w:val="24"/>
          <w:szCs w:val="24"/>
        </w:rPr>
        <w:t>规划时限</w:t>
      </w:r>
      <w:bookmarkEnd w:id="42"/>
      <w:bookmarkEnd w:id="43"/>
    </w:p>
    <w:p w14:paraId="56C70FF5">
      <w:pPr>
        <w:spacing w:line="360" w:lineRule="auto"/>
        <w:ind w:firstLine="480" w:firstLineChars="200"/>
        <w:rPr>
          <w:kern w:val="0"/>
          <w:sz w:val="24"/>
        </w:rPr>
      </w:pPr>
      <w:r>
        <w:rPr>
          <w:kern w:val="0"/>
          <w:sz w:val="24"/>
        </w:rPr>
        <w:t>按照“统一规划，分步实施”原则，规划时间跨度为10年，建设进度分二期进行。</w:t>
      </w:r>
    </w:p>
    <w:p w14:paraId="73F23551">
      <w:pPr>
        <w:spacing w:line="360" w:lineRule="auto"/>
        <w:ind w:firstLine="480" w:firstLineChars="200"/>
        <w:rPr>
          <w:kern w:val="0"/>
          <w:sz w:val="24"/>
        </w:rPr>
      </w:pPr>
      <w:r>
        <w:rPr>
          <w:kern w:val="0"/>
          <w:sz w:val="24"/>
        </w:rPr>
        <w:t>一期： 2021年~2025年；</w:t>
      </w:r>
    </w:p>
    <w:p w14:paraId="41574A42">
      <w:pPr>
        <w:spacing w:line="360" w:lineRule="auto"/>
        <w:ind w:firstLine="480" w:firstLineChars="200"/>
        <w:rPr>
          <w:kern w:val="0"/>
          <w:sz w:val="24"/>
        </w:rPr>
      </w:pPr>
      <w:r>
        <w:rPr>
          <w:kern w:val="0"/>
          <w:sz w:val="24"/>
        </w:rPr>
        <w:t>二期： 2026年~2030年。</w:t>
      </w:r>
    </w:p>
    <w:p w14:paraId="2CA0213B">
      <w:pPr>
        <w:spacing w:line="360" w:lineRule="auto"/>
        <w:ind w:firstLine="560" w:firstLineChars="200"/>
      </w:pPr>
      <w:r>
        <w:drawing>
          <wp:inline distT="0" distB="0" distL="114300" distR="114300">
            <wp:extent cx="5830570" cy="4086225"/>
            <wp:effectExtent l="0" t="0" r="17780" b="9525"/>
            <wp:docPr id="60" name="图片 60" descr="17053669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705366921025"/>
                    <pic:cNvPicPr>
                      <a:picLocks noChangeAspect="1"/>
                    </pic:cNvPicPr>
                  </pic:nvPicPr>
                  <pic:blipFill>
                    <a:blip r:embed="rId19"/>
                    <a:stretch>
                      <a:fillRect/>
                    </a:stretch>
                  </pic:blipFill>
                  <pic:spPr>
                    <a:xfrm>
                      <a:off x="0" y="0"/>
                      <a:ext cx="5830570" cy="4086225"/>
                    </a:xfrm>
                    <a:prstGeom prst="rect">
                      <a:avLst/>
                    </a:prstGeom>
                  </pic:spPr>
                </pic:pic>
              </a:graphicData>
            </a:graphic>
          </wp:inline>
        </w:drawing>
      </w:r>
      <w:r>
        <w:br w:type="page"/>
      </w:r>
    </w:p>
    <w:p w14:paraId="027E4F52">
      <w:pPr>
        <w:pStyle w:val="3"/>
        <w:numPr>
          <w:ilvl w:val="0"/>
          <w:numId w:val="2"/>
        </w:numPr>
      </w:pPr>
      <w:bookmarkStart w:id="44" w:name="_Toc369270763"/>
      <w:bookmarkStart w:id="45" w:name="_Toc1628634"/>
      <w:bookmarkStart w:id="46" w:name="_Toc3458"/>
      <w:r>
        <w:t>规划目标及原则</w:t>
      </w:r>
      <w:bookmarkEnd w:id="44"/>
      <w:bookmarkEnd w:id="45"/>
      <w:bookmarkEnd w:id="46"/>
    </w:p>
    <w:p w14:paraId="169DFE4D">
      <w:pPr>
        <w:pStyle w:val="4"/>
        <w:numPr>
          <w:ilvl w:val="1"/>
          <w:numId w:val="2"/>
        </w:numPr>
        <w:ind w:firstLine="0"/>
        <w:rPr>
          <w:rFonts w:ascii="Times New Roman" w:hAnsi="Times New Roman"/>
          <w:sz w:val="24"/>
          <w:szCs w:val="24"/>
        </w:rPr>
      </w:pPr>
      <w:bookmarkStart w:id="47" w:name="_Toc18508"/>
      <w:bookmarkStart w:id="48" w:name="_Toc1628635"/>
      <w:bookmarkStart w:id="49" w:name="_Toc369270765"/>
      <w:r>
        <w:rPr>
          <w:rFonts w:ascii="Times New Roman" w:hAnsi="Times New Roman"/>
          <w:sz w:val="24"/>
          <w:szCs w:val="24"/>
        </w:rPr>
        <w:t>规划目标</w:t>
      </w:r>
      <w:bookmarkEnd w:id="47"/>
      <w:bookmarkEnd w:id="48"/>
    </w:p>
    <w:p w14:paraId="3BDE62EF">
      <w:pPr>
        <w:spacing w:line="360" w:lineRule="auto"/>
        <w:ind w:firstLine="480" w:firstLineChars="200"/>
        <w:jc w:val="left"/>
        <w:rPr>
          <w:sz w:val="24"/>
          <w:szCs w:val="24"/>
        </w:rPr>
      </w:pPr>
      <w:r>
        <w:rPr>
          <w:sz w:val="24"/>
          <w:szCs w:val="24"/>
        </w:rPr>
        <w:t>1、总体经济目标</w:t>
      </w:r>
    </w:p>
    <w:p w14:paraId="7BA1F7EA">
      <w:pPr>
        <w:widowControl/>
        <w:spacing w:line="360" w:lineRule="auto"/>
        <w:ind w:firstLine="560"/>
        <w:jc w:val="left"/>
        <w:rPr>
          <w:sz w:val="24"/>
          <w:szCs w:val="24"/>
        </w:rPr>
      </w:pPr>
      <w:r>
        <w:rPr>
          <w:sz w:val="24"/>
          <w:szCs w:val="24"/>
        </w:rPr>
        <w:t>规划至2030年，淮南经开化工园区医药化工产业体系链基本成熟，产业布局和调整效果显著，产品质量大幅度提升，创新能力显著增强。规划到2030年，进入淮南经开化工园区项目将累计新增投入约100亿元建设资金，医药化工总产值将超过250亿元，年利税总额超过20亿元，逐步实施转型升级，使医药化工产业成为淮南经济技术开发区重要的产业，并成为省内重要的医药化工产业聚集区。</w:t>
      </w:r>
    </w:p>
    <w:p w14:paraId="70F90FD6">
      <w:pPr>
        <w:spacing w:line="360" w:lineRule="auto"/>
        <w:ind w:firstLine="482" w:firstLineChars="200"/>
        <w:jc w:val="left"/>
        <w:rPr>
          <w:b/>
          <w:bCs/>
          <w:sz w:val="24"/>
          <w:szCs w:val="24"/>
        </w:rPr>
      </w:pPr>
      <w:r>
        <w:rPr>
          <w:b/>
          <w:bCs/>
          <w:sz w:val="24"/>
          <w:szCs w:val="24"/>
        </w:rPr>
        <w:t>2、节能减排目标</w:t>
      </w:r>
    </w:p>
    <w:p w14:paraId="1B390D09">
      <w:pPr>
        <w:autoSpaceDE w:val="0"/>
        <w:autoSpaceDN w:val="0"/>
        <w:spacing w:line="360" w:lineRule="auto"/>
        <w:ind w:firstLine="480" w:firstLineChars="200"/>
        <w:jc w:val="left"/>
        <w:rPr>
          <w:sz w:val="24"/>
          <w:szCs w:val="24"/>
        </w:rPr>
      </w:pPr>
      <w:r>
        <w:rPr>
          <w:sz w:val="24"/>
          <w:szCs w:val="24"/>
        </w:rPr>
        <w:t>严格按照《安徽省区域能评暂行办法》文件要求，结合区域用能现状、产业发展规划、相关重点行业用能指标预测进行了编制，对列入单独节能审查项目清单内的项目实行审查制度，对未列入单独节能审查项目清单内的项目实行承诺备案制度。淮南经开化工园区节能减排目标如下：</w:t>
      </w:r>
    </w:p>
    <w:p w14:paraId="055CB5C1">
      <w:pPr>
        <w:autoSpaceDE w:val="0"/>
        <w:autoSpaceDN w:val="0"/>
        <w:spacing w:line="360" w:lineRule="auto"/>
        <w:ind w:firstLine="480" w:firstLineChars="200"/>
        <w:jc w:val="left"/>
        <w:rPr>
          <w:sz w:val="24"/>
          <w:szCs w:val="24"/>
        </w:rPr>
      </w:pPr>
      <w:r>
        <w:rPr>
          <w:sz w:val="24"/>
          <w:szCs w:val="24"/>
        </w:rPr>
        <w:t>1、综合考虑淮南市“十三五”双控指标、考核方式以及淮南经开区发展现状，对淮南经开区“十四五”指标进行预测。本规划“双控”指标可根据后期省、市“十三五”期间“双控”目标完成情况及“十四五”节能减排综合工作方案进行调整。</w:t>
      </w:r>
    </w:p>
    <w:p w14:paraId="722FCBA4">
      <w:pPr>
        <w:autoSpaceDE w:val="0"/>
        <w:autoSpaceDN w:val="0"/>
        <w:spacing w:line="360" w:lineRule="auto"/>
        <w:ind w:firstLine="480" w:firstLineChars="200"/>
        <w:jc w:val="left"/>
        <w:rPr>
          <w:sz w:val="24"/>
          <w:szCs w:val="24"/>
        </w:rPr>
      </w:pPr>
      <w:r>
        <w:rPr>
          <w:sz w:val="24"/>
          <w:szCs w:val="24"/>
        </w:rPr>
        <w:t>2、要求新建项目必须先进行能评报告，有利于简化行政审批手续、优化企业投资环境、推动区域产业结构升级和落实节能降耗目标任务的目的。</w:t>
      </w:r>
    </w:p>
    <w:p w14:paraId="76A7B540">
      <w:pPr>
        <w:autoSpaceDE w:val="0"/>
        <w:autoSpaceDN w:val="0"/>
        <w:spacing w:line="360" w:lineRule="auto"/>
        <w:ind w:firstLine="480" w:firstLineChars="200"/>
        <w:jc w:val="left"/>
        <w:rPr>
          <w:sz w:val="24"/>
          <w:szCs w:val="24"/>
        </w:rPr>
      </w:pPr>
      <w:r>
        <w:rPr>
          <w:sz w:val="24"/>
          <w:szCs w:val="24"/>
        </w:rPr>
        <w:t>3、淮南经开区区域节能报告根据区域产业发展规划、区域产业和用能现状的调查和分析，明确与本区域产业规划相适应的用能强度、能效标准及各项节能措施，制定区域固定资产投资项目单独节能审查项目框架，为淮南经开化工园区工业发展及项目准入提供能耗依据。</w:t>
      </w:r>
    </w:p>
    <w:p w14:paraId="46B902D1">
      <w:pPr>
        <w:pStyle w:val="53"/>
        <w:ind w:firstLine="482"/>
        <w:rPr>
          <w:rFonts w:ascii="Times New Roman"/>
          <w:b/>
          <w:bCs/>
          <w:szCs w:val="24"/>
        </w:rPr>
      </w:pPr>
      <w:r>
        <w:rPr>
          <w:rFonts w:ascii="Times New Roman"/>
          <w:b/>
          <w:bCs/>
          <w:szCs w:val="24"/>
        </w:rPr>
        <w:t>3、安全环境保护目标</w:t>
      </w:r>
    </w:p>
    <w:p w14:paraId="6F60A7BB">
      <w:pPr>
        <w:spacing w:line="360" w:lineRule="auto"/>
        <w:ind w:firstLine="480" w:firstLineChars="200"/>
        <w:rPr>
          <w:sz w:val="24"/>
          <w:szCs w:val="24"/>
        </w:rPr>
      </w:pPr>
      <w:r>
        <w:rPr>
          <w:sz w:val="24"/>
          <w:szCs w:val="24"/>
        </w:rPr>
        <w:t>1、空间准入清单</w:t>
      </w:r>
    </w:p>
    <w:p w14:paraId="15BFEE7A">
      <w:pPr>
        <w:spacing w:line="360" w:lineRule="auto"/>
        <w:ind w:firstLine="480" w:firstLineChars="200"/>
        <w:rPr>
          <w:sz w:val="24"/>
          <w:szCs w:val="24"/>
        </w:rPr>
      </w:pPr>
      <w:r>
        <w:rPr>
          <w:sz w:val="24"/>
          <w:szCs w:val="24"/>
        </w:rPr>
        <w:t>生态空间：规划范围不涉及生态保护红线，规划满足生态保护红线空间管控要求。</w:t>
      </w:r>
    </w:p>
    <w:p w14:paraId="279FA618">
      <w:pPr>
        <w:spacing w:line="360" w:lineRule="auto"/>
        <w:ind w:firstLine="480" w:firstLineChars="200"/>
        <w:rPr>
          <w:sz w:val="24"/>
          <w:szCs w:val="24"/>
        </w:rPr>
      </w:pPr>
      <w:r>
        <w:rPr>
          <w:sz w:val="24"/>
          <w:szCs w:val="24"/>
        </w:rPr>
        <w:t>产业空间：淮南经开化工园区现状空间布局基本与规划一致，重点发展医药化工项目。</w:t>
      </w:r>
    </w:p>
    <w:p w14:paraId="46F031A2">
      <w:pPr>
        <w:spacing w:line="360" w:lineRule="auto"/>
        <w:ind w:firstLine="480" w:firstLineChars="200"/>
        <w:rPr>
          <w:sz w:val="24"/>
          <w:szCs w:val="24"/>
        </w:rPr>
      </w:pPr>
      <w:r>
        <w:rPr>
          <w:sz w:val="24"/>
          <w:szCs w:val="24"/>
        </w:rPr>
        <w:t>2、环境质量管控清单</w:t>
      </w:r>
    </w:p>
    <w:p w14:paraId="2CBDEDEA">
      <w:pPr>
        <w:widowControl/>
        <w:spacing w:line="360" w:lineRule="auto"/>
        <w:ind w:firstLine="480" w:firstLineChars="200"/>
        <w:jc w:val="left"/>
        <w:rPr>
          <w:sz w:val="24"/>
          <w:szCs w:val="24"/>
        </w:rPr>
      </w:pPr>
      <w:r>
        <w:rPr>
          <w:sz w:val="24"/>
          <w:szCs w:val="24"/>
        </w:rPr>
        <w:t>根据《淮南经济技术开发区化工集中区总体规划环境影响报告书》，重点监测地表水、声、土壤均满足环境功能规划要求，大气PM10、PM2.5，根据报告书提出的质量管控要求，根据新建项目所在园区可保持环境质量底线。</w:t>
      </w:r>
    </w:p>
    <w:p w14:paraId="2A6FE154">
      <w:pPr>
        <w:spacing w:line="360" w:lineRule="auto"/>
        <w:ind w:firstLine="480" w:firstLineChars="200"/>
        <w:rPr>
          <w:sz w:val="24"/>
          <w:szCs w:val="24"/>
        </w:rPr>
      </w:pPr>
      <w:r>
        <w:rPr>
          <w:sz w:val="24"/>
          <w:szCs w:val="24"/>
        </w:rPr>
        <w:t>3、污染物排放总量管控限值清单</w:t>
      </w:r>
    </w:p>
    <w:p w14:paraId="11660894">
      <w:pPr>
        <w:spacing w:line="360" w:lineRule="auto"/>
        <w:ind w:firstLine="480" w:firstLineChars="200"/>
        <w:rPr>
          <w:sz w:val="24"/>
          <w:szCs w:val="24"/>
        </w:rPr>
      </w:pPr>
      <w:r>
        <w:rPr>
          <w:sz w:val="24"/>
          <w:szCs w:val="24"/>
        </w:rPr>
        <w:t>依据《淮南经济技术开发区化工集中区总体规划环境影响报告书》及其审查意见，经统计核算，淮南经开化工园区区域污染物排放建议不突破评估报告制定的污染物排放总量管控限值。</w:t>
      </w:r>
    </w:p>
    <w:p w14:paraId="17C1F70A">
      <w:pPr>
        <w:spacing w:line="360" w:lineRule="auto"/>
        <w:ind w:firstLine="480" w:firstLineChars="200"/>
        <w:rPr>
          <w:sz w:val="24"/>
          <w:szCs w:val="24"/>
        </w:rPr>
      </w:pPr>
      <w:r>
        <w:rPr>
          <w:sz w:val="24"/>
          <w:szCs w:val="24"/>
        </w:rPr>
        <w:t>4、安全环保准入清单</w:t>
      </w:r>
    </w:p>
    <w:p w14:paraId="0C03F0F3">
      <w:pPr>
        <w:spacing w:line="360" w:lineRule="auto"/>
        <w:ind w:firstLine="480" w:firstLineChars="200"/>
        <w:rPr>
          <w:sz w:val="24"/>
          <w:szCs w:val="24"/>
        </w:rPr>
      </w:pPr>
      <w:r>
        <w:rPr>
          <w:sz w:val="24"/>
          <w:szCs w:val="24"/>
        </w:rPr>
        <w:t>淮南经开化工园区根据《淮南经济技术开发区化工集中区总体规划环境影响报告书》评估对照原规划、规划环评、跟踪评价及审查意见的入区行业建议内容，提出了淮南经开化工园区安全环保准入清单，用于指导评估淮南经开化工园区区内后续项目入驻，重点发展医药化工项目。</w:t>
      </w:r>
    </w:p>
    <w:p w14:paraId="219DD3F1">
      <w:pPr>
        <w:spacing w:line="360" w:lineRule="auto"/>
        <w:ind w:firstLine="480" w:firstLineChars="200"/>
        <w:rPr>
          <w:sz w:val="24"/>
          <w:szCs w:val="24"/>
        </w:rPr>
      </w:pPr>
      <w:r>
        <w:rPr>
          <w:sz w:val="24"/>
          <w:szCs w:val="24"/>
        </w:rPr>
        <w:t>5、产业发展</w:t>
      </w:r>
    </w:p>
    <w:p w14:paraId="58E0DF82">
      <w:pPr>
        <w:spacing w:line="360" w:lineRule="auto"/>
        <w:ind w:firstLine="480" w:firstLineChars="200"/>
        <w:rPr>
          <w:sz w:val="24"/>
          <w:szCs w:val="24"/>
        </w:rPr>
      </w:pPr>
      <w:r>
        <w:rPr>
          <w:sz w:val="24"/>
          <w:szCs w:val="24"/>
        </w:rPr>
        <w:t>淮南经开化工园区</w:t>
      </w:r>
      <w:r>
        <w:rPr>
          <w:sz w:val="24"/>
        </w:rPr>
        <w:t>目前区块一总规划面积</w:t>
      </w:r>
      <w:r>
        <w:rPr>
          <w:rFonts w:hint="eastAsia"/>
          <w:sz w:val="24"/>
        </w:rPr>
        <w:t>33.04公顷</w:t>
      </w:r>
      <w:r>
        <w:rPr>
          <w:sz w:val="24"/>
        </w:rPr>
        <w:t>，已开发面积30.71公顷，道路绿化0.66公顷，未开发面积1.6</w:t>
      </w:r>
      <w:r>
        <w:rPr>
          <w:rFonts w:hint="eastAsia"/>
          <w:sz w:val="24"/>
        </w:rPr>
        <w:t>7</w:t>
      </w:r>
      <w:r>
        <w:rPr>
          <w:sz w:val="24"/>
        </w:rPr>
        <w:t>公顷。区块二总规划面积</w:t>
      </w:r>
      <w:r>
        <w:rPr>
          <w:rFonts w:hint="eastAsia"/>
          <w:sz w:val="24"/>
        </w:rPr>
        <w:t>120.10公顷</w:t>
      </w:r>
      <w:r>
        <w:rPr>
          <w:sz w:val="24"/>
        </w:rPr>
        <w:t>，已开发面积</w:t>
      </w:r>
      <w:r>
        <w:rPr>
          <w:rFonts w:hint="eastAsia"/>
          <w:sz w:val="24"/>
        </w:rPr>
        <w:t>49.12</w:t>
      </w:r>
      <w:r>
        <w:rPr>
          <w:sz w:val="24"/>
        </w:rPr>
        <w:t>公顷，道路绿化及公共设施用的面积</w:t>
      </w:r>
      <w:r>
        <w:rPr>
          <w:rFonts w:hint="eastAsia"/>
          <w:sz w:val="24"/>
        </w:rPr>
        <w:t>19.88</w:t>
      </w:r>
      <w:r>
        <w:rPr>
          <w:sz w:val="24"/>
        </w:rPr>
        <w:t>公顷，未开发面积51.1公顷。</w:t>
      </w:r>
      <w:r>
        <w:rPr>
          <w:sz w:val="24"/>
          <w:szCs w:val="24"/>
        </w:rPr>
        <w:t>园区在开发过程中，遵循主导产业发展目标，严格控制与主导产业不相符企业入驻，限制与规划主导产业不相符企业的发展规模。</w:t>
      </w:r>
    </w:p>
    <w:p w14:paraId="6105ACF5">
      <w:pPr>
        <w:pStyle w:val="53"/>
        <w:ind w:firstLine="482"/>
        <w:rPr>
          <w:rFonts w:ascii="Times New Roman"/>
          <w:b/>
          <w:bCs/>
        </w:rPr>
      </w:pPr>
      <w:r>
        <w:rPr>
          <w:rFonts w:ascii="Times New Roman"/>
          <w:b/>
          <w:bCs/>
        </w:rPr>
        <w:t>4、创业创新目标</w:t>
      </w:r>
    </w:p>
    <w:p w14:paraId="2E7E717A">
      <w:pPr>
        <w:spacing w:line="360" w:lineRule="auto"/>
        <w:ind w:firstLine="480" w:firstLineChars="200"/>
        <w:rPr>
          <w:sz w:val="24"/>
          <w:szCs w:val="24"/>
        </w:rPr>
      </w:pPr>
      <w:r>
        <w:rPr>
          <w:sz w:val="24"/>
          <w:szCs w:val="24"/>
        </w:rPr>
        <w:t>鼓励企业自主研发、深化合作、加强与高校联合,通过政府引导，重点对符合国家及安徽省战略性新兴产业发展要求的企业进行扶持，逐步培育3~5家集中区创新示范企业。</w:t>
      </w:r>
    </w:p>
    <w:p w14:paraId="3BC128C3">
      <w:pPr>
        <w:pStyle w:val="4"/>
        <w:numPr>
          <w:ilvl w:val="1"/>
          <w:numId w:val="2"/>
        </w:numPr>
        <w:ind w:firstLine="0"/>
        <w:rPr>
          <w:rFonts w:ascii="Times New Roman" w:hAnsi="Times New Roman"/>
          <w:sz w:val="24"/>
          <w:szCs w:val="24"/>
        </w:rPr>
      </w:pPr>
      <w:bookmarkStart w:id="50" w:name="_Toc26542"/>
      <w:bookmarkStart w:id="51" w:name="_Toc1628636"/>
      <w:r>
        <w:rPr>
          <w:rFonts w:ascii="Times New Roman" w:hAnsi="Times New Roman"/>
          <w:sz w:val="24"/>
          <w:szCs w:val="24"/>
        </w:rPr>
        <w:t>规划原则及思路</w:t>
      </w:r>
      <w:bookmarkEnd w:id="49"/>
      <w:bookmarkEnd w:id="50"/>
      <w:bookmarkEnd w:id="51"/>
    </w:p>
    <w:p w14:paraId="323A7C36">
      <w:pPr>
        <w:pStyle w:val="5"/>
        <w:numPr>
          <w:ilvl w:val="2"/>
          <w:numId w:val="5"/>
        </w:numPr>
        <w:ind w:firstLine="0"/>
        <w:rPr>
          <w:kern w:val="2"/>
          <w:sz w:val="24"/>
          <w:szCs w:val="22"/>
        </w:rPr>
      </w:pPr>
      <w:r>
        <w:rPr>
          <w:kern w:val="2"/>
          <w:sz w:val="24"/>
          <w:szCs w:val="22"/>
        </w:rPr>
        <w:t>规划原则</w:t>
      </w:r>
    </w:p>
    <w:p w14:paraId="6FAF3795">
      <w:pPr>
        <w:numPr>
          <w:ilvl w:val="1"/>
          <w:numId w:val="6"/>
        </w:numPr>
        <w:spacing w:line="360" w:lineRule="auto"/>
        <w:ind w:left="0" w:firstLine="482" w:firstLineChars="200"/>
        <w:rPr>
          <w:b/>
          <w:sz w:val="24"/>
        </w:rPr>
      </w:pPr>
      <w:r>
        <w:rPr>
          <w:b/>
          <w:sz w:val="24"/>
        </w:rPr>
        <w:t>坚持市场导向的原则</w:t>
      </w:r>
    </w:p>
    <w:p w14:paraId="2553A59B">
      <w:pPr>
        <w:pStyle w:val="17"/>
        <w:spacing w:after="0" w:line="360" w:lineRule="auto"/>
        <w:ind w:left="0" w:leftChars="0" w:firstLine="480" w:firstLineChars="200"/>
        <w:rPr>
          <w:sz w:val="24"/>
          <w:szCs w:val="24"/>
        </w:rPr>
      </w:pPr>
      <w:r>
        <w:rPr>
          <w:sz w:val="24"/>
        </w:rPr>
        <w:t>规划的医药化工产业必须以市场需求为导向，以经济社会效益为前提，以资源及现有医药化工企业基础为依托，统筹布局，合理配置资源，延伸产品链；</w:t>
      </w:r>
      <w:r>
        <w:rPr>
          <w:sz w:val="24"/>
          <w:szCs w:val="24"/>
        </w:rPr>
        <w:t>同时在产业规划过程中，贯彻三个基本理念：绿色理念、循环经济理念和可持续发展理念；</w:t>
      </w:r>
    </w:p>
    <w:p w14:paraId="4F1359D4">
      <w:pPr>
        <w:numPr>
          <w:ilvl w:val="1"/>
          <w:numId w:val="6"/>
        </w:numPr>
        <w:spacing w:line="360" w:lineRule="auto"/>
        <w:ind w:left="0" w:firstLine="482" w:firstLineChars="200"/>
        <w:rPr>
          <w:b/>
          <w:sz w:val="24"/>
        </w:rPr>
      </w:pPr>
      <w:r>
        <w:rPr>
          <w:b/>
          <w:sz w:val="24"/>
        </w:rPr>
        <w:t>坚持优化结构、产业转型升级原则</w:t>
      </w:r>
    </w:p>
    <w:p w14:paraId="7992A5E4">
      <w:pPr>
        <w:pStyle w:val="17"/>
        <w:spacing w:after="0" w:line="360" w:lineRule="auto"/>
        <w:ind w:left="0" w:leftChars="0" w:firstLine="480" w:firstLineChars="200"/>
        <w:rPr>
          <w:sz w:val="24"/>
        </w:rPr>
      </w:pPr>
      <w:r>
        <w:rPr>
          <w:sz w:val="24"/>
        </w:rPr>
        <w:t>以关键工程、重大项目为抓手，以本地龙头企业为骨干，实现产业集聚。坚持上下游一体化、集约化、园区化发展模式。发展高附加值产品，提高差异化、高附加值产品比重，淘汰落后产能；</w:t>
      </w:r>
    </w:p>
    <w:p w14:paraId="28213492">
      <w:pPr>
        <w:numPr>
          <w:ilvl w:val="1"/>
          <w:numId w:val="6"/>
        </w:numPr>
        <w:spacing w:line="360" w:lineRule="auto"/>
        <w:ind w:left="0" w:firstLine="482" w:firstLineChars="200"/>
        <w:rPr>
          <w:b/>
          <w:sz w:val="24"/>
        </w:rPr>
      </w:pPr>
      <w:r>
        <w:rPr>
          <w:b/>
          <w:sz w:val="24"/>
        </w:rPr>
        <w:t>坚持技术进步原则</w:t>
      </w:r>
    </w:p>
    <w:p w14:paraId="5C283ECD">
      <w:pPr>
        <w:spacing w:line="360" w:lineRule="auto"/>
        <w:ind w:firstLine="480" w:firstLineChars="200"/>
        <w:rPr>
          <w:sz w:val="24"/>
        </w:rPr>
      </w:pPr>
      <w:r>
        <w:rPr>
          <w:sz w:val="24"/>
        </w:rPr>
        <w:t>强化高端人才培养和引进，</w:t>
      </w:r>
      <w:r>
        <w:rPr>
          <w:bCs/>
          <w:sz w:val="24"/>
        </w:rPr>
        <w:t>整合现有的科技创新资源，深化对外合作，以企业为主体，以产业为依托，</w:t>
      </w:r>
      <w:r>
        <w:rPr>
          <w:sz w:val="24"/>
        </w:rPr>
        <w:t>加强关键技术和大型化工成套装备研发引进，提高科技创新对产业发展的支撑和引领作用；</w:t>
      </w:r>
    </w:p>
    <w:p w14:paraId="790FF673">
      <w:pPr>
        <w:numPr>
          <w:ilvl w:val="1"/>
          <w:numId w:val="6"/>
        </w:numPr>
        <w:spacing w:line="360" w:lineRule="auto"/>
        <w:ind w:left="0" w:firstLine="482" w:firstLineChars="200"/>
        <w:rPr>
          <w:b/>
          <w:sz w:val="24"/>
        </w:rPr>
      </w:pPr>
      <w:r>
        <w:rPr>
          <w:b/>
          <w:sz w:val="24"/>
        </w:rPr>
        <w:t>坚持循环经济原则</w:t>
      </w:r>
    </w:p>
    <w:p w14:paraId="1FFB4DAD">
      <w:pPr>
        <w:spacing w:line="360" w:lineRule="auto"/>
        <w:ind w:firstLine="480" w:firstLineChars="200"/>
        <w:rPr>
          <w:sz w:val="24"/>
        </w:rPr>
      </w:pPr>
      <w:r>
        <w:rPr>
          <w:sz w:val="24"/>
        </w:rPr>
        <w:t>以循环经济为理念，按照上下游一体化发展思路，优化资源配置，实现以物流料合理循环和能量梯级优化为特点的“资源—产品—副产物再利用”的一体化生产，从而提高能量利用效率，实现“三废”的减量化和资源化，努力实现经济、社会与环境的协调发展；</w:t>
      </w:r>
    </w:p>
    <w:p w14:paraId="6DC7CEB2">
      <w:pPr>
        <w:numPr>
          <w:ilvl w:val="1"/>
          <w:numId w:val="6"/>
        </w:numPr>
        <w:spacing w:line="360" w:lineRule="auto"/>
        <w:ind w:left="0" w:firstLine="482" w:firstLineChars="200"/>
        <w:rPr>
          <w:b/>
          <w:sz w:val="24"/>
        </w:rPr>
      </w:pPr>
      <w:r>
        <w:rPr>
          <w:b/>
          <w:sz w:val="24"/>
        </w:rPr>
        <w:t>坚持集约发展原则</w:t>
      </w:r>
    </w:p>
    <w:p w14:paraId="456194A5">
      <w:pPr>
        <w:spacing w:line="360" w:lineRule="auto"/>
        <w:ind w:firstLine="480" w:firstLineChars="200"/>
        <w:rPr>
          <w:sz w:val="24"/>
        </w:rPr>
      </w:pPr>
      <w:r>
        <w:rPr>
          <w:sz w:val="24"/>
        </w:rPr>
        <w:t>一是节约用地，就是各项建设都要尽量节省用地，千方百计地不占或少占耕地；二是集约用地，每宗建设用地必须提高投入产出的强度，提高土地利用的集约化程度。</w:t>
      </w:r>
    </w:p>
    <w:p w14:paraId="403007AD">
      <w:pPr>
        <w:pStyle w:val="5"/>
        <w:numPr>
          <w:ilvl w:val="2"/>
          <w:numId w:val="5"/>
        </w:numPr>
        <w:spacing w:before="0" w:line="360" w:lineRule="auto"/>
        <w:ind w:firstLine="0"/>
        <w:rPr>
          <w:sz w:val="24"/>
          <w:szCs w:val="24"/>
        </w:rPr>
      </w:pPr>
      <w:r>
        <w:rPr>
          <w:sz w:val="24"/>
          <w:szCs w:val="24"/>
        </w:rPr>
        <w:t>发展思路</w:t>
      </w:r>
    </w:p>
    <w:p w14:paraId="555E9605">
      <w:pPr>
        <w:spacing w:line="360" w:lineRule="auto"/>
        <w:ind w:firstLine="482" w:firstLineChars="200"/>
        <w:rPr>
          <w:b/>
          <w:bCs/>
          <w:sz w:val="24"/>
          <w:szCs w:val="24"/>
        </w:rPr>
      </w:pPr>
      <w:r>
        <w:rPr>
          <w:b/>
          <w:bCs/>
          <w:sz w:val="24"/>
          <w:szCs w:val="24"/>
        </w:rPr>
        <w:t>全面贯彻落实科学发展观，实施“创新、协调、绿色、开放、共享”理念，按照医药化工产业区差别化、互补式发展和特色化、错位式竞争的基本原则，充分发挥和利用淮南市的区域位置优势，加快推进重点企业向行业龙头发展，重点发展洁净医药化工产业，将本化工园区逐步打造成省内医药化工研发中心和生产基地，并逐步向洁净医药化工行业产业延伸。</w:t>
      </w:r>
    </w:p>
    <w:p w14:paraId="24CB3E35">
      <w:r>
        <w:br w:type="page"/>
      </w:r>
    </w:p>
    <w:p w14:paraId="54C29DFE">
      <w:pPr>
        <w:pStyle w:val="3"/>
        <w:numPr>
          <w:ilvl w:val="0"/>
          <w:numId w:val="2"/>
        </w:numPr>
      </w:pPr>
      <w:bookmarkStart w:id="52" w:name="_Toc369270766"/>
      <w:bookmarkStart w:id="53" w:name="_Toc1628637"/>
      <w:bookmarkStart w:id="54" w:name="_Toc13431"/>
      <w:r>
        <w:t>产业规划</w:t>
      </w:r>
      <w:bookmarkEnd w:id="52"/>
      <w:bookmarkEnd w:id="53"/>
      <w:bookmarkEnd w:id="54"/>
    </w:p>
    <w:p w14:paraId="351A38A1">
      <w:pPr>
        <w:pStyle w:val="4"/>
        <w:numPr>
          <w:ilvl w:val="1"/>
          <w:numId w:val="2"/>
        </w:numPr>
        <w:ind w:firstLine="0"/>
        <w:rPr>
          <w:rFonts w:ascii="Times New Roman" w:hAnsi="Times New Roman"/>
          <w:sz w:val="24"/>
          <w:szCs w:val="24"/>
        </w:rPr>
      </w:pPr>
      <w:bookmarkStart w:id="55" w:name="_Toc16065"/>
      <w:r>
        <w:rPr>
          <w:rFonts w:ascii="Times New Roman" w:hAnsi="Times New Roman"/>
          <w:sz w:val="24"/>
          <w:szCs w:val="24"/>
        </w:rPr>
        <w:t>总体发展思路</w:t>
      </w:r>
      <w:bookmarkEnd w:id="55"/>
    </w:p>
    <w:p w14:paraId="6EF64CD3">
      <w:pPr>
        <w:pStyle w:val="45"/>
        <w:tabs>
          <w:tab w:val="left" w:pos="885"/>
        </w:tabs>
        <w:spacing w:line="360" w:lineRule="auto"/>
        <w:ind w:firstLine="0" w:firstLineChars="0"/>
        <w:jc w:val="left"/>
        <w:rPr>
          <w:b/>
          <w:sz w:val="24"/>
        </w:rPr>
      </w:pPr>
      <w:r>
        <w:rPr>
          <w:b/>
          <w:sz w:val="24"/>
        </w:rPr>
        <w:t>3.1.1加强支柱产业企业引进</w:t>
      </w:r>
    </w:p>
    <w:p w14:paraId="56D17DEC">
      <w:pPr>
        <w:pStyle w:val="14"/>
        <w:snapToGrid/>
        <w:spacing w:after="0" w:line="360" w:lineRule="auto"/>
        <w:ind w:firstLine="480"/>
      </w:pPr>
      <w:r>
        <w:t>围绕壮大主导产业阵容抓引建，瞄准全国乃至世界相关产业龙头，紧盯不放，跟踪招商，争取引进与国瑞药业逐渐形成有影响力、有牵动力、有支撑力的产业集群。围绕延伸产业链条抓引建，立足打造完整产业链条，开发高附加值产品，提高企业加工转化能力和盈利水平。</w:t>
      </w:r>
    </w:p>
    <w:p w14:paraId="4B667959">
      <w:pPr>
        <w:pStyle w:val="45"/>
        <w:tabs>
          <w:tab w:val="left" w:pos="885"/>
        </w:tabs>
        <w:spacing w:line="360" w:lineRule="auto"/>
        <w:ind w:firstLine="0" w:firstLineChars="0"/>
        <w:jc w:val="left"/>
        <w:rPr>
          <w:b/>
          <w:sz w:val="24"/>
        </w:rPr>
      </w:pPr>
      <w:r>
        <w:rPr>
          <w:b/>
          <w:sz w:val="24"/>
        </w:rPr>
        <w:t>3.1.2产业发展导向目录</w:t>
      </w:r>
    </w:p>
    <w:p w14:paraId="6BB633B0">
      <w:pPr>
        <w:pStyle w:val="14"/>
        <w:snapToGrid/>
        <w:spacing w:after="0" w:line="360" w:lineRule="auto"/>
        <w:ind w:firstLine="480"/>
      </w:pPr>
      <w:r>
        <w:t>淮南经济技术开发区经贸局出台《淮南经开化工园区产业发展规划》，原则上引进化工医药行业鼓励类项目（详见表3.1），投资规模不得少1亿元，工艺水平应处于化工医药行业领先水平，工艺设备应采用自动化水平高设备，不得采用淘汰设备。</w:t>
      </w:r>
    </w:p>
    <w:p w14:paraId="1F58C758">
      <w:pPr>
        <w:pStyle w:val="14"/>
        <w:snapToGrid/>
        <w:spacing w:after="0" w:line="360" w:lineRule="auto"/>
        <w:ind w:firstLine="480"/>
      </w:pPr>
      <w:r>
        <w:t>为更好贯彻落实科学发展观，加快园区经济增长，提高综合竞争实力，促进园区经济社会全面协调发展，根据《产业结构调整指导目录（2019年本）》、商务部、国家税务总局公告（2006年第13号）《中国鼓励引进技术目录》、省、市产业政策，结合淮南经开化工园区产业发展方向，特提出园区“鼓励发展”、“限制发展”、“禁止发展”的产业发展导向，其中外商投资，按国务院《指导外商投资方向规定》（国务院令第346号）、《外商投资产业指导目录（2017年修订）》精神，并参照本《目录》执行。</w:t>
      </w:r>
    </w:p>
    <w:p w14:paraId="6A3ED82B">
      <w:pPr>
        <w:pStyle w:val="14"/>
        <w:snapToGrid/>
        <w:spacing w:after="0" w:line="360" w:lineRule="auto"/>
        <w:ind w:firstLine="480"/>
        <w:jc w:val="center"/>
      </w:pPr>
      <w:r>
        <w:t>表3.1产业发展导向目录</w:t>
      </w:r>
    </w:p>
    <w:tbl>
      <w:tblPr>
        <w:tblStyle w:val="25"/>
        <w:tblW w:w="8262" w:type="dxa"/>
        <w:tblInd w:w="117"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fixed"/>
        <w:tblCellMar>
          <w:top w:w="0" w:type="dxa"/>
          <w:left w:w="0" w:type="dxa"/>
          <w:bottom w:w="0" w:type="dxa"/>
          <w:right w:w="0" w:type="dxa"/>
        </w:tblCellMar>
      </w:tblPr>
      <w:tblGrid>
        <w:gridCol w:w="1300"/>
        <w:gridCol w:w="1037"/>
        <w:gridCol w:w="5925"/>
      </w:tblGrid>
      <w:tr w14:paraId="7CDE29B4">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1300" w:type="dxa"/>
            <w:tcBorders>
              <w:right w:val="single" w:color="000000" w:sz="4" w:space="0"/>
            </w:tcBorders>
          </w:tcPr>
          <w:p w14:paraId="1F0105C3">
            <w:pPr>
              <w:pStyle w:val="54"/>
              <w:spacing w:before="30"/>
              <w:ind w:left="400"/>
              <w:rPr>
                <w:rFonts w:ascii="Times New Roman" w:hAnsi="Times New Roman" w:eastAsia="黑体" w:cs="Times New Roman"/>
                <w:b/>
                <w:sz w:val="24"/>
              </w:rPr>
            </w:pPr>
            <w:r>
              <w:rPr>
                <w:rFonts w:ascii="Times New Roman" w:hAnsi="Times New Roman" w:eastAsia="黑体" w:cs="Times New Roman"/>
                <w:b/>
                <w:sz w:val="24"/>
              </w:rPr>
              <w:t>产业</w:t>
            </w:r>
          </w:p>
        </w:tc>
        <w:tc>
          <w:tcPr>
            <w:tcW w:w="1037" w:type="dxa"/>
            <w:tcBorders>
              <w:left w:val="single" w:color="000000" w:sz="4" w:space="0"/>
              <w:right w:val="single" w:color="000000" w:sz="4" w:space="0"/>
            </w:tcBorders>
          </w:tcPr>
          <w:p w14:paraId="22CD264F">
            <w:pPr>
              <w:pStyle w:val="54"/>
              <w:tabs>
                <w:tab w:val="left" w:pos="948"/>
              </w:tabs>
              <w:spacing w:before="57"/>
              <w:ind w:left="348"/>
              <w:rPr>
                <w:rFonts w:ascii="Times New Roman" w:hAnsi="Times New Roman" w:eastAsia="黑体" w:cs="Times New Roman"/>
                <w:b/>
                <w:sz w:val="24"/>
              </w:rPr>
            </w:pPr>
            <w:r>
              <w:rPr>
                <w:rFonts w:ascii="Times New Roman" w:hAnsi="Times New Roman" w:eastAsia="黑体" w:cs="Times New Roman"/>
                <w:b/>
                <w:sz w:val="24"/>
              </w:rPr>
              <w:t>类别</w:t>
            </w:r>
          </w:p>
        </w:tc>
        <w:tc>
          <w:tcPr>
            <w:tcW w:w="5925" w:type="dxa"/>
            <w:tcBorders>
              <w:left w:val="single" w:color="000000" w:sz="4" w:space="0"/>
            </w:tcBorders>
          </w:tcPr>
          <w:p w14:paraId="20E4EED7">
            <w:pPr>
              <w:pStyle w:val="54"/>
              <w:spacing w:before="57"/>
              <w:ind w:left="2290" w:right="2278"/>
              <w:jc w:val="center"/>
              <w:rPr>
                <w:rFonts w:ascii="Times New Roman" w:hAnsi="Times New Roman" w:eastAsia="黑体" w:cs="Times New Roman"/>
                <w:b/>
                <w:sz w:val="24"/>
              </w:rPr>
            </w:pPr>
            <w:r>
              <w:rPr>
                <w:rFonts w:ascii="Times New Roman" w:hAnsi="Times New Roman" w:eastAsia="黑体" w:cs="Times New Roman"/>
                <w:b/>
                <w:sz w:val="24"/>
              </w:rPr>
              <w:t>发展重点</w:t>
            </w:r>
          </w:p>
        </w:tc>
      </w:tr>
      <w:tr w14:paraId="086E5BE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300" w:type="dxa"/>
            <w:tcBorders>
              <w:right w:val="single" w:color="000000" w:sz="4" w:space="0"/>
            </w:tcBorders>
          </w:tcPr>
          <w:p w14:paraId="0E94816D">
            <w:pPr>
              <w:pStyle w:val="54"/>
              <w:rPr>
                <w:rFonts w:ascii="Times New Roman" w:hAnsi="Times New Roman" w:cs="Times New Roman"/>
                <w:sz w:val="24"/>
              </w:rPr>
            </w:pPr>
          </w:p>
          <w:p w14:paraId="6DECAA81">
            <w:pPr>
              <w:pStyle w:val="54"/>
              <w:rPr>
                <w:rFonts w:ascii="Times New Roman" w:hAnsi="Times New Roman" w:cs="Times New Roman"/>
                <w:sz w:val="24"/>
              </w:rPr>
            </w:pPr>
          </w:p>
          <w:p w14:paraId="061BEE0A">
            <w:pPr>
              <w:pStyle w:val="54"/>
              <w:rPr>
                <w:rFonts w:ascii="Times New Roman" w:hAnsi="Times New Roman" w:cs="Times New Roman"/>
                <w:sz w:val="24"/>
              </w:rPr>
            </w:pPr>
          </w:p>
          <w:p w14:paraId="1D168C51">
            <w:pPr>
              <w:pStyle w:val="54"/>
              <w:rPr>
                <w:rFonts w:ascii="Times New Roman" w:hAnsi="Times New Roman" w:cs="Times New Roman"/>
                <w:sz w:val="24"/>
              </w:rPr>
            </w:pPr>
          </w:p>
          <w:p w14:paraId="0C820804">
            <w:pPr>
              <w:pStyle w:val="54"/>
              <w:rPr>
                <w:rFonts w:ascii="Times New Roman" w:hAnsi="Times New Roman" w:cs="Times New Roman"/>
                <w:sz w:val="24"/>
              </w:rPr>
            </w:pPr>
          </w:p>
          <w:p w14:paraId="65B0BB82">
            <w:pPr>
              <w:pStyle w:val="54"/>
              <w:rPr>
                <w:rFonts w:ascii="Times New Roman" w:hAnsi="Times New Roman" w:cs="Times New Roman"/>
                <w:sz w:val="24"/>
              </w:rPr>
            </w:pPr>
          </w:p>
          <w:p w14:paraId="0D36F2DE">
            <w:pPr>
              <w:pStyle w:val="54"/>
              <w:rPr>
                <w:rFonts w:ascii="Times New Roman" w:hAnsi="Times New Roman" w:cs="Times New Roman"/>
                <w:sz w:val="24"/>
              </w:rPr>
            </w:pPr>
          </w:p>
          <w:p w14:paraId="677C4570">
            <w:pPr>
              <w:pStyle w:val="54"/>
              <w:rPr>
                <w:rFonts w:ascii="Times New Roman" w:hAnsi="Times New Roman" w:cs="Times New Roman"/>
                <w:sz w:val="24"/>
              </w:rPr>
            </w:pPr>
          </w:p>
          <w:p w14:paraId="51F1026B">
            <w:pPr>
              <w:pStyle w:val="54"/>
              <w:rPr>
                <w:rFonts w:ascii="Times New Roman" w:hAnsi="Times New Roman" w:cs="Times New Roman"/>
                <w:sz w:val="24"/>
              </w:rPr>
            </w:pPr>
          </w:p>
          <w:p w14:paraId="024FC322">
            <w:pPr>
              <w:pStyle w:val="54"/>
              <w:rPr>
                <w:rFonts w:ascii="Times New Roman" w:hAnsi="Times New Roman" w:cs="Times New Roman"/>
                <w:sz w:val="24"/>
              </w:rPr>
            </w:pPr>
          </w:p>
          <w:p w14:paraId="73A072E9">
            <w:pPr>
              <w:pStyle w:val="54"/>
              <w:rPr>
                <w:rFonts w:ascii="Times New Roman" w:hAnsi="Times New Roman" w:cs="Times New Roman"/>
                <w:sz w:val="24"/>
              </w:rPr>
            </w:pPr>
          </w:p>
          <w:p w14:paraId="35D1CC8B">
            <w:pPr>
              <w:pStyle w:val="54"/>
              <w:rPr>
                <w:rFonts w:ascii="Times New Roman" w:hAnsi="Times New Roman" w:cs="Times New Roman"/>
                <w:sz w:val="24"/>
              </w:rPr>
            </w:pPr>
          </w:p>
          <w:p w14:paraId="6A22FE07">
            <w:pPr>
              <w:pStyle w:val="54"/>
              <w:rPr>
                <w:rFonts w:ascii="Times New Roman" w:hAnsi="Times New Roman" w:cs="Times New Roman"/>
                <w:sz w:val="24"/>
              </w:rPr>
            </w:pPr>
          </w:p>
          <w:p w14:paraId="37C7BCBE">
            <w:pPr>
              <w:pStyle w:val="54"/>
              <w:rPr>
                <w:rFonts w:ascii="Times New Roman" w:hAnsi="Times New Roman" w:cs="Times New Roman"/>
                <w:sz w:val="24"/>
              </w:rPr>
            </w:pPr>
          </w:p>
          <w:p w14:paraId="06743297">
            <w:pPr>
              <w:pStyle w:val="54"/>
              <w:rPr>
                <w:rFonts w:ascii="Times New Roman" w:hAnsi="Times New Roman" w:cs="Times New Roman"/>
                <w:sz w:val="24"/>
              </w:rPr>
            </w:pPr>
          </w:p>
          <w:p w14:paraId="4FDE8F49">
            <w:pPr>
              <w:pStyle w:val="54"/>
              <w:rPr>
                <w:rFonts w:ascii="Times New Roman" w:hAnsi="Times New Roman" w:cs="Times New Roman"/>
                <w:sz w:val="24"/>
              </w:rPr>
            </w:pPr>
          </w:p>
          <w:p w14:paraId="3ACCDF87">
            <w:pPr>
              <w:pStyle w:val="54"/>
              <w:rPr>
                <w:rFonts w:ascii="Times New Roman" w:hAnsi="Times New Roman" w:cs="Times New Roman"/>
                <w:sz w:val="24"/>
              </w:rPr>
            </w:pPr>
          </w:p>
          <w:p w14:paraId="2BE8AD5A">
            <w:pPr>
              <w:pStyle w:val="54"/>
              <w:rPr>
                <w:rFonts w:ascii="Times New Roman" w:hAnsi="Times New Roman" w:cs="Times New Roman"/>
                <w:sz w:val="24"/>
              </w:rPr>
            </w:pPr>
          </w:p>
          <w:p w14:paraId="0AAA9632">
            <w:pPr>
              <w:pStyle w:val="54"/>
              <w:rPr>
                <w:rFonts w:ascii="Times New Roman" w:hAnsi="Times New Roman" w:cs="Times New Roman"/>
                <w:sz w:val="24"/>
              </w:rPr>
            </w:pPr>
          </w:p>
          <w:p w14:paraId="10614F28">
            <w:pPr>
              <w:pStyle w:val="54"/>
              <w:rPr>
                <w:rFonts w:ascii="Times New Roman" w:hAnsi="Times New Roman" w:cs="Times New Roman"/>
                <w:sz w:val="33"/>
              </w:rPr>
            </w:pPr>
          </w:p>
          <w:p w14:paraId="2B61D545">
            <w:pPr>
              <w:pStyle w:val="54"/>
              <w:rPr>
                <w:rFonts w:ascii="Times New Roman" w:hAnsi="Times New Roman" w:cs="Times New Roman"/>
                <w:b/>
                <w:sz w:val="24"/>
              </w:rPr>
            </w:pPr>
            <w:r>
              <w:rPr>
                <w:rFonts w:ascii="Times New Roman" w:hAnsi="Times New Roman" w:cs="Times New Roman"/>
                <w:b/>
                <w:sz w:val="24"/>
              </w:rPr>
              <w:t>鼓励类</w:t>
            </w:r>
          </w:p>
        </w:tc>
        <w:tc>
          <w:tcPr>
            <w:tcW w:w="1037" w:type="dxa"/>
            <w:tcBorders>
              <w:left w:val="single" w:color="000000" w:sz="4" w:space="0"/>
              <w:right w:val="single" w:color="000000" w:sz="4" w:space="0"/>
            </w:tcBorders>
          </w:tcPr>
          <w:p w14:paraId="2C8E0DB6">
            <w:pPr>
              <w:pStyle w:val="54"/>
              <w:rPr>
                <w:rFonts w:ascii="Times New Roman" w:hAnsi="Times New Roman" w:cs="Times New Roman"/>
                <w:sz w:val="24"/>
              </w:rPr>
            </w:pPr>
          </w:p>
          <w:p w14:paraId="64366A18">
            <w:pPr>
              <w:pStyle w:val="54"/>
              <w:rPr>
                <w:rFonts w:ascii="Times New Roman" w:hAnsi="Times New Roman" w:cs="Times New Roman"/>
                <w:sz w:val="24"/>
              </w:rPr>
            </w:pPr>
          </w:p>
          <w:p w14:paraId="22E30BA9">
            <w:pPr>
              <w:pStyle w:val="54"/>
              <w:rPr>
                <w:rFonts w:ascii="Times New Roman" w:hAnsi="Times New Roman" w:cs="Times New Roman"/>
                <w:sz w:val="24"/>
              </w:rPr>
            </w:pPr>
          </w:p>
          <w:p w14:paraId="389EB04B">
            <w:pPr>
              <w:pStyle w:val="54"/>
              <w:rPr>
                <w:rFonts w:ascii="Times New Roman" w:hAnsi="Times New Roman" w:cs="Times New Roman"/>
                <w:sz w:val="24"/>
              </w:rPr>
            </w:pPr>
          </w:p>
          <w:p w14:paraId="67959C09">
            <w:pPr>
              <w:pStyle w:val="54"/>
              <w:rPr>
                <w:rFonts w:ascii="Times New Roman" w:hAnsi="Times New Roman" w:cs="Times New Roman"/>
                <w:sz w:val="24"/>
              </w:rPr>
            </w:pPr>
          </w:p>
          <w:p w14:paraId="3FC59978">
            <w:pPr>
              <w:pStyle w:val="54"/>
              <w:rPr>
                <w:rFonts w:ascii="Times New Roman" w:hAnsi="Times New Roman" w:cs="Times New Roman"/>
                <w:sz w:val="24"/>
              </w:rPr>
            </w:pPr>
          </w:p>
          <w:p w14:paraId="4EC6ACC9">
            <w:pPr>
              <w:pStyle w:val="54"/>
              <w:rPr>
                <w:rFonts w:ascii="Times New Roman" w:hAnsi="Times New Roman" w:cs="Times New Roman"/>
                <w:sz w:val="24"/>
              </w:rPr>
            </w:pPr>
          </w:p>
          <w:p w14:paraId="53F9B161">
            <w:pPr>
              <w:pStyle w:val="54"/>
              <w:rPr>
                <w:rFonts w:ascii="Times New Roman" w:hAnsi="Times New Roman" w:cs="Times New Roman"/>
                <w:sz w:val="24"/>
              </w:rPr>
            </w:pPr>
          </w:p>
          <w:p w14:paraId="2F46A407">
            <w:pPr>
              <w:pStyle w:val="54"/>
              <w:rPr>
                <w:rFonts w:ascii="Times New Roman" w:hAnsi="Times New Roman" w:cs="Times New Roman"/>
                <w:sz w:val="24"/>
              </w:rPr>
            </w:pPr>
          </w:p>
          <w:p w14:paraId="16FDFE88">
            <w:pPr>
              <w:pStyle w:val="54"/>
              <w:rPr>
                <w:rFonts w:ascii="Times New Roman" w:hAnsi="Times New Roman" w:cs="Times New Roman"/>
                <w:sz w:val="24"/>
              </w:rPr>
            </w:pPr>
          </w:p>
          <w:p w14:paraId="6129B9C1">
            <w:pPr>
              <w:pStyle w:val="54"/>
              <w:rPr>
                <w:rFonts w:ascii="Times New Roman" w:hAnsi="Times New Roman" w:cs="Times New Roman"/>
                <w:sz w:val="24"/>
              </w:rPr>
            </w:pPr>
          </w:p>
          <w:p w14:paraId="68F98457">
            <w:pPr>
              <w:pStyle w:val="54"/>
              <w:rPr>
                <w:rFonts w:ascii="Times New Roman" w:hAnsi="Times New Roman" w:cs="Times New Roman"/>
                <w:sz w:val="24"/>
              </w:rPr>
            </w:pPr>
          </w:p>
          <w:p w14:paraId="4281AECE">
            <w:pPr>
              <w:pStyle w:val="54"/>
              <w:rPr>
                <w:rFonts w:ascii="Times New Roman" w:hAnsi="Times New Roman" w:cs="Times New Roman"/>
                <w:sz w:val="24"/>
              </w:rPr>
            </w:pPr>
          </w:p>
          <w:p w14:paraId="35C8A1F5">
            <w:pPr>
              <w:pStyle w:val="54"/>
              <w:rPr>
                <w:rFonts w:ascii="Times New Roman" w:hAnsi="Times New Roman" w:cs="Times New Roman"/>
                <w:sz w:val="24"/>
              </w:rPr>
            </w:pPr>
          </w:p>
          <w:p w14:paraId="31A3062F">
            <w:pPr>
              <w:pStyle w:val="54"/>
              <w:rPr>
                <w:rFonts w:ascii="Times New Roman" w:hAnsi="Times New Roman" w:cs="Times New Roman"/>
                <w:sz w:val="24"/>
              </w:rPr>
            </w:pPr>
          </w:p>
          <w:p w14:paraId="2B4F0F15">
            <w:pPr>
              <w:pStyle w:val="54"/>
              <w:rPr>
                <w:rFonts w:ascii="Times New Roman" w:hAnsi="Times New Roman" w:cs="Times New Roman"/>
                <w:sz w:val="24"/>
              </w:rPr>
            </w:pPr>
          </w:p>
          <w:p w14:paraId="5ED859FE">
            <w:pPr>
              <w:pStyle w:val="54"/>
              <w:rPr>
                <w:rFonts w:ascii="Times New Roman" w:hAnsi="Times New Roman" w:cs="Times New Roman"/>
                <w:sz w:val="24"/>
              </w:rPr>
            </w:pPr>
          </w:p>
          <w:p w14:paraId="4670E604">
            <w:pPr>
              <w:pStyle w:val="54"/>
              <w:rPr>
                <w:rFonts w:ascii="Times New Roman" w:hAnsi="Times New Roman" w:cs="Times New Roman"/>
                <w:sz w:val="24"/>
              </w:rPr>
            </w:pPr>
          </w:p>
          <w:p w14:paraId="6706805C">
            <w:pPr>
              <w:pStyle w:val="54"/>
              <w:rPr>
                <w:rFonts w:ascii="Times New Roman" w:hAnsi="Times New Roman" w:cs="Times New Roman"/>
                <w:sz w:val="24"/>
              </w:rPr>
            </w:pPr>
          </w:p>
          <w:p w14:paraId="358A537C">
            <w:pPr>
              <w:pStyle w:val="54"/>
              <w:rPr>
                <w:rFonts w:ascii="Times New Roman" w:hAnsi="Times New Roman" w:cs="Times New Roman"/>
                <w:sz w:val="33"/>
              </w:rPr>
            </w:pPr>
          </w:p>
          <w:p w14:paraId="767E29DD">
            <w:pPr>
              <w:pStyle w:val="54"/>
              <w:rPr>
                <w:rFonts w:ascii="Times New Roman" w:hAnsi="Times New Roman" w:cs="Times New Roman"/>
                <w:sz w:val="24"/>
              </w:rPr>
            </w:pPr>
            <w:r>
              <w:rPr>
                <w:rFonts w:ascii="Times New Roman" w:hAnsi="Times New Roman" w:cs="Times New Roman"/>
                <w:b/>
                <w:sz w:val="24"/>
              </w:rPr>
              <w:t>医药</w:t>
            </w:r>
          </w:p>
        </w:tc>
        <w:tc>
          <w:tcPr>
            <w:tcW w:w="5925" w:type="dxa"/>
            <w:tcBorders>
              <w:left w:val="single" w:color="000000" w:sz="4" w:space="0"/>
            </w:tcBorders>
          </w:tcPr>
          <w:p w14:paraId="08ABC0D9">
            <w:pPr>
              <w:pStyle w:val="54"/>
              <w:numPr>
                <w:ilvl w:val="0"/>
                <w:numId w:val="7"/>
              </w:numPr>
              <w:spacing w:line="360" w:lineRule="auto"/>
              <w:rPr>
                <w:rFonts w:ascii="Times New Roman" w:hAnsi="Times New Roman" w:cs="Times New Roman"/>
              </w:rPr>
            </w:pPr>
            <w:r>
              <w:rPr>
                <w:rFonts w:ascii="Times New Roman" w:hAnsi="Times New Roman" w:cs="Times New Roman"/>
              </w:rPr>
              <w:t>拥有自主知识产权的新药开发和生产，天然药物开发和生产，满足我国重大、多发性疾病防治需求的通用名药物首次开发和生产，药物新剂型、新辅料、儿童药、短缺药的开发和生产，药物生产过程中的膜分离、超临界萃取、新型结晶、手性合成、酶促合成、连续反应、系统控制等技术开发与应用，基本药物质量和生产技术水平提升及降低成本，原料药生产节能降耗减排技术、新型药物制剂技术开发与应用。</w:t>
            </w:r>
          </w:p>
          <w:p w14:paraId="44D31BAA">
            <w:pPr>
              <w:pStyle w:val="54"/>
              <w:spacing w:line="360" w:lineRule="auto"/>
              <w:rPr>
                <w:rFonts w:ascii="Times New Roman" w:hAnsi="Times New Roman" w:cs="Times New Roman"/>
              </w:rPr>
            </w:pPr>
            <w:r>
              <w:rPr>
                <w:rFonts w:ascii="Times New Roman" w:hAnsi="Times New Roman" w:eastAsia="Times New Roman" w:cs="Times New Roman"/>
              </w:rPr>
              <w:t>2</w:t>
            </w:r>
            <w:r>
              <w:rPr>
                <w:rFonts w:ascii="Times New Roman" w:hAnsi="Times New Roman" w:cs="Times New Roman"/>
              </w:rPr>
              <w:t>、重大疾病防治疫苗、抗体药物、基因治疗药物、细胞治疗药物、重组蛋白质药物、核酸药物，大规模细胞培养和纯化技术、大规模药用多肽和核酸合成、抗体偶联、无血清无蛋白培养基培养、发酵、纯化技术开发和应用，纤维素酶、碱性蛋白酶、诊断用酶等酶制剂，采用现代生物技术改造传统生产工艺。</w:t>
            </w:r>
          </w:p>
          <w:p w14:paraId="36F98424">
            <w:pPr>
              <w:pStyle w:val="54"/>
              <w:spacing w:line="360" w:lineRule="auto"/>
              <w:rPr>
                <w:rFonts w:ascii="Times New Roman" w:hAnsi="Times New Roman" w:cs="Times New Roman"/>
              </w:rPr>
            </w:pPr>
            <w:r>
              <w:rPr>
                <w:rFonts w:ascii="Times New Roman" w:hAnsi="Times New Roman" w:eastAsia="Times New Roman" w:cs="Times New Roman"/>
              </w:rPr>
              <w:t>3</w:t>
            </w:r>
            <w:r>
              <w:rPr>
                <w:rFonts w:ascii="Times New Roman" w:hAnsi="Times New Roman" w:cs="Times New Roman"/>
              </w:rPr>
              <w:t>、新型药用包装材料与技术的开发和生产（中性硼硅药用玻璃，化学稳定性好、可降解、具有高阻隔性的功能性材料，气雾剂、粉雾剂、自我给药、预灌封、自动混药等新型包装给药系统及给药装置）。</w:t>
            </w:r>
          </w:p>
          <w:p w14:paraId="7125CF0E">
            <w:pPr>
              <w:pStyle w:val="54"/>
              <w:spacing w:line="360" w:lineRule="auto"/>
              <w:rPr>
                <w:rFonts w:ascii="Times New Roman" w:hAnsi="Times New Roman" w:cs="Times New Roman"/>
              </w:rPr>
            </w:pPr>
            <w:r>
              <w:rPr>
                <w:rFonts w:ascii="Times New Roman" w:hAnsi="Times New Roman" w:eastAsia="Times New Roman" w:cs="Times New Roman"/>
              </w:rPr>
              <w:t>4</w:t>
            </w:r>
            <w:r>
              <w:rPr>
                <w:rFonts w:ascii="Times New Roman" w:hAnsi="Times New Roman" w:cs="Times New Roman"/>
              </w:rPr>
              <w:t>、濒危稀缺药用动植物人工繁育技术开发，实验动物标准化养殖及动物实验服务，先进农业技术在中药材规范化种植、养殖中的应用，中药质量控制新技术开发和应用，中药现代剂型的工艺技术，中药饮片炮制技术传承与创新，中药经典名方的开发与生产，中药创新药物的研发与生产，中成药二次开发和生产，民族药物开发和生产。</w:t>
            </w:r>
          </w:p>
          <w:p w14:paraId="6D9748EA">
            <w:pPr>
              <w:pStyle w:val="54"/>
              <w:spacing w:line="360" w:lineRule="auto"/>
              <w:rPr>
                <w:rFonts w:ascii="Times New Roman" w:hAnsi="Times New Roman" w:cs="Times New Roman"/>
              </w:rPr>
            </w:pPr>
            <w:r>
              <w:rPr>
                <w:rFonts w:ascii="Times New Roman" w:hAnsi="Times New Roman" w:eastAsia="Times New Roman" w:cs="Times New Roman"/>
              </w:rPr>
              <w:t>5</w:t>
            </w:r>
            <w:r>
              <w:rPr>
                <w:rFonts w:ascii="Times New Roman" w:hAnsi="Times New Roman" w:cs="Times New Roman"/>
              </w:rPr>
              <w:t>、新型医用诊断设备和试剂、数字化医学影像设备，人工智能辅助医疗设备，高端放射治疗设备，电子内窥镜、手术机器人等高端外科设备，新型支架、假体等高端植入介入设备与材料及增材制造技术开发与应用，危重病用生命支持设备，移动与远程诊疗设备，新型基因、蛋白和细胞诊断设备。</w:t>
            </w:r>
          </w:p>
          <w:p w14:paraId="1862FE49">
            <w:pPr>
              <w:pStyle w:val="54"/>
              <w:spacing w:line="360" w:lineRule="auto"/>
              <w:rPr>
                <w:rFonts w:ascii="Times New Roman" w:hAnsi="Times New Roman" w:cs="Times New Roman"/>
              </w:rPr>
            </w:pPr>
            <w:r>
              <w:rPr>
                <w:rFonts w:ascii="Times New Roman" w:hAnsi="Times New Roman" w:eastAsia="Times New Roman" w:cs="Times New Roman"/>
              </w:rPr>
              <w:t>6</w:t>
            </w:r>
            <w:r>
              <w:rPr>
                <w:rFonts w:ascii="Times New Roman" w:hAnsi="Times New Roman" w:cs="Times New Roman"/>
              </w:rPr>
              <w:t>、高端制药设备开发与生产，透皮吸收、粉雾剂等新型制剂生产设备，大规模生物反应器及附属系统，蛋白质高效分 离和纯化设备，中药高效提取设备，药品连续化生产技术及装备。</w:t>
            </w:r>
          </w:p>
        </w:tc>
      </w:tr>
      <w:tr w14:paraId="0413D17B">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1300" w:type="dxa"/>
            <w:tcBorders>
              <w:right w:val="single" w:color="000000" w:sz="4" w:space="0"/>
            </w:tcBorders>
          </w:tcPr>
          <w:p w14:paraId="6A1E0FCA">
            <w:pPr>
              <w:pStyle w:val="54"/>
              <w:rPr>
                <w:rFonts w:ascii="Times New Roman" w:hAnsi="Times New Roman" w:cs="Times New Roman"/>
                <w:b/>
                <w:sz w:val="24"/>
              </w:rPr>
            </w:pPr>
          </w:p>
        </w:tc>
        <w:tc>
          <w:tcPr>
            <w:tcW w:w="1037" w:type="dxa"/>
            <w:tcBorders>
              <w:left w:val="single" w:color="000000" w:sz="4" w:space="0"/>
              <w:right w:val="single" w:color="000000" w:sz="4" w:space="0"/>
            </w:tcBorders>
          </w:tcPr>
          <w:p w14:paraId="267A0806">
            <w:pPr>
              <w:pStyle w:val="54"/>
              <w:rPr>
                <w:rFonts w:ascii="Times New Roman" w:hAnsi="Times New Roman" w:cs="Times New Roman"/>
                <w:b/>
                <w:sz w:val="24"/>
              </w:rPr>
            </w:pPr>
          </w:p>
          <w:p w14:paraId="13B21213">
            <w:pPr>
              <w:pStyle w:val="54"/>
              <w:rPr>
                <w:rFonts w:ascii="Times New Roman" w:hAnsi="Times New Roman" w:cs="Times New Roman"/>
                <w:b/>
                <w:sz w:val="24"/>
              </w:rPr>
            </w:pPr>
          </w:p>
          <w:p w14:paraId="09C8C25B">
            <w:pPr>
              <w:pStyle w:val="54"/>
              <w:rPr>
                <w:rFonts w:ascii="Times New Roman" w:hAnsi="Times New Roman" w:cs="Times New Roman"/>
                <w:b/>
                <w:sz w:val="24"/>
              </w:rPr>
            </w:pPr>
          </w:p>
          <w:p w14:paraId="46FC1ED0">
            <w:pPr>
              <w:pStyle w:val="54"/>
              <w:rPr>
                <w:rFonts w:ascii="Times New Roman" w:hAnsi="Times New Roman" w:cs="Times New Roman"/>
                <w:b/>
                <w:sz w:val="24"/>
              </w:rPr>
            </w:pPr>
          </w:p>
          <w:p w14:paraId="6F152A7C">
            <w:pPr>
              <w:pStyle w:val="54"/>
              <w:rPr>
                <w:rFonts w:ascii="Times New Roman" w:hAnsi="Times New Roman" w:cs="Times New Roman"/>
                <w:b/>
                <w:sz w:val="24"/>
              </w:rPr>
            </w:pPr>
          </w:p>
          <w:p w14:paraId="49C1AED6">
            <w:pPr>
              <w:pStyle w:val="54"/>
              <w:rPr>
                <w:rFonts w:ascii="Times New Roman" w:hAnsi="Times New Roman" w:cs="Times New Roman"/>
                <w:b/>
                <w:sz w:val="24"/>
              </w:rPr>
            </w:pPr>
          </w:p>
          <w:p w14:paraId="78075274">
            <w:pPr>
              <w:pStyle w:val="54"/>
              <w:rPr>
                <w:rFonts w:ascii="Times New Roman" w:hAnsi="Times New Roman" w:cs="Times New Roman"/>
                <w:b/>
                <w:sz w:val="24"/>
              </w:rPr>
            </w:pPr>
          </w:p>
          <w:p w14:paraId="2C2A9B85">
            <w:pPr>
              <w:pStyle w:val="54"/>
              <w:rPr>
                <w:rFonts w:ascii="Times New Roman" w:hAnsi="Times New Roman" w:cs="Times New Roman"/>
                <w:b/>
                <w:sz w:val="24"/>
              </w:rPr>
            </w:pPr>
          </w:p>
          <w:p w14:paraId="0D73F0CC">
            <w:pPr>
              <w:pStyle w:val="54"/>
              <w:rPr>
                <w:rFonts w:ascii="Times New Roman" w:hAnsi="Times New Roman" w:cs="Times New Roman"/>
                <w:b/>
                <w:sz w:val="24"/>
              </w:rPr>
            </w:pPr>
          </w:p>
          <w:p w14:paraId="2A1E3A0C">
            <w:pPr>
              <w:pStyle w:val="54"/>
              <w:rPr>
                <w:rFonts w:ascii="Times New Roman" w:hAnsi="Times New Roman" w:cs="Times New Roman"/>
                <w:b/>
                <w:sz w:val="24"/>
              </w:rPr>
            </w:pPr>
          </w:p>
          <w:p w14:paraId="787AF186">
            <w:pPr>
              <w:pStyle w:val="54"/>
              <w:rPr>
                <w:rFonts w:ascii="Times New Roman" w:hAnsi="Times New Roman" w:cs="Times New Roman"/>
                <w:b/>
                <w:sz w:val="24"/>
              </w:rPr>
            </w:pPr>
          </w:p>
          <w:p w14:paraId="2734251E">
            <w:pPr>
              <w:pStyle w:val="54"/>
              <w:rPr>
                <w:rFonts w:ascii="Times New Roman" w:hAnsi="Times New Roman" w:cs="Times New Roman"/>
                <w:b/>
                <w:sz w:val="24"/>
              </w:rPr>
            </w:pPr>
            <w:r>
              <w:rPr>
                <w:rFonts w:ascii="Times New Roman" w:hAnsi="Times New Roman" w:cs="Times New Roman"/>
                <w:b/>
                <w:sz w:val="24"/>
              </w:rPr>
              <w:t>石化化工</w:t>
            </w:r>
          </w:p>
        </w:tc>
        <w:tc>
          <w:tcPr>
            <w:tcW w:w="5925" w:type="dxa"/>
            <w:tcBorders>
              <w:left w:val="single" w:color="000000" w:sz="4" w:space="0"/>
            </w:tcBorders>
          </w:tcPr>
          <w:p w14:paraId="7696B101">
            <w:pPr>
              <w:pStyle w:val="54"/>
              <w:spacing w:line="360" w:lineRule="auto"/>
              <w:rPr>
                <w:rFonts w:ascii="Times New Roman" w:hAnsi="Times New Roman" w:cs="Times New Roman"/>
              </w:rPr>
            </w:pPr>
            <w:r>
              <w:rPr>
                <w:rFonts w:ascii="Times New Roman" w:hAnsi="Times New Roman" w:cs="Times New Roman"/>
              </w:rPr>
              <w:t>1、高标准油品生产技术开发与应用，煤经甲醇制对二甲苯。</w:t>
            </w:r>
          </w:p>
          <w:p w14:paraId="33660E24">
            <w:pPr>
              <w:pStyle w:val="54"/>
              <w:spacing w:line="360" w:lineRule="auto"/>
              <w:rPr>
                <w:rFonts w:ascii="Times New Roman" w:hAnsi="Times New Roman" w:cs="Times New Roman"/>
              </w:rPr>
            </w:pPr>
            <w:r>
              <w:rPr>
                <w:rFonts w:ascii="Times New Roman" w:hAnsi="Times New Roman" w:cs="Times New Roman"/>
              </w:rPr>
              <w:t>2、硫、钾、硼、锂、溴等短缺化工矿产资源勘探开发及综合利用，磷矿选矿尾矿综合利用技术开发与应用，中低品位磷矿、萤石矿采选与利用，磷矿、萤石矿伴生资源综合利用。</w:t>
            </w:r>
          </w:p>
          <w:p w14:paraId="23BF1968">
            <w:pPr>
              <w:pStyle w:val="54"/>
              <w:spacing w:line="360" w:lineRule="auto"/>
              <w:rPr>
                <w:rFonts w:ascii="Times New Roman" w:hAnsi="Times New Roman" w:cs="Times New Roman"/>
              </w:rPr>
            </w:pPr>
            <w:r>
              <w:rPr>
                <w:rFonts w:ascii="Times New Roman" w:hAnsi="Times New Roman" w:cs="Times New Roman"/>
              </w:rPr>
              <w:t>3、零极距、氧阴极等离子膜烧碱电解槽节能技术、废盐酸制氯气等综合利用技术、铬盐清洁生产新工艺的开发和应用，全封闭高压水淬渣及无二次污染磷泥处理黄磷生产工艺，气动流化塔生产高锰酸钾，全热能回收热法磷酸生产，大型脱氟磷酸钙生产装置。</w:t>
            </w:r>
          </w:p>
          <w:p w14:paraId="597A77E1">
            <w:pPr>
              <w:pStyle w:val="54"/>
              <w:spacing w:line="360" w:lineRule="auto"/>
              <w:rPr>
                <w:rFonts w:ascii="Times New Roman" w:hAnsi="Times New Roman" w:cs="Times New Roman"/>
              </w:rPr>
            </w:pPr>
            <w:r>
              <w:rPr>
                <w:rFonts w:hint="eastAsia" w:ascii="Times New Roman" w:hAnsi="Times New Roman" w:cs="Times New Roman"/>
                <w:lang w:val="en-US"/>
              </w:rPr>
              <w:t>4</w:t>
            </w:r>
            <w:r>
              <w:rPr>
                <w:rFonts w:ascii="Times New Roman" w:hAnsi="Times New Roman" w:cs="Times New Roman"/>
              </w:rPr>
              <w:t>、优质钾肥及各种专用肥、水溶肥、液体肥、中微量元素肥、硝基肥、缓控释肥的生产，磷石膏综合利用技术开发与应用。</w:t>
            </w:r>
          </w:p>
          <w:p w14:paraId="54754FB9">
            <w:pPr>
              <w:pStyle w:val="54"/>
              <w:spacing w:line="360" w:lineRule="auto"/>
              <w:rPr>
                <w:rFonts w:ascii="Times New Roman" w:hAnsi="Times New Roman" w:cs="Times New Roman"/>
              </w:rPr>
            </w:pPr>
            <w:r>
              <w:rPr>
                <w:rFonts w:hint="eastAsia" w:ascii="Times New Roman" w:hAnsi="Times New Roman" w:cs="Times New Roman"/>
                <w:lang w:val="en-US"/>
              </w:rPr>
              <w:t>5</w:t>
            </w:r>
            <w:r>
              <w:rPr>
                <w:rFonts w:ascii="Times New Roman" w:hAnsi="Times New Roman" w:cs="Times New Roman"/>
              </w:rPr>
              <w:t>、高效、安全、环境友好的农药新品种、新剂型、专用中间体、助剂的开发与生产，定向合成法手性和立体结构农药生产，生物农药新产品、新技术的开发与生产。</w:t>
            </w:r>
          </w:p>
          <w:p w14:paraId="6EF5C170">
            <w:pPr>
              <w:pStyle w:val="54"/>
              <w:spacing w:line="360" w:lineRule="auto"/>
              <w:rPr>
                <w:rFonts w:ascii="Times New Roman" w:hAnsi="Times New Roman" w:cs="Times New Roman"/>
                <w:lang w:val="en-US"/>
              </w:rPr>
            </w:pPr>
            <w:r>
              <w:rPr>
                <w:rFonts w:hint="eastAsia" w:ascii="Times New Roman" w:hAnsi="Times New Roman" w:cs="Times New Roman"/>
                <w:lang w:val="en-US"/>
              </w:rPr>
              <w:t>6</w:t>
            </w:r>
            <w:r>
              <w:rPr>
                <w:rFonts w:ascii="Times New Roman" w:hAnsi="Times New Roman" w:cs="Times New Roman"/>
              </w:rPr>
              <w:t>、水性木器、工业、船舶用涂料，高固体分、无溶剂、辐射固化涂料，低VOCs含量的环境友好、资源节约型涂料，用于大飞机、高铁等重点领域的高性能防腐涂料生产；单线产能3万吨/年及以上氯化法钛白粉生产。</w:t>
            </w:r>
          </w:p>
          <w:p w14:paraId="52F8120A">
            <w:pPr>
              <w:pStyle w:val="54"/>
              <w:spacing w:line="360" w:lineRule="auto"/>
              <w:rPr>
                <w:rFonts w:ascii="Times New Roman" w:hAnsi="Times New Roman" w:cs="Times New Roman"/>
              </w:rPr>
            </w:pPr>
            <w:r>
              <w:rPr>
                <w:rFonts w:hint="eastAsia" w:ascii="Times New Roman" w:hAnsi="Times New Roman" w:cs="Times New Roman"/>
                <w:lang w:val="en-US"/>
              </w:rPr>
              <w:t>7</w:t>
            </w:r>
            <w:r>
              <w:rPr>
                <w:rFonts w:ascii="Times New Roman" w:hAnsi="Times New Roman" w:cs="Times New Roman"/>
              </w:rPr>
              <w:t>、染料、有机颜料及其中间体清洁生产、本质安全的新技术（包括发烟硫酸连续磺化、连续硝化、连续酰化、连续萃取、连续加氢还原、连续重氮偶合等连续化工艺，催化、三氧化硫磺化、绝热硝化、定向氯化、组合增效、溶剂反应、双氧水氧化、循环利用等技术，以及取代光气等剧毒原料的适用技术，膜过滤和原浆干燥技术）的开发和应用。</w:t>
            </w:r>
          </w:p>
          <w:p w14:paraId="201E6736">
            <w:pPr>
              <w:pStyle w:val="54"/>
              <w:spacing w:line="360" w:lineRule="auto"/>
              <w:rPr>
                <w:rFonts w:ascii="Times New Roman" w:hAnsi="Times New Roman" w:cs="Times New Roman"/>
              </w:rPr>
            </w:pPr>
            <w:r>
              <w:rPr>
                <w:rFonts w:hint="eastAsia" w:ascii="Times New Roman" w:hAnsi="Times New Roman" w:cs="Times New Roman"/>
                <w:lang w:val="en-US"/>
              </w:rPr>
              <w:t>8</w:t>
            </w:r>
            <w:r>
              <w:rPr>
                <w:rFonts w:ascii="Times New Roman" w:hAnsi="Times New Roman" w:cs="Times New Roman"/>
              </w:rPr>
              <w:t>、乙烯-乙烯醇共聚树脂、聚偏氯乙烯等高性能阻隔树脂，聚异丁烯、乙烯-辛烯共聚物、茂金属聚乙烯等特种聚烯烃，高碳α烯烃等关键原料的开发与生产，液晶聚合物、聚苯硫醚、聚苯醚、芳族酮聚合物、聚芳醚醚腈等工程塑料生产以及共混改性、合金化技术开发和应用，高吸水性树脂、导电性树脂和可降解聚合物的开发与生产，长碳链尼龙、耐高温尼龙等新型聚酰胺开发与生产。</w:t>
            </w:r>
          </w:p>
          <w:p w14:paraId="22D7AD38">
            <w:pPr>
              <w:pStyle w:val="54"/>
              <w:spacing w:line="360" w:lineRule="auto"/>
              <w:rPr>
                <w:rFonts w:ascii="Times New Roman" w:hAnsi="Times New Roman" w:cs="Times New Roman"/>
              </w:rPr>
            </w:pPr>
            <w:r>
              <w:rPr>
                <w:rFonts w:hint="eastAsia" w:ascii="Times New Roman" w:hAnsi="Times New Roman" w:cs="Times New Roman"/>
                <w:lang w:val="en-US"/>
              </w:rPr>
              <w:t>9</w:t>
            </w:r>
            <w:r>
              <w:rPr>
                <w:rFonts w:ascii="Times New Roman" w:hAnsi="Times New Roman" w:cs="Times New Roman"/>
              </w:rPr>
              <w:t>、改性型、水基型胶粘剂和新型热熔胶，环保型吸水剂、水处理剂，分子筛固汞、无汞等新型高效、环保催化剂和助剂，纳米材料，功能性膜材料，超净高纯试剂、光刻胶、电子气、高性能液晶材料等新型精细化学品的开发与生产。</w:t>
            </w:r>
          </w:p>
          <w:p w14:paraId="7DC432D9">
            <w:pPr>
              <w:pStyle w:val="54"/>
              <w:spacing w:line="36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0</w:t>
            </w:r>
            <w:r>
              <w:rPr>
                <w:rFonts w:ascii="Times New Roman" w:hAnsi="Times New Roman" w:cs="Times New Roman"/>
              </w:rPr>
              <w:t>、高性能子午线轮胎（包括无内胎载重子午胎、巨型工程子午胎（49 吋以上），低断面和扁平化（低于55系列））及智能制造技术与装备，航空轮胎、农用子午胎及配套专用材料和设备生产，新型天然橡胶开发与应用。</w:t>
            </w:r>
          </w:p>
          <w:p w14:paraId="31DC9849">
            <w:pPr>
              <w:pStyle w:val="54"/>
              <w:spacing w:line="360" w:lineRule="auto"/>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rPr>
              <w:t>1</w:t>
            </w:r>
            <w:r>
              <w:rPr>
                <w:rFonts w:ascii="Times New Roman" w:hAnsi="Times New Roman" w:cs="Times New Roman"/>
              </w:rPr>
              <w:t>、生物高分子材料、填料、试剂、芯片、干扰素、传感器、纤维素生化产品开发与生产。</w:t>
            </w:r>
          </w:p>
        </w:tc>
      </w:tr>
      <w:tr w14:paraId="1BDFCEEA">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2008" w:hRule="atLeast"/>
        </w:trPr>
        <w:tc>
          <w:tcPr>
            <w:tcW w:w="1300" w:type="dxa"/>
            <w:tcBorders>
              <w:right w:val="single" w:color="000000" w:sz="4" w:space="0"/>
            </w:tcBorders>
          </w:tcPr>
          <w:p w14:paraId="66157624">
            <w:pPr>
              <w:pStyle w:val="54"/>
              <w:rPr>
                <w:rFonts w:ascii="Times New Roman" w:hAnsi="Times New Roman" w:cs="Times New Roman"/>
                <w:b/>
                <w:sz w:val="24"/>
              </w:rPr>
            </w:pPr>
            <w:r>
              <w:rPr>
                <w:rFonts w:ascii="Times New Roman" w:hAnsi="Times New Roman" w:cs="Times New Roman"/>
                <w:b/>
                <w:sz w:val="24"/>
              </w:rPr>
              <w:t>限制类</w:t>
            </w:r>
          </w:p>
        </w:tc>
        <w:tc>
          <w:tcPr>
            <w:tcW w:w="1037" w:type="dxa"/>
            <w:tcBorders>
              <w:left w:val="single" w:color="000000" w:sz="4" w:space="0"/>
              <w:right w:val="single" w:color="000000" w:sz="4" w:space="0"/>
            </w:tcBorders>
          </w:tcPr>
          <w:p w14:paraId="0E35AA72">
            <w:pPr>
              <w:pStyle w:val="54"/>
              <w:rPr>
                <w:rFonts w:ascii="Times New Roman" w:hAnsi="Times New Roman" w:cs="Times New Roman"/>
                <w:b/>
                <w:sz w:val="24"/>
              </w:rPr>
            </w:pPr>
          </w:p>
        </w:tc>
        <w:tc>
          <w:tcPr>
            <w:tcW w:w="5925" w:type="dxa"/>
            <w:tcBorders>
              <w:left w:val="single" w:color="000000" w:sz="4" w:space="0"/>
            </w:tcBorders>
          </w:tcPr>
          <w:p w14:paraId="6D7905D0">
            <w:pPr>
              <w:pStyle w:val="54"/>
              <w:spacing w:line="360" w:lineRule="auto"/>
              <w:rPr>
                <w:rFonts w:ascii="Times New Roman" w:hAnsi="Times New Roman" w:cs="Times New Roman"/>
              </w:rPr>
            </w:pPr>
            <w:r>
              <w:rPr>
                <w:rFonts w:ascii="Times New Roman" w:hAnsi="Times New Roman" w:cs="Times New Roman"/>
              </w:rPr>
              <w:t>1、按国家和省、市有关规定限制发展的产业。</w:t>
            </w:r>
          </w:p>
          <w:p w14:paraId="7C7D4E7B">
            <w:pPr>
              <w:pStyle w:val="54"/>
              <w:spacing w:line="360" w:lineRule="auto"/>
              <w:rPr>
                <w:rFonts w:ascii="Times New Roman" w:hAnsi="Times New Roman" w:cs="Times New Roman"/>
              </w:rPr>
            </w:pPr>
            <w:r>
              <w:rPr>
                <w:rFonts w:ascii="Times New Roman" w:hAnsi="Times New Roman" w:cs="Times New Roman"/>
              </w:rPr>
              <w:t>2、技术落后、资源消耗高、污染比较严重的产业。</w:t>
            </w:r>
          </w:p>
          <w:p w14:paraId="0101E0EF">
            <w:pPr>
              <w:pStyle w:val="54"/>
              <w:spacing w:line="360" w:lineRule="auto"/>
              <w:rPr>
                <w:rFonts w:ascii="Times New Roman" w:hAnsi="Times New Roman" w:cs="Times New Roman"/>
              </w:rPr>
            </w:pPr>
            <w:r>
              <w:rPr>
                <w:rFonts w:ascii="Times New Roman" w:hAnsi="Times New Roman" w:cs="Times New Roman"/>
              </w:rPr>
              <w:t>3、供过于求、技术档次低的产业。</w:t>
            </w:r>
          </w:p>
          <w:p w14:paraId="5BB46E36">
            <w:pPr>
              <w:pStyle w:val="54"/>
              <w:spacing w:line="360" w:lineRule="auto"/>
              <w:rPr>
                <w:rFonts w:ascii="Times New Roman" w:hAnsi="Times New Roman" w:cs="Times New Roman"/>
              </w:rPr>
            </w:pPr>
            <w:r>
              <w:rPr>
                <w:rFonts w:ascii="Times New Roman" w:hAnsi="Times New Roman" w:cs="Times New Roman"/>
              </w:rPr>
              <w:t>4、国家和省、市政府明令限制发展的其他产业。</w:t>
            </w:r>
          </w:p>
        </w:tc>
      </w:tr>
      <w:tr w14:paraId="798EFD17">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1943" w:hRule="atLeast"/>
        </w:trPr>
        <w:tc>
          <w:tcPr>
            <w:tcW w:w="1300" w:type="dxa"/>
            <w:tcBorders>
              <w:right w:val="single" w:color="000000" w:sz="4" w:space="0"/>
            </w:tcBorders>
          </w:tcPr>
          <w:p w14:paraId="05BA5DC3">
            <w:pPr>
              <w:pStyle w:val="54"/>
              <w:rPr>
                <w:rFonts w:ascii="Times New Roman" w:hAnsi="Times New Roman" w:cs="Times New Roman"/>
                <w:b/>
                <w:sz w:val="24"/>
              </w:rPr>
            </w:pPr>
            <w:r>
              <w:rPr>
                <w:rFonts w:ascii="Times New Roman" w:hAnsi="Times New Roman" w:cs="Times New Roman"/>
                <w:b/>
                <w:sz w:val="24"/>
              </w:rPr>
              <w:t>禁止类</w:t>
            </w:r>
          </w:p>
        </w:tc>
        <w:tc>
          <w:tcPr>
            <w:tcW w:w="1037" w:type="dxa"/>
            <w:tcBorders>
              <w:left w:val="single" w:color="000000" w:sz="4" w:space="0"/>
              <w:right w:val="single" w:color="000000" w:sz="4" w:space="0"/>
            </w:tcBorders>
          </w:tcPr>
          <w:p w14:paraId="705DC308">
            <w:pPr>
              <w:pStyle w:val="54"/>
              <w:rPr>
                <w:rFonts w:ascii="Times New Roman" w:hAnsi="Times New Roman" w:cs="Times New Roman"/>
                <w:b/>
                <w:sz w:val="24"/>
              </w:rPr>
            </w:pPr>
          </w:p>
        </w:tc>
        <w:tc>
          <w:tcPr>
            <w:tcW w:w="5925" w:type="dxa"/>
            <w:tcBorders>
              <w:left w:val="single" w:color="000000" w:sz="4" w:space="0"/>
            </w:tcBorders>
          </w:tcPr>
          <w:p w14:paraId="127FD470">
            <w:pPr>
              <w:pStyle w:val="54"/>
              <w:spacing w:line="360" w:lineRule="auto"/>
              <w:rPr>
                <w:rFonts w:ascii="Times New Roman" w:hAnsi="Times New Roman" w:cs="Times New Roman"/>
              </w:rPr>
            </w:pPr>
            <w:r>
              <w:rPr>
                <w:rFonts w:ascii="Times New Roman" w:hAnsi="Times New Roman" w:cs="Times New Roman"/>
              </w:rPr>
              <w:t>1、严重污染环境的产业。</w:t>
            </w:r>
          </w:p>
          <w:p w14:paraId="6A66C157">
            <w:pPr>
              <w:pStyle w:val="54"/>
              <w:spacing w:line="360" w:lineRule="auto"/>
              <w:rPr>
                <w:rFonts w:ascii="Times New Roman" w:hAnsi="Times New Roman" w:cs="Times New Roman"/>
              </w:rPr>
            </w:pPr>
            <w:r>
              <w:rPr>
                <w:rFonts w:ascii="Times New Roman" w:hAnsi="Times New Roman" w:cs="Times New Roman"/>
              </w:rPr>
              <w:t>2、生产规模大于限制发展类条目规定，但环保指标不达标的项目。</w:t>
            </w:r>
          </w:p>
          <w:p w14:paraId="18002AF4">
            <w:pPr>
              <w:pStyle w:val="54"/>
              <w:spacing w:line="360" w:lineRule="auto"/>
              <w:rPr>
                <w:rFonts w:ascii="Times New Roman" w:hAnsi="Times New Roman" w:cs="Times New Roman"/>
              </w:rPr>
            </w:pPr>
            <w:r>
              <w:rPr>
                <w:rFonts w:ascii="Times New Roman" w:hAnsi="Times New Roman" w:cs="Times New Roman"/>
              </w:rPr>
              <w:t>3、国家和省明令禁止生产和淘汰的产品。</w:t>
            </w:r>
          </w:p>
          <w:p w14:paraId="36A14FB8">
            <w:pPr>
              <w:pStyle w:val="54"/>
              <w:spacing w:line="360" w:lineRule="auto"/>
              <w:rPr>
                <w:rFonts w:ascii="Times New Roman" w:hAnsi="Times New Roman" w:cs="Times New Roman"/>
                <w:sz w:val="24"/>
              </w:rPr>
            </w:pPr>
            <w:r>
              <w:rPr>
                <w:rFonts w:ascii="Times New Roman" w:hAnsi="Times New Roman" w:cs="Times New Roman"/>
              </w:rPr>
              <w:t>4、国家法律、行政法规禁止的其他项目。</w:t>
            </w:r>
          </w:p>
        </w:tc>
      </w:tr>
    </w:tbl>
    <w:p w14:paraId="10538BE1">
      <w:pPr>
        <w:pStyle w:val="45"/>
        <w:tabs>
          <w:tab w:val="left" w:pos="885"/>
        </w:tabs>
        <w:spacing w:line="360" w:lineRule="auto"/>
        <w:ind w:firstLine="0" w:firstLineChars="0"/>
        <w:jc w:val="left"/>
        <w:rPr>
          <w:b/>
          <w:sz w:val="24"/>
        </w:rPr>
      </w:pPr>
      <w:r>
        <w:rPr>
          <w:b/>
          <w:sz w:val="24"/>
        </w:rPr>
        <w:t>3.1.3加强特色产业项目布局</w:t>
      </w:r>
    </w:p>
    <w:p w14:paraId="1D554B83">
      <w:pPr>
        <w:pStyle w:val="14"/>
        <w:spacing w:after="0" w:line="360" w:lineRule="auto"/>
        <w:ind w:firstLine="480"/>
      </w:pPr>
      <w:r>
        <w:t>拓展相关医药化工产业、延伸产业链条，实现产业集聚。采取“集中、优势、集聚、实现规模效益”的模式，合理定位，突出特色，形成产业布局相对集中、集聚效应比较突出的整体格局，提高园区支柱产业的竞争力。</w:t>
      </w:r>
    </w:p>
    <w:p w14:paraId="2E7FE35D">
      <w:pPr>
        <w:pStyle w:val="45"/>
        <w:tabs>
          <w:tab w:val="left" w:pos="885"/>
        </w:tabs>
        <w:spacing w:line="360" w:lineRule="auto"/>
        <w:ind w:firstLine="0" w:firstLineChars="0"/>
        <w:jc w:val="left"/>
        <w:rPr>
          <w:b/>
          <w:sz w:val="24"/>
        </w:rPr>
      </w:pPr>
      <w:r>
        <w:rPr>
          <w:b/>
          <w:sz w:val="24"/>
        </w:rPr>
        <w:t>3.1.4加强配套产业建设</w:t>
      </w:r>
    </w:p>
    <w:p w14:paraId="699CB95D">
      <w:pPr>
        <w:pStyle w:val="14"/>
        <w:spacing w:after="0" w:line="360" w:lineRule="auto"/>
        <w:ind w:firstLine="480"/>
      </w:pPr>
      <w:r>
        <w:t>围绕园区主要产业发展，积极引入包装业、物流业、在做大做强主业的同时， 着力推动配套产业和现代服务业发展，为工业经济持续健康发展打造服务平台， 提高第三产业的支撑作用。</w:t>
      </w:r>
    </w:p>
    <w:p w14:paraId="2AB41DA3">
      <w:pPr>
        <w:pStyle w:val="14"/>
        <w:spacing w:after="0" w:line="360" w:lineRule="auto"/>
        <w:ind w:firstLine="480"/>
      </w:pPr>
      <w:r>
        <w:rPr>
          <w:rFonts w:hint="eastAsia"/>
        </w:rPr>
        <w:drawing>
          <wp:inline distT="0" distB="0" distL="114300" distR="114300">
            <wp:extent cx="5825490" cy="4154170"/>
            <wp:effectExtent l="0" t="0" r="3810" b="17780"/>
            <wp:docPr id="62" name="图片 62" descr="170536695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705366951341"/>
                    <pic:cNvPicPr>
                      <a:picLocks noChangeAspect="1"/>
                    </pic:cNvPicPr>
                  </pic:nvPicPr>
                  <pic:blipFill>
                    <a:blip r:embed="rId20"/>
                    <a:stretch>
                      <a:fillRect/>
                    </a:stretch>
                  </pic:blipFill>
                  <pic:spPr>
                    <a:xfrm>
                      <a:off x="0" y="0"/>
                      <a:ext cx="5825490" cy="4154170"/>
                    </a:xfrm>
                    <a:prstGeom prst="rect">
                      <a:avLst/>
                    </a:prstGeom>
                  </pic:spPr>
                </pic:pic>
              </a:graphicData>
            </a:graphic>
          </wp:inline>
        </w:drawing>
      </w:r>
    </w:p>
    <w:p w14:paraId="01D9308F">
      <w:pPr>
        <w:pStyle w:val="4"/>
        <w:numPr>
          <w:ilvl w:val="1"/>
          <w:numId w:val="2"/>
        </w:numPr>
        <w:ind w:firstLine="0"/>
        <w:rPr>
          <w:rFonts w:ascii="Times New Roman" w:hAnsi="Times New Roman"/>
          <w:sz w:val="24"/>
        </w:rPr>
      </w:pPr>
      <w:bookmarkStart w:id="56" w:name="_Toc14750"/>
      <w:r>
        <w:rPr>
          <w:rFonts w:ascii="Times New Roman" w:hAnsi="Times New Roman"/>
          <w:sz w:val="24"/>
          <w:szCs w:val="24"/>
        </w:rPr>
        <w:t>产业链规划</w:t>
      </w:r>
      <w:bookmarkEnd w:id="56"/>
    </w:p>
    <w:p w14:paraId="070113B7">
      <w:pPr>
        <w:spacing w:line="360" w:lineRule="auto"/>
        <w:ind w:firstLine="480" w:firstLineChars="200"/>
        <w:rPr>
          <w:kern w:val="0"/>
          <w:sz w:val="24"/>
        </w:rPr>
      </w:pPr>
      <w:r>
        <w:rPr>
          <w:kern w:val="0"/>
          <w:sz w:val="24"/>
        </w:rPr>
        <w:t>依据《淮南市人民政府关于调整淮南经济技术开发区化工集中区四至范围的批复》（淮政秘【2018】201号），本化工园区定位：重点发展医药化工。</w:t>
      </w:r>
    </w:p>
    <w:p w14:paraId="3DA0DCC3">
      <w:pPr>
        <w:spacing w:line="360" w:lineRule="auto"/>
        <w:ind w:firstLine="480" w:firstLineChars="200"/>
        <w:rPr>
          <w:sz w:val="24"/>
        </w:rPr>
      </w:pPr>
      <w:r>
        <w:rPr>
          <w:sz w:val="24"/>
          <w:szCs w:val="24"/>
        </w:rPr>
        <w:t>淮南经开化工园区</w:t>
      </w:r>
      <w:r>
        <w:rPr>
          <w:sz w:val="24"/>
        </w:rPr>
        <w:t>产业发展规划是依托现有医药化工企业做大做强的同时，招商引资培育国家战略性新兴医药化工产业，使医药化工产业向横向拓展的同时，向纵深发展；使产品的关联度不断提高，产品的附加值不断提高，形成一个具有很强生命力和抗风险能力的产业。</w:t>
      </w:r>
    </w:p>
    <w:p w14:paraId="68EB2622">
      <w:pPr>
        <w:pStyle w:val="23"/>
        <w:shd w:val="clear" w:color="auto" w:fill="FFFFFF"/>
        <w:spacing w:before="0" w:after="0" w:line="360" w:lineRule="auto"/>
        <w:ind w:firstLine="200"/>
        <w:rPr>
          <w:rFonts w:ascii="Times New Roman" w:hAnsi="Times New Roman" w:eastAsiaTheme="minorEastAsia"/>
          <w:szCs w:val="24"/>
        </w:rPr>
      </w:pPr>
      <w:r>
        <w:rPr>
          <w:rFonts w:ascii="Times New Roman" w:hAnsi="Times New Roman" w:eastAsiaTheme="minorEastAsia"/>
          <w:szCs w:val="24"/>
        </w:rPr>
        <w:t>依据</w:t>
      </w:r>
      <w:r>
        <w:rPr>
          <w:rFonts w:ascii="Times New Roman" w:hAnsi="Times New Roman" w:eastAsiaTheme="minorEastAsia"/>
          <w:kern w:val="2"/>
          <w:szCs w:val="24"/>
        </w:rPr>
        <w:t>国土资源部</w:t>
      </w:r>
      <w:r>
        <w:rPr>
          <w:rFonts w:ascii="Times New Roman" w:hAnsi="Times New Roman" w:eastAsiaTheme="minorEastAsia"/>
          <w:szCs w:val="24"/>
        </w:rPr>
        <w:t>和</w:t>
      </w:r>
      <w:r>
        <w:rPr>
          <w:rFonts w:ascii="Times New Roman" w:hAnsi="Times New Roman" w:eastAsiaTheme="minorEastAsia"/>
          <w:kern w:val="2"/>
          <w:szCs w:val="24"/>
        </w:rPr>
        <w:t>国家发展和改革委员会关于发布实施《限制用地项目目录（2012年本）》和《禁止用地项目目录（2012年本）》的通知</w:t>
      </w:r>
      <w:r>
        <w:rPr>
          <w:rFonts w:ascii="Times New Roman" w:hAnsi="Times New Roman" w:eastAsiaTheme="minorEastAsia"/>
          <w:szCs w:val="24"/>
        </w:rPr>
        <w:t>的要求本</w:t>
      </w:r>
      <w:r>
        <w:rPr>
          <w:rFonts w:ascii="Times New Roman" w:hAnsi="Times New Roman" w:eastAsiaTheme="minorEastAsia"/>
        </w:rPr>
        <w:t>化工园区</w:t>
      </w:r>
      <w:r>
        <w:rPr>
          <w:rFonts w:ascii="Times New Roman" w:hAnsi="Times New Roman" w:eastAsiaTheme="minorEastAsia"/>
          <w:szCs w:val="24"/>
        </w:rPr>
        <w:t>禁止建设以下7类项目： </w:t>
      </w:r>
    </w:p>
    <w:p w14:paraId="2136C9BE">
      <w:pPr>
        <w:widowControl/>
        <w:shd w:val="clear" w:color="auto" w:fill="FFFFFF"/>
        <w:spacing w:line="360" w:lineRule="auto"/>
        <w:jc w:val="left"/>
        <w:rPr>
          <w:rFonts w:eastAsiaTheme="minorEastAsia"/>
          <w:kern w:val="0"/>
          <w:sz w:val="24"/>
          <w:szCs w:val="24"/>
        </w:rPr>
      </w:pPr>
      <w:r>
        <w:rPr>
          <w:rFonts w:eastAsiaTheme="minorEastAsia"/>
          <w:kern w:val="0"/>
          <w:sz w:val="24"/>
          <w:szCs w:val="24"/>
        </w:rPr>
        <w:t>　　1.新建、扩建古龙酸和维生素C原粉（包括药用、食品用和饲料用、化妆品用）生产装置，新建药品、食品、饲料、化妆品等用途的维生素B1、维生素B2、维生素B12 （综合利用除外）、维生素E原料生产装置；</w:t>
      </w:r>
    </w:p>
    <w:p w14:paraId="6752AF07">
      <w:pPr>
        <w:widowControl/>
        <w:shd w:val="clear" w:color="auto" w:fill="FFFFFF"/>
        <w:spacing w:line="360" w:lineRule="auto"/>
        <w:jc w:val="left"/>
        <w:rPr>
          <w:rFonts w:eastAsiaTheme="minorEastAsia"/>
          <w:kern w:val="0"/>
          <w:sz w:val="24"/>
          <w:szCs w:val="24"/>
        </w:rPr>
      </w:pPr>
      <w:r>
        <w:rPr>
          <w:rFonts w:eastAsiaTheme="minorEastAsia"/>
          <w:kern w:val="0"/>
          <w:sz w:val="24"/>
          <w:szCs w:val="24"/>
        </w:rPr>
        <w:t>　　2.新建青霉素工业盐、6—氨基青霉烷酸（6—APA）、化学法生产7—氨基头孢烷酸（7—ACA）、7—氨基—3—去乙酰氧基头孢烷酸（7—ADCA）、青霉素V、氨苄青霉素、羟氨苄青霉素、头孢菌素C发酵、土霉素、四环素、氯霉素、安乃近、扑热息痛、林可霉素、庆大霉素、双氢链霉素、丁胺卡那霉素、麦迪霉素、柱晶白霉素、环丙氟哌酸、氟哌酸、氟嗪酸、利福平、咖啡因、柯柯豆碱生产装置；</w:t>
      </w:r>
    </w:p>
    <w:p w14:paraId="72B8A82F">
      <w:pPr>
        <w:widowControl/>
        <w:shd w:val="clear" w:color="auto" w:fill="FFFFFF"/>
        <w:spacing w:line="360" w:lineRule="auto"/>
        <w:jc w:val="left"/>
        <w:rPr>
          <w:rFonts w:eastAsiaTheme="minorEastAsia"/>
          <w:kern w:val="0"/>
          <w:sz w:val="24"/>
          <w:szCs w:val="24"/>
        </w:rPr>
      </w:pPr>
      <w:r>
        <w:rPr>
          <w:rFonts w:eastAsiaTheme="minorEastAsia"/>
          <w:kern w:val="0"/>
          <w:sz w:val="24"/>
          <w:szCs w:val="24"/>
        </w:rPr>
        <w:t>　　3.新建紫杉醇（配套红豆杉种植除外）、植物提取法黄连素（配套黄连种植除外）生产装置；</w:t>
      </w:r>
    </w:p>
    <w:p w14:paraId="149CD721">
      <w:pPr>
        <w:widowControl/>
        <w:shd w:val="clear" w:color="auto" w:fill="FFFFFF"/>
        <w:spacing w:line="360" w:lineRule="auto"/>
        <w:jc w:val="left"/>
        <w:rPr>
          <w:rFonts w:eastAsiaTheme="minorEastAsia"/>
          <w:kern w:val="0"/>
          <w:sz w:val="24"/>
          <w:szCs w:val="24"/>
        </w:rPr>
      </w:pPr>
      <w:r>
        <w:rPr>
          <w:rFonts w:eastAsiaTheme="minorEastAsia"/>
          <w:kern w:val="0"/>
          <w:sz w:val="24"/>
          <w:szCs w:val="24"/>
        </w:rPr>
        <w:t>　　4.新建、改扩建药用丁基橡胶塞、二步法生产输液用塑料瓶生产装置；</w:t>
      </w:r>
    </w:p>
    <w:p w14:paraId="37873D7A">
      <w:pPr>
        <w:widowControl/>
        <w:shd w:val="clear" w:color="auto" w:fill="FFFFFF"/>
        <w:spacing w:line="360" w:lineRule="auto"/>
        <w:jc w:val="left"/>
        <w:rPr>
          <w:rFonts w:eastAsiaTheme="minorEastAsia"/>
          <w:kern w:val="0"/>
          <w:sz w:val="24"/>
          <w:szCs w:val="24"/>
        </w:rPr>
      </w:pPr>
      <w:r>
        <w:rPr>
          <w:rFonts w:eastAsiaTheme="minorEastAsia"/>
          <w:kern w:val="0"/>
          <w:sz w:val="24"/>
          <w:szCs w:val="24"/>
        </w:rPr>
        <w:t>　　5.新开办无新药证书的药品生产企业；</w:t>
      </w:r>
    </w:p>
    <w:p w14:paraId="5BC0C8E1">
      <w:pPr>
        <w:widowControl/>
        <w:shd w:val="clear" w:color="auto" w:fill="FFFFFF"/>
        <w:spacing w:line="360" w:lineRule="auto"/>
        <w:jc w:val="left"/>
        <w:rPr>
          <w:rFonts w:eastAsiaTheme="minorEastAsia"/>
          <w:kern w:val="0"/>
          <w:sz w:val="24"/>
          <w:szCs w:val="24"/>
        </w:rPr>
      </w:pPr>
      <w:r>
        <w:rPr>
          <w:rFonts w:eastAsiaTheme="minorEastAsia"/>
          <w:kern w:val="0"/>
          <w:sz w:val="24"/>
          <w:szCs w:val="24"/>
        </w:rPr>
        <w:t>　　6.新建及改扩建原料含有尚未规模化种植或养殖的濒危动植物药材的产品生产装置；</w:t>
      </w:r>
    </w:p>
    <w:p w14:paraId="026FE6E6">
      <w:pPr>
        <w:widowControl/>
        <w:shd w:val="clear" w:color="auto" w:fill="FFFFFF"/>
        <w:spacing w:line="360" w:lineRule="auto"/>
        <w:jc w:val="left"/>
      </w:pPr>
      <w:r>
        <w:rPr>
          <w:rFonts w:eastAsiaTheme="minorEastAsia"/>
          <w:kern w:val="0"/>
          <w:sz w:val="24"/>
          <w:szCs w:val="24"/>
        </w:rPr>
        <w:t>7.新建、改扩建充汞式玻璃体温计、血压计生产装置、银汞齐齿科材料、新建2亿支/年以下一次性注射器、输血器、输液器生产装置；</w:t>
      </w:r>
    </w:p>
    <w:p w14:paraId="48A87626">
      <w:pPr>
        <w:pStyle w:val="53"/>
        <w:ind w:firstLine="480"/>
      </w:pPr>
      <w:r>
        <w:rPr>
          <w:rFonts w:ascii="Times New Roman"/>
        </w:rPr>
        <w:t>洁净医</w:t>
      </w:r>
      <w:r>
        <w:rPr>
          <w:rFonts w:hint="eastAsia"/>
        </w:rPr>
        <w:t>随着我国经济发展和医疗社会保障制度的不断完善，我国医药产业也在大幅度的发展，引入具有良好市场前景的医药中间体和成品药成为化工集中区发展的新动力。</w:t>
      </w:r>
    </w:p>
    <w:p w14:paraId="0A6BB047">
      <w:pPr>
        <w:pStyle w:val="53"/>
        <w:ind w:firstLine="480"/>
      </w:pPr>
      <w:r>
        <w:rPr>
          <w:rFonts w:hint="eastAsia"/>
        </w:rPr>
        <w:t>（1）医药中间体产品</w:t>
      </w:r>
    </w:p>
    <w:p w14:paraId="76BDAB85">
      <w:pPr>
        <w:pStyle w:val="53"/>
        <w:ind w:firstLine="480"/>
      </w:pPr>
      <w:r>
        <w:rPr>
          <w:rFonts w:hint="eastAsia"/>
        </w:rPr>
        <w:t>根据目前市场前景，医药中间体规划项目如下：二甲基四氢呋喃、半胱胺盐酸盐、氨基苯酚、丙烯基乙醚等产品。</w:t>
      </w:r>
    </w:p>
    <w:p w14:paraId="2DC9EFCA">
      <w:pPr>
        <w:pStyle w:val="53"/>
        <w:ind w:firstLine="480"/>
      </w:pPr>
      <w:r>
        <w:rPr>
          <w:rFonts w:hint="eastAsia"/>
        </w:rPr>
        <w:t>二甲基四氢呋喃：由2-甲基呋喃催化加氢而得。用作树脂、天然橡胶、乙基纤维素和氯乙酸-醋酸乙烯共聚物的溶剂；也是制药工业的原料，可用于抗痔药磷酸伯氨喹等的合成。</w:t>
      </w:r>
    </w:p>
    <w:p w14:paraId="502D07FD">
      <w:pPr>
        <w:pStyle w:val="53"/>
        <w:ind w:firstLine="480"/>
      </w:pPr>
      <w:r>
        <w:rPr>
          <w:rFonts w:hint="eastAsia"/>
        </w:rPr>
        <w:t>半胱胺盐酸盐：由乙醇胺与溴化氢反应得β-溴化乙胺，在硫酸存在下与二硫化碳环合、水解而得。半胱胺盐酸盐是一种重要的化工原料和医药中间体。它不仅可用于化妆品、动物饲料添加剂的生产和制造，还可用于抗溃疡药物如雷尼替丁、西咪替丁的制造，亦可用于生化试剂、重金属离子的络合剂制造。</w:t>
      </w:r>
    </w:p>
    <w:p w14:paraId="5B6A577A">
      <w:pPr>
        <w:pStyle w:val="53"/>
        <w:ind w:firstLine="480"/>
      </w:pPr>
      <w:r>
        <w:rPr>
          <w:rFonts w:hint="eastAsia"/>
        </w:rPr>
        <w:t>氨基苯酚：（一）对氨基苯酚亦称“对羟基苯胺”，由苯酚经亚硝化、还原、酸析而得，是目前在我国应用较广泛的一种精细有机化工中间体，在染料工业上用于合成弱酸性黄6G、弱酸性嫩黄5G、硫化深蓝3R、硫化蓝CV、硫化艳绿GB、硫化红棕B3R、硫化还原黑CLG等，在医药工业上对氨基苯酚用于合成扑热息痛、安妥明等，也用于制备显影剂、抗氧剂和石油添加剂等产品。（二）间氨基苯酚，又称“间羟基苯胺”，以间氨基苯磺酸为原料，经碱熔、酸化而得，目前主要用于制造偶氮染料，也可用于毛皮染料，如毛皮棕EG、毛皮黄EG等；在医药上，可用于制造治疗结核病的良药--对氨基水杨酸；也用于生产抗氧剂、稳定剂、显影剂和彩色胶片，还可以用作有机化学反应的催化剂，如环氧丙烷的聚合及丙烯腈二聚反应。</w:t>
      </w:r>
    </w:p>
    <w:p w14:paraId="19F1737D">
      <w:pPr>
        <w:pStyle w:val="53"/>
        <w:ind w:firstLine="480"/>
      </w:pPr>
      <w:r>
        <w:rPr>
          <w:rFonts w:hint="eastAsia"/>
        </w:rPr>
        <w:t>丙烯基乙醚：采用丙醛缩二乙醇为原料实现丙烯基乙醚的制备，用于有机中间体、农用化学品、饲料添加剂合成。</w:t>
      </w:r>
    </w:p>
    <w:p w14:paraId="281DF428">
      <w:pPr>
        <w:pStyle w:val="53"/>
        <w:ind w:firstLine="480"/>
      </w:pPr>
      <w:r>
        <w:rPr>
          <w:rFonts w:hint="eastAsia"/>
        </w:rPr>
        <w:t>（2）成品药产品</w:t>
      </w:r>
    </w:p>
    <w:p w14:paraId="0F5675E4">
      <w:pPr>
        <w:pStyle w:val="53"/>
        <w:ind w:firstLine="480"/>
      </w:pPr>
      <w:r>
        <w:rPr>
          <w:rFonts w:hint="eastAsia"/>
        </w:rPr>
        <w:t>A．心血管类成品药</w:t>
      </w:r>
    </w:p>
    <w:p w14:paraId="3A618F8F">
      <w:pPr>
        <w:pStyle w:val="53"/>
        <w:ind w:firstLine="480"/>
      </w:pPr>
      <w:r>
        <w:rPr>
          <w:rFonts w:hint="eastAsia"/>
        </w:rPr>
        <w:t>心血管疾病是危害人类健康的严重疾病，是造成人类死亡的主要原因之一。本病种类繁多，病因复杂。因此，心血管药物的研究受到很大的重视，发展也很快，临床应用药物众多。心血管系统药物主要作用于心脏或血管系统，改进心脏的功能，调节心脏血液的心输出量，改变循环系统各部分的血液分配。心血管系统用药主要包括心脏病治疗用药、血管保护剂、抗高血压药和降血脂药等。</w:t>
      </w:r>
    </w:p>
    <w:p w14:paraId="3A6A7DC1">
      <w:pPr>
        <w:pStyle w:val="53"/>
        <w:ind w:firstLine="480"/>
      </w:pPr>
      <w:r>
        <w:rPr>
          <w:rFonts w:hint="eastAsia"/>
        </w:rPr>
        <w:t>心血管原料药主要包括以下类别：1、降脂类即主要指他汀类原料药，他汀类是目前销售额最大的药物类别，在世界畅销药物排行榜前10位中占了三个名额。由于近年辛伐他汀、普伐他汀及阿托伐他汀的专利先后到期，其处方量大幅上升，对原料药的需求量增长较快。2、普利类为血管紧张素转换酶抑制剂，为全球最常用的降压药之一。3、沙坦类为选择性血管紧张素Ⅱ受体阻滞剂，为目前发展最快的降压药物。由于沙坦类多有专利保护，国内企业生产较少。但在今后几年，沙坦类专利陆续到期，届时估计沙坦类原料药会迎来一个井喷。4、地平等即通常所说的钙拮抗剂，为降压药物中一重要分支。其中的苯磺酸氨氯地平曾经多年排最畅销药物排行榜中的第一位。但在国内，地平类原料药产量并不大。</w:t>
      </w:r>
    </w:p>
    <w:p w14:paraId="430B72D3">
      <w:pPr>
        <w:pStyle w:val="53"/>
        <w:ind w:firstLine="480"/>
      </w:pPr>
      <w:r>
        <w:rPr>
          <w:rFonts w:hint="eastAsia"/>
        </w:rPr>
        <w:t>随着相关疾病发病率和死亡率的不断上升，此类药物的用量也随之增长。据中康CMH监测数据显示，2018年心血管系统用药总体规模约3300亿元，较2017年增长8.0%；2020年预计规模将达到3800亿元，增速预计为8%，仍然是份额占比最高的品类。</w:t>
      </w:r>
    </w:p>
    <w:p w14:paraId="0FB4F962">
      <w:pPr>
        <w:pStyle w:val="53"/>
        <w:ind w:firstLine="480"/>
      </w:pPr>
      <w:r>
        <w:rPr>
          <w:rFonts w:hint="eastAsia"/>
        </w:rPr>
        <w:t>B．肿瘤系列类成品药</w:t>
      </w:r>
    </w:p>
    <w:p w14:paraId="32E10071">
      <w:pPr>
        <w:pStyle w:val="53"/>
        <w:ind w:firstLine="480"/>
      </w:pPr>
      <w:r>
        <w:rPr>
          <w:rFonts w:hint="eastAsia"/>
        </w:rPr>
        <w:t>癌症一直以来是严重威胁人类健康的一类常见疾病。近年来，全球抗肿瘤药物市场一直都在持续增长中。临床上常用的抗肿瘤药物：1、直接破坏DNA并阻止其复制的药物如烷化剂、部分抗生素、铂类等。此类药物的作用位点是DNA，主要影响DNA的解旋和复制，同时可使DNA单链或双链断裂，使其细胞分裂无法进行，以控制肿瘤的发生与发展。2、影响核酸(DNA、RNA) 生物合成的药物如抗代谢类药物：甲氨喋呤、氟脲嘧啶、阿糖胞苷等。主要影响肿瘤细胞的酶系，使DNA或RNA的前体物合成受阻，最后达到DNA或RNA形成障碍，影响核酸生物合成，致肿瘤细胞生长繁殖受到抑制，促使细胞凋亡。3、作用于核酸转录的药物如抗生素类药物：放线菌素-D、阿克拉霉素等。选择性作用于DNA模板，抑制DNA依赖性RNA多聚酶，影响RNA合成。4、影响微管蛋白合成的药物如植物类药：紫杉类、长春碱类、鬼臼碱类。主要影响有丝分裂，阻止其增殖期的进程。5、其他类药物如生物反应调节剂，可增强宿主抗肿瘤反应，增强宿主对细胞毒性物质的耐受能力，改变细胞膜结构，增强免疫原性，预防其细胞转化。靶向治疗药物是以肿瘤细胞的特性改变为作用靶点，在发挥抗肿瘤活性的同时，减少对正常细胞的毒性反应。</w:t>
      </w:r>
    </w:p>
    <w:p w14:paraId="7F93824C">
      <w:pPr>
        <w:pStyle w:val="53"/>
        <w:ind w:firstLine="480"/>
      </w:pPr>
      <w:r>
        <w:rPr>
          <w:rFonts w:hint="eastAsia"/>
        </w:rPr>
        <w:t>2015年全球范围内新增癌症病例1810万，960万人死于癌症，预计未来20年新发病例数将增加70%。这使得抗肿瘤药市场成为全球第一大药物市场。</w:t>
      </w:r>
    </w:p>
    <w:p w14:paraId="75896892">
      <w:pPr>
        <w:pStyle w:val="53"/>
        <w:ind w:firstLine="480"/>
      </w:pPr>
      <w:r>
        <w:rPr>
          <w:rFonts w:hint="eastAsia"/>
        </w:rPr>
        <w:t>2008年-2018年，全球抗肿瘤药物市场的年均复合增长率为7.6%，高于全球药品销售规模的增长速度。2018年全球抗肿瘤药物销售规模高达1500亿美元，占全球药品销售规模9.0%；2020年将增长至1800亿美元。</w:t>
      </w:r>
    </w:p>
    <w:p w14:paraId="46A98BA5">
      <w:pPr>
        <w:pStyle w:val="53"/>
        <w:ind w:firstLine="480"/>
      </w:pPr>
      <w:r>
        <w:rPr>
          <w:rFonts w:hint="eastAsia"/>
        </w:rPr>
        <w:t>C．中枢神经类成品药</w:t>
      </w:r>
    </w:p>
    <w:p w14:paraId="7CF032CE">
      <w:pPr>
        <w:pStyle w:val="53"/>
        <w:ind w:firstLine="480"/>
      </w:pPr>
      <w:r>
        <w:rPr>
          <w:rFonts w:hint="eastAsia"/>
        </w:rPr>
        <w:t>随着社会发展和生活水平的提高，人类寿命逐渐延长，人口老龄化进程加快，中枢神经系统（CNS）疾病的发病率也逐渐升高，帕金森病、痴呆症等老年病严重危害人类健康和生存质量。另外，生活节奏的加快、各种竞争的加剧，使得精神压力增大，导致焦虑症和抑郁症等精神疾病的发病率迅速上升。根据卫生部统计数据，目前中国各类精神类疾病患者达到1亿人以上，其中重度患者超过1600万人，70%的患者未得到有效治疗。人口老龄化和抑郁症发病率的快速上升，是推动全球中枢神经类药物销量迅速增加的主要原因。</w:t>
      </w:r>
    </w:p>
    <w:p w14:paraId="0751CC24">
      <w:pPr>
        <w:pStyle w:val="53"/>
        <w:ind w:firstLine="480"/>
      </w:pPr>
      <w:r>
        <w:rPr>
          <w:rFonts w:hint="eastAsia"/>
        </w:rPr>
        <w:t>目前，临床上中枢神经类药物主要包括神经系统类药物和精神障碍药物，其中，神经系统类药物按临床作用分为抗癫痫药、中枢兴奋药、镇静催眠药和抗帕金森病药等，如苯妥英钠、吡拉西坦、苯巴比妥等，产量超过100吨，均为临床应用多年的经典药物；精神障碍药物主要包括抗抑郁药、抗精神病药、抗焦虑药和抗狂燥药等，如氟西汀、帕罗西汀、盐酸舍曲林、氟伏沙明、西酞普兰等。由于精神及神经系统疾病多发，我国精神疾病患者对中枢神经类药物的需求高速增长。据全球最大的医药市场咨询调研公司美国艾美仕市场咨询公司预计，到2020年中国中枢神经类疾病市场规模将超过1000亿人民币，预计中国中枢神经将持续保持高速增长的趋势，增长速度远高于国际市场。</w:t>
      </w:r>
    </w:p>
    <w:p w14:paraId="522DBC7B">
      <w:pPr>
        <w:pStyle w:val="53"/>
        <w:ind w:firstLine="480"/>
      </w:pPr>
      <w:r>
        <w:rPr>
          <w:rFonts w:hint="eastAsia"/>
        </w:rPr>
        <w:t>D．呼吸系统类成品药</w:t>
      </w:r>
    </w:p>
    <w:p w14:paraId="30A182D1">
      <w:pPr>
        <w:pStyle w:val="53"/>
        <w:ind w:firstLine="480"/>
      </w:pPr>
      <w:r>
        <w:rPr>
          <w:rFonts w:hint="eastAsia"/>
        </w:rPr>
        <w:t>呼吸系统是人体重要的生理屏障，近年来由于全球自然环境及大气环境的不断变化，各种病原微生物、蛋白变应原、尘粒及有害气体等对于人类呼吸系统的影响，全球呼吸系统疾病发病及用药数量持续上升，呼吸系统疾病是全球引起死亡的第二大病因，在中国城市的死亡率占第三位。卫生部门调查数据表明，目前中国呼吸系统疾病的发病率约为6.9%，这表明中国每年有近亿名呼吸系统疾病患者。盐酸氨溴索、福莫特洛、富马酸酮替酚等都是畅销原料药。在全球范围内，呼吸系统用药市场的复合年增长率约为0.6%，到2018年市场份额超过340亿美元，在中国，其整体市场容量也在逐年增加，且上升速度超过医药行业的增速。而这一现象也使得呼吸系统用药市场呈现容量大、增速快的特征。在国外专利药期满和新释药技术运用的推动下，仿制药的发展进程加快，使呼吸系统用药产品结构日趋完善，市场规模有望进一步扩大。</w:t>
      </w:r>
    </w:p>
    <w:p w14:paraId="7D015B34">
      <w:pPr>
        <w:pStyle w:val="53"/>
        <w:ind w:firstLine="480"/>
      </w:pPr>
      <w:r>
        <w:rPr>
          <w:rFonts w:hint="eastAsia"/>
        </w:rPr>
        <w:t>E．消化系统类成品药</w:t>
      </w:r>
    </w:p>
    <w:p w14:paraId="38B978BA">
      <w:pPr>
        <w:pStyle w:val="53"/>
        <w:ind w:firstLine="480"/>
      </w:pPr>
      <w:r>
        <w:rPr>
          <w:rFonts w:hint="eastAsia"/>
        </w:rPr>
        <w:t>消化系统疾病是临床中的常见病、多发病，总发病率占人口总数10%-20%，主要疾病包括急性胃炎、慢性胃炎、消化道溃疡、功能性消化不良等， 其中以消化性溃疡的发病率最高。根据消化系统疾病类型的差异，用于治疗消化系统疾病的消化类药物可分为抗酸药物及抗溃疡病药物、助消化药物、胃肠解痉药物、胃动力药物、止吐药物等，如 枸橼酸铋钾、美沙拉嗪、奥美拉唑、谷丙胺等。随着现代人生活节奏加快、生活饮食不规律、工作压力增大等问题出现，肠胃病、肝脏疾病等消化系统疾病发病率越来越引起人们的关注。此外，消化道溃疡的复发性很高，研究显示停药后一年的复发率为65%-80%，两年的复发率几乎达到100%，大部分患者在一段时间内需要连续用药。上述原因均给消化系统药物带来了持续稳定的市场需求，目前我国消化系统用药的销售额位居各种药品类别的前五位。</w:t>
      </w:r>
    </w:p>
    <w:p w14:paraId="2B57038B">
      <w:pPr>
        <w:pStyle w:val="53"/>
        <w:ind w:firstLine="480"/>
      </w:pPr>
      <w:r>
        <w:rPr>
          <w:rFonts w:hint="eastAsia"/>
        </w:rPr>
        <w:t>F．抗病毒系列类成品药</w:t>
      </w:r>
    </w:p>
    <w:p w14:paraId="36A3793A">
      <w:pPr>
        <w:pStyle w:val="53"/>
        <w:ind w:firstLine="480"/>
      </w:pPr>
      <w:r>
        <w:rPr>
          <w:rFonts w:hint="eastAsia"/>
        </w:rPr>
        <w:t>病毒是最小的病原微生物，其核心是核糖核酸或脱氧核糖核酸（DNA），病毒的传播最广，是目前世界上发病率最高的传染性疾病之一。在临床上较多的疾病与病毒感染有关。据国外统计资料报道，近3/4的传染病是由病毒引起的。抗病毒类药物是近年来发展起来的一大类药物，现已成为国内外医药市场上令人瞩目的活跃药品之一。近年来，由于病毒的肆意蔓延，抗病毒类药物发展较快，已成为抗感染药物中举足轻重的品种，可以说，抗病毒药物有了一定的发展，新的抗病毒药物也仍在研发与临床试验中，这将是一个永不衰落的大类。</w:t>
      </w:r>
    </w:p>
    <w:p w14:paraId="21049D74">
      <w:pPr>
        <w:pStyle w:val="53"/>
        <w:ind w:firstLine="480"/>
      </w:pPr>
      <w:r>
        <w:rPr>
          <w:rFonts w:hint="eastAsia"/>
        </w:rPr>
        <w:t>随着人类社会快节奏的发展和国际间频繁交流，新生病毒不断滋生传播，威胁着人们的健康，在我国带状疱疹、病毒性水痘和病毒性乙肝有较多发生，HIV病已处于初起阶段，受到了国家高度重视。抗病毒药物的研究与开发，自然成了医药界投资的热点。乙肝免疫球蛋白、齐多夫定、拉米夫定、单克隆抗体、干扰素α－2b等一系列抗病毒药品已成新宠，迄今，全世界已发现的病毒超过3000种，而且新的病毒还在不断被发现，对抗病毒药物的研发已成为趋势。</w:t>
      </w:r>
    </w:p>
    <w:p w14:paraId="425959EF">
      <w:pPr>
        <w:pStyle w:val="5"/>
        <w:numPr>
          <w:ilvl w:val="2"/>
          <w:numId w:val="5"/>
        </w:numPr>
        <w:ind w:firstLine="0"/>
        <w:rPr>
          <w:kern w:val="2"/>
          <w:sz w:val="24"/>
          <w:szCs w:val="22"/>
        </w:rPr>
      </w:pPr>
      <w:r>
        <w:rPr>
          <w:rFonts w:hint="eastAsia"/>
          <w:kern w:val="2"/>
          <w:sz w:val="24"/>
          <w:szCs w:val="22"/>
        </w:rPr>
        <w:t>医</w:t>
      </w:r>
      <w:r>
        <w:rPr>
          <w:kern w:val="2"/>
          <w:sz w:val="24"/>
          <w:szCs w:val="22"/>
        </w:rPr>
        <w:t>药化工产业链</w:t>
      </w:r>
      <w:r>
        <w:rPr>
          <w:rFonts w:hint="eastAsia"/>
          <w:kern w:val="2"/>
          <w:sz w:val="24"/>
          <w:szCs w:val="22"/>
        </w:rPr>
        <w:t>及重点项目</w:t>
      </w:r>
    </w:p>
    <w:p w14:paraId="13684DE6">
      <w:pPr>
        <w:spacing w:line="360" w:lineRule="auto"/>
        <w:ind w:firstLine="480" w:firstLineChars="200"/>
        <w:rPr>
          <w:sz w:val="24"/>
        </w:rPr>
      </w:pPr>
      <w:r>
        <w:rPr>
          <w:sz w:val="24"/>
        </w:rPr>
        <w:t>开发区目前有国瑞药业、绿十字生物制品、东盛制药、东芝堂药业、盖天力药业、江中高邦、华辰制药、泰复制药等10余家企业，重点发展冻干粉针剂、粉针剂、水针、片（粒）口服固体制剂和中药饮片等。</w:t>
      </w:r>
    </w:p>
    <w:p w14:paraId="60C939B3">
      <w:pPr>
        <w:ind w:firstLine="482" w:firstLineChars="200"/>
        <w:jc w:val="center"/>
        <w:rPr>
          <w:rFonts w:eastAsia="楷体_GB2312"/>
          <w:b/>
          <w:sz w:val="24"/>
          <w:szCs w:val="24"/>
        </w:rPr>
      </w:pPr>
      <w:r>
        <w:rPr>
          <w:rFonts w:eastAsia="楷体_GB2312"/>
          <w:b/>
          <w:sz w:val="24"/>
          <w:szCs w:val="24"/>
        </w:rPr>
        <w:t>表3.1-1   淮南生物医药工业园产业分工情况</w:t>
      </w:r>
    </w:p>
    <w:tbl>
      <w:tblPr>
        <w:tblStyle w:val="26"/>
        <w:tblW w:w="8395"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74"/>
        <w:gridCol w:w="6287"/>
      </w:tblGrid>
      <w:tr w14:paraId="35E5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14:paraId="4B2FFEBB">
            <w:pPr>
              <w:rPr>
                <w:rFonts w:eastAsia="楷体_GB2312"/>
                <w:b/>
                <w:szCs w:val="21"/>
              </w:rPr>
            </w:pPr>
            <w:r>
              <w:rPr>
                <w:rFonts w:eastAsia="楷体_GB2312"/>
                <w:b/>
                <w:szCs w:val="21"/>
              </w:rPr>
              <w:t>企业经</w:t>
            </w:r>
          </w:p>
          <w:p w14:paraId="184BA6FF">
            <w:pPr>
              <w:rPr>
                <w:rFonts w:eastAsia="楷体_GB2312"/>
                <w:b/>
                <w:szCs w:val="21"/>
              </w:rPr>
            </w:pPr>
            <w:r>
              <w:rPr>
                <w:rFonts w:eastAsia="楷体_GB2312"/>
                <w:b/>
                <w:szCs w:val="21"/>
              </w:rPr>
              <w:t>营类型</w:t>
            </w:r>
          </w:p>
        </w:tc>
        <w:tc>
          <w:tcPr>
            <w:tcW w:w="974" w:type="dxa"/>
            <w:tcBorders>
              <w:top w:val="single" w:color="auto" w:sz="4" w:space="0"/>
              <w:left w:val="single" w:color="auto" w:sz="4" w:space="0"/>
              <w:bottom w:val="single" w:color="auto" w:sz="4" w:space="0"/>
              <w:right w:val="single" w:color="auto" w:sz="4" w:space="0"/>
            </w:tcBorders>
          </w:tcPr>
          <w:p w14:paraId="1892E1CC">
            <w:pPr>
              <w:ind w:firstLine="551" w:firstLineChars="196"/>
              <w:rPr>
                <w:rFonts w:eastAsia="楷体_GB2312"/>
                <w:b/>
                <w:szCs w:val="21"/>
              </w:rPr>
            </w:pPr>
            <w:r>
              <w:rPr>
                <w:rFonts w:eastAsia="楷体_GB2312"/>
                <w:b/>
                <w:szCs w:val="21"/>
              </w:rPr>
              <w:t>个数</w:t>
            </w:r>
          </w:p>
        </w:tc>
        <w:tc>
          <w:tcPr>
            <w:tcW w:w="6287" w:type="dxa"/>
            <w:tcBorders>
              <w:top w:val="single" w:color="auto" w:sz="4" w:space="0"/>
              <w:left w:val="single" w:color="auto" w:sz="4" w:space="0"/>
              <w:bottom w:val="single" w:color="auto" w:sz="4" w:space="0"/>
              <w:right w:val="single" w:color="auto" w:sz="4" w:space="0"/>
            </w:tcBorders>
          </w:tcPr>
          <w:p w14:paraId="04497C9A">
            <w:pPr>
              <w:ind w:firstLine="562" w:firstLineChars="200"/>
              <w:jc w:val="center"/>
              <w:rPr>
                <w:rFonts w:eastAsia="楷体_GB2312"/>
                <w:b/>
                <w:szCs w:val="21"/>
              </w:rPr>
            </w:pPr>
            <w:r>
              <w:rPr>
                <w:rFonts w:eastAsia="楷体_GB2312"/>
                <w:b/>
                <w:szCs w:val="21"/>
              </w:rPr>
              <w:t>企业名称</w:t>
            </w:r>
          </w:p>
        </w:tc>
      </w:tr>
      <w:tr w14:paraId="0760C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trPr>
        <w:tc>
          <w:tcPr>
            <w:tcW w:w="1134" w:type="dxa"/>
            <w:tcBorders>
              <w:top w:val="single" w:color="auto" w:sz="4" w:space="0"/>
              <w:left w:val="single" w:color="auto" w:sz="4" w:space="0"/>
              <w:bottom w:val="single" w:color="auto" w:sz="4" w:space="0"/>
              <w:right w:val="single" w:color="auto" w:sz="4" w:space="0"/>
            </w:tcBorders>
          </w:tcPr>
          <w:p w14:paraId="4FF7B779">
            <w:pPr>
              <w:rPr>
                <w:rFonts w:eastAsia="楷体_GB2312"/>
                <w:szCs w:val="21"/>
              </w:rPr>
            </w:pPr>
            <w:r>
              <w:rPr>
                <w:rFonts w:eastAsia="楷体_GB2312"/>
                <w:szCs w:val="21"/>
              </w:rPr>
              <w:t>成品药生产企业</w:t>
            </w:r>
          </w:p>
        </w:tc>
        <w:tc>
          <w:tcPr>
            <w:tcW w:w="974" w:type="dxa"/>
            <w:tcBorders>
              <w:top w:val="single" w:color="auto" w:sz="4" w:space="0"/>
              <w:left w:val="single" w:color="auto" w:sz="4" w:space="0"/>
              <w:bottom w:val="single" w:color="auto" w:sz="4" w:space="0"/>
              <w:right w:val="single" w:color="auto" w:sz="4" w:space="0"/>
            </w:tcBorders>
          </w:tcPr>
          <w:p w14:paraId="3D9F18C4">
            <w:pPr>
              <w:ind w:firstLine="560" w:firstLineChars="200"/>
              <w:rPr>
                <w:rFonts w:eastAsia="楷体_GB2312"/>
                <w:szCs w:val="21"/>
              </w:rPr>
            </w:pPr>
            <w:r>
              <w:rPr>
                <w:rFonts w:eastAsia="楷体_GB2312"/>
                <w:szCs w:val="21"/>
              </w:rPr>
              <w:t>8</w:t>
            </w:r>
          </w:p>
        </w:tc>
        <w:tc>
          <w:tcPr>
            <w:tcW w:w="6287" w:type="dxa"/>
            <w:tcBorders>
              <w:top w:val="single" w:color="auto" w:sz="4" w:space="0"/>
              <w:left w:val="single" w:color="auto" w:sz="4" w:space="0"/>
              <w:bottom w:val="single" w:color="auto" w:sz="4" w:space="0"/>
              <w:right w:val="single" w:color="auto" w:sz="4" w:space="0"/>
            </w:tcBorders>
          </w:tcPr>
          <w:p w14:paraId="1030C588">
            <w:pPr>
              <w:spacing w:line="360" w:lineRule="auto"/>
              <w:rPr>
                <w:rFonts w:eastAsia="楷体_GB2312"/>
                <w:szCs w:val="21"/>
              </w:rPr>
            </w:pPr>
            <w:r>
              <w:rPr>
                <w:rFonts w:eastAsia="楷体_GB2312"/>
                <w:szCs w:val="21"/>
              </w:rPr>
              <w:t>国药集团国瑞药业有限公司、绿十字(中国)生物制品有限公司、安徽东盛制药有限公司、</w:t>
            </w:r>
            <w:r>
              <w:rPr>
                <w:rFonts w:eastAsia="楷体_GB2312"/>
                <w:bCs/>
                <w:szCs w:val="21"/>
              </w:rPr>
              <w:t>东芝堂药业（安徽）有限公司、</w:t>
            </w:r>
            <w:r>
              <w:rPr>
                <w:rFonts w:eastAsia="楷体_GB2312"/>
                <w:szCs w:val="21"/>
              </w:rPr>
              <w:t>淮南盖天力药业有限公司、淮南泰复制药有限公司、安徽江中高邦制药有限责任公司、</w:t>
            </w:r>
            <w:r>
              <w:rPr>
                <w:rFonts w:eastAsia="楷体_GB2312"/>
                <w:bCs/>
                <w:szCs w:val="21"/>
              </w:rPr>
              <w:t>安徽华辰制药有限公司</w:t>
            </w:r>
          </w:p>
        </w:tc>
      </w:tr>
      <w:tr w14:paraId="6E15C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Borders>
              <w:top w:val="single" w:color="auto" w:sz="4" w:space="0"/>
              <w:left w:val="single" w:color="auto" w:sz="4" w:space="0"/>
              <w:bottom w:val="single" w:color="auto" w:sz="4" w:space="0"/>
              <w:right w:val="single" w:color="auto" w:sz="4" w:space="0"/>
            </w:tcBorders>
          </w:tcPr>
          <w:p w14:paraId="70DB69F0">
            <w:pPr>
              <w:rPr>
                <w:rFonts w:eastAsia="楷体_GB2312"/>
                <w:szCs w:val="21"/>
              </w:rPr>
            </w:pPr>
            <w:r>
              <w:rPr>
                <w:rFonts w:eastAsia="楷体_GB2312"/>
                <w:szCs w:val="21"/>
              </w:rPr>
              <w:t>原料药及辅料生产企业</w:t>
            </w:r>
          </w:p>
        </w:tc>
        <w:tc>
          <w:tcPr>
            <w:tcW w:w="974" w:type="dxa"/>
            <w:tcBorders>
              <w:top w:val="single" w:color="auto" w:sz="4" w:space="0"/>
              <w:left w:val="single" w:color="auto" w:sz="4" w:space="0"/>
              <w:bottom w:val="single" w:color="auto" w:sz="4" w:space="0"/>
              <w:right w:val="single" w:color="auto" w:sz="4" w:space="0"/>
            </w:tcBorders>
          </w:tcPr>
          <w:p w14:paraId="7EEDE8F7">
            <w:pPr>
              <w:ind w:firstLine="560" w:firstLineChars="200"/>
              <w:rPr>
                <w:rFonts w:eastAsia="楷体_GB2312"/>
                <w:szCs w:val="21"/>
              </w:rPr>
            </w:pPr>
            <w:r>
              <w:rPr>
                <w:rFonts w:eastAsia="楷体_GB2312"/>
                <w:szCs w:val="21"/>
              </w:rPr>
              <w:t>8</w:t>
            </w:r>
          </w:p>
        </w:tc>
        <w:tc>
          <w:tcPr>
            <w:tcW w:w="6287" w:type="dxa"/>
            <w:tcBorders>
              <w:top w:val="single" w:color="auto" w:sz="4" w:space="0"/>
              <w:left w:val="single" w:color="auto" w:sz="4" w:space="0"/>
              <w:bottom w:val="single" w:color="auto" w:sz="4" w:space="0"/>
              <w:right w:val="single" w:color="auto" w:sz="4" w:space="0"/>
            </w:tcBorders>
          </w:tcPr>
          <w:p w14:paraId="0DB862FD">
            <w:pPr>
              <w:rPr>
                <w:rFonts w:eastAsia="楷体_GB2312"/>
                <w:szCs w:val="21"/>
              </w:rPr>
            </w:pPr>
            <w:r>
              <w:rPr>
                <w:rFonts w:eastAsia="楷体_GB2312"/>
                <w:snapToGrid w:val="0"/>
                <w:szCs w:val="21"/>
              </w:rPr>
              <w:t>安徽山河药用辅料股份有限公司</w:t>
            </w:r>
            <w:r>
              <w:rPr>
                <w:rFonts w:eastAsia="楷体_GB2312"/>
                <w:szCs w:val="21"/>
              </w:rPr>
              <w:t>、国药集团国瑞药业有限公司、安徽东盛制药有限公司、淮南盖天力药业有限公司、</w:t>
            </w:r>
            <w:r>
              <w:rPr>
                <w:rFonts w:eastAsia="楷体_GB2312"/>
                <w:bCs/>
                <w:szCs w:val="21"/>
              </w:rPr>
              <w:t>东芝堂药业（安徽）有限公司、</w:t>
            </w:r>
            <w:r>
              <w:rPr>
                <w:rFonts w:eastAsia="楷体_GB2312"/>
                <w:szCs w:val="21"/>
              </w:rPr>
              <w:t>安徽亚华医药化工有限公司、安徽永安制药有限公司、淮南泰复制药有限公司</w:t>
            </w:r>
          </w:p>
        </w:tc>
      </w:tr>
      <w:tr w14:paraId="5622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134" w:type="dxa"/>
            <w:tcBorders>
              <w:top w:val="single" w:color="auto" w:sz="4" w:space="0"/>
              <w:left w:val="single" w:color="auto" w:sz="4" w:space="0"/>
              <w:bottom w:val="single" w:color="auto" w:sz="4" w:space="0"/>
              <w:right w:val="single" w:color="auto" w:sz="4" w:space="0"/>
            </w:tcBorders>
          </w:tcPr>
          <w:p w14:paraId="4668CDA2">
            <w:pPr>
              <w:rPr>
                <w:rFonts w:eastAsia="楷体_GB2312"/>
                <w:szCs w:val="21"/>
              </w:rPr>
            </w:pPr>
            <w:r>
              <w:rPr>
                <w:rFonts w:eastAsia="楷体_GB2312"/>
                <w:szCs w:val="21"/>
              </w:rPr>
              <w:t>医药器械企业</w:t>
            </w:r>
          </w:p>
        </w:tc>
        <w:tc>
          <w:tcPr>
            <w:tcW w:w="974" w:type="dxa"/>
            <w:tcBorders>
              <w:top w:val="single" w:color="auto" w:sz="4" w:space="0"/>
              <w:left w:val="single" w:color="auto" w:sz="4" w:space="0"/>
              <w:bottom w:val="single" w:color="auto" w:sz="4" w:space="0"/>
              <w:right w:val="single" w:color="auto" w:sz="4" w:space="0"/>
            </w:tcBorders>
          </w:tcPr>
          <w:p w14:paraId="4438BC60">
            <w:pPr>
              <w:ind w:firstLine="560" w:firstLineChars="200"/>
              <w:rPr>
                <w:rFonts w:eastAsia="楷体_GB2312"/>
                <w:szCs w:val="21"/>
              </w:rPr>
            </w:pPr>
            <w:r>
              <w:rPr>
                <w:rFonts w:eastAsia="楷体_GB2312"/>
                <w:szCs w:val="21"/>
              </w:rPr>
              <w:t>4</w:t>
            </w:r>
          </w:p>
        </w:tc>
        <w:tc>
          <w:tcPr>
            <w:tcW w:w="6287" w:type="dxa"/>
            <w:tcBorders>
              <w:top w:val="single" w:color="auto" w:sz="4" w:space="0"/>
              <w:left w:val="single" w:color="auto" w:sz="4" w:space="0"/>
              <w:bottom w:val="single" w:color="auto" w:sz="4" w:space="0"/>
              <w:right w:val="single" w:color="auto" w:sz="4" w:space="0"/>
            </w:tcBorders>
          </w:tcPr>
          <w:p w14:paraId="00EB6126">
            <w:pPr>
              <w:rPr>
                <w:rFonts w:eastAsia="楷体_GB2312"/>
                <w:szCs w:val="21"/>
              </w:rPr>
            </w:pPr>
            <w:r>
              <w:rPr>
                <w:rFonts w:eastAsia="楷体_GB2312"/>
                <w:szCs w:val="21"/>
              </w:rPr>
              <w:t>安徽徽斯顿电子科技有限公司、</w:t>
            </w:r>
            <w:r>
              <w:rPr>
                <w:rFonts w:eastAsia="楷体_GB2312"/>
                <w:bCs/>
                <w:szCs w:val="21"/>
              </w:rPr>
              <w:t>安徽华辰制药有限公司</w:t>
            </w:r>
            <w:r>
              <w:rPr>
                <w:rFonts w:eastAsia="楷体_GB2312"/>
                <w:szCs w:val="21"/>
              </w:rPr>
              <w:t>、安徽安睿泰机电科技有限公司、安徽汇通医用绷带有限公司</w:t>
            </w:r>
          </w:p>
        </w:tc>
      </w:tr>
      <w:tr w14:paraId="15A7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1134" w:type="dxa"/>
            <w:tcBorders>
              <w:top w:val="single" w:color="auto" w:sz="4" w:space="0"/>
              <w:left w:val="single" w:color="auto" w:sz="4" w:space="0"/>
              <w:bottom w:val="single" w:color="auto" w:sz="4" w:space="0"/>
              <w:right w:val="single" w:color="auto" w:sz="4" w:space="0"/>
            </w:tcBorders>
          </w:tcPr>
          <w:p w14:paraId="6C7D3BC1">
            <w:pPr>
              <w:rPr>
                <w:rFonts w:eastAsia="楷体_GB2312"/>
                <w:szCs w:val="21"/>
              </w:rPr>
            </w:pPr>
            <w:r>
              <w:rPr>
                <w:rFonts w:eastAsia="楷体_GB2312"/>
                <w:szCs w:val="21"/>
              </w:rPr>
              <w:t>医药包装企业</w:t>
            </w:r>
          </w:p>
        </w:tc>
        <w:tc>
          <w:tcPr>
            <w:tcW w:w="974" w:type="dxa"/>
            <w:tcBorders>
              <w:top w:val="single" w:color="auto" w:sz="4" w:space="0"/>
              <w:left w:val="single" w:color="auto" w:sz="4" w:space="0"/>
              <w:bottom w:val="single" w:color="auto" w:sz="4" w:space="0"/>
              <w:right w:val="single" w:color="auto" w:sz="4" w:space="0"/>
            </w:tcBorders>
          </w:tcPr>
          <w:p w14:paraId="0D63B8BC">
            <w:pPr>
              <w:ind w:firstLine="560" w:firstLineChars="200"/>
              <w:rPr>
                <w:rFonts w:eastAsia="楷体_GB2312"/>
                <w:szCs w:val="21"/>
              </w:rPr>
            </w:pPr>
            <w:r>
              <w:rPr>
                <w:rFonts w:eastAsia="楷体_GB2312"/>
                <w:szCs w:val="21"/>
              </w:rPr>
              <w:t>4</w:t>
            </w:r>
          </w:p>
        </w:tc>
        <w:tc>
          <w:tcPr>
            <w:tcW w:w="6287" w:type="dxa"/>
            <w:tcBorders>
              <w:top w:val="single" w:color="auto" w:sz="4" w:space="0"/>
              <w:left w:val="single" w:color="auto" w:sz="4" w:space="0"/>
              <w:bottom w:val="single" w:color="auto" w:sz="4" w:space="0"/>
              <w:right w:val="single" w:color="auto" w:sz="4" w:space="0"/>
            </w:tcBorders>
          </w:tcPr>
          <w:p w14:paraId="4D9882C5">
            <w:pPr>
              <w:rPr>
                <w:rFonts w:eastAsia="楷体_GB2312"/>
                <w:szCs w:val="21"/>
              </w:rPr>
            </w:pPr>
            <w:r>
              <w:rPr>
                <w:rFonts w:eastAsia="楷体_GB2312"/>
                <w:szCs w:val="21"/>
              </w:rPr>
              <w:t>淮南市康保安医药包装有限责任公司、淮南市田东药用包装公司、淮南市金安包装有限公司、淮南市澜敏印刷厂</w:t>
            </w:r>
          </w:p>
        </w:tc>
      </w:tr>
      <w:tr w14:paraId="118A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1134" w:type="dxa"/>
            <w:tcBorders>
              <w:top w:val="single" w:color="auto" w:sz="4" w:space="0"/>
              <w:left w:val="single" w:color="auto" w:sz="4" w:space="0"/>
              <w:bottom w:val="single" w:color="auto" w:sz="4" w:space="0"/>
              <w:right w:val="single" w:color="auto" w:sz="4" w:space="0"/>
            </w:tcBorders>
          </w:tcPr>
          <w:p w14:paraId="282B2EDC">
            <w:pPr>
              <w:rPr>
                <w:rFonts w:eastAsia="楷体_GB2312"/>
                <w:szCs w:val="21"/>
              </w:rPr>
            </w:pPr>
            <w:r>
              <w:rPr>
                <w:rFonts w:eastAsia="楷体_GB2312"/>
                <w:szCs w:val="21"/>
              </w:rPr>
              <w:t>医药物流企业</w:t>
            </w:r>
          </w:p>
        </w:tc>
        <w:tc>
          <w:tcPr>
            <w:tcW w:w="974" w:type="dxa"/>
            <w:tcBorders>
              <w:top w:val="single" w:color="auto" w:sz="4" w:space="0"/>
              <w:left w:val="single" w:color="auto" w:sz="4" w:space="0"/>
              <w:bottom w:val="single" w:color="auto" w:sz="4" w:space="0"/>
              <w:right w:val="single" w:color="auto" w:sz="4" w:space="0"/>
            </w:tcBorders>
          </w:tcPr>
          <w:p w14:paraId="7E3A1787">
            <w:pPr>
              <w:ind w:firstLine="560" w:firstLineChars="200"/>
              <w:rPr>
                <w:rFonts w:eastAsia="楷体_GB2312"/>
                <w:szCs w:val="21"/>
              </w:rPr>
            </w:pPr>
            <w:r>
              <w:rPr>
                <w:rFonts w:eastAsia="楷体_GB2312"/>
                <w:szCs w:val="21"/>
              </w:rPr>
              <w:t>8</w:t>
            </w:r>
          </w:p>
        </w:tc>
        <w:tc>
          <w:tcPr>
            <w:tcW w:w="6287" w:type="dxa"/>
            <w:tcBorders>
              <w:top w:val="single" w:color="auto" w:sz="4" w:space="0"/>
              <w:left w:val="single" w:color="auto" w:sz="4" w:space="0"/>
              <w:bottom w:val="single" w:color="auto" w:sz="4" w:space="0"/>
              <w:right w:val="single" w:color="auto" w:sz="4" w:space="0"/>
            </w:tcBorders>
          </w:tcPr>
          <w:p w14:paraId="0C006A1F">
            <w:pPr>
              <w:rPr>
                <w:rFonts w:eastAsia="楷体_GB2312"/>
                <w:szCs w:val="21"/>
              </w:rPr>
            </w:pPr>
            <w:r>
              <w:rPr>
                <w:rFonts w:eastAsia="楷体_GB2312"/>
                <w:szCs w:val="21"/>
              </w:rPr>
              <w:t>淮南新欣医药有限公司、淮南市恒康医药有限公司、国药控股淮南有限公司、安徽永和药业有限公司、安徽康宝药业有限公司、安徽格林克医药销售有限公司、淮南三世纪医药有限公司公司、淮南诚源药业有限公司</w:t>
            </w:r>
          </w:p>
        </w:tc>
      </w:tr>
    </w:tbl>
    <w:p w14:paraId="383616F3">
      <w:pPr>
        <w:spacing w:line="360" w:lineRule="auto"/>
        <w:ind w:firstLine="480" w:firstLineChars="200"/>
        <w:rPr>
          <w:sz w:val="24"/>
        </w:rPr>
      </w:pPr>
      <w:r>
        <w:rPr>
          <w:sz w:val="24"/>
        </w:rPr>
        <w:t>在医药产业链各主要环节，工业园都已发展起有较强市场竞争力的龙头企业。</w:t>
      </w:r>
      <w:bookmarkStart w:id="57" w:name="_Toc23684"/>
    </w:p>
    <w:p w14:paraId="4E793C36">
      <w:pPr>
        <w:spacing w:line="360" w:lineRule="auto"/>
        <w:ind w:firstLine="482" w:firstLineChars="200"/>
        <w:rPr>
          <w:sz w:val="24"/>
        </w:rPr>
      </w:pPr>
      <w:r>
        <w:rPr>
          <w:b/>
          <w:bCs/>
          <w:sz w:val="24"/>
        </w:rPr>
        <w:t>1.原材料生产环节的龙头企业——安徽山河药用辅料股份有限公司（以下简称山河药辅）</w:t>
      </w:r>
      <w:bookmarkEnd w:id="57"/>
    </w:p>
    <w:p w14:paraId="4E69089F">
      <w:pPr>
        <w:spacing w:line="360" w:lineRule="auto"/>
        <w:ind w:firstLine="480" w:firstLineChars="200"/>
        <w:rPr>
          <w:sz w:val="24"/>
        </w:rPr>
      </w:pPr>
      <w:r>
        <w:rPr>
          <w:sz w:val="24"/>
        </w:rPr>
        <w:t>山河药辅是国内专业药用辅料生产企业，也是新型药用辅料研究开发基地，为园区内多家药品生产企业和医药保健品生产企业提供医药固体制剂用辅料。2014年，该公司以近3亿元的中等资产规模，实现销售收入3亿元，税收2500万，利润4077万元。</w:t>
      </w:r>
    </w:p>
    <w:p w14:paraId="274103AE">
      <w:pPr>
        <w:spacing w:line="360" w:lineRule="auto"/>
        <w:ind w:firstLine="480" w:firstLineChars="200"/>
        <w:rPr>
          <w:sz w:val="24"/>
        </w:rPr>
      </w:pPr>
      <w:r>
        <w:rPr>
          <w:sz w:val="24"/>
        </w:rPr>
        <w:t>近年来，该公司在国内辅料行业中发展速度最快，不仅规模得到了快速提升，而且综合效益位居行业首位，在国内专业化、规模化、综合型的固体制剂药用辅料企业中形成了自身的竞争优势，在我国药用辅料行业中占有重要地位,有一定的影响力。公司通过大量技改投入，使其生产设备和技术水平都处于国内同行业领先水平，并拥有28项核心技术或工艺。主导产品“羧甲淀粉钠”、“硬脂酸镁”、“微晶纤维素”、“羟丙甲纤维素”、“羟丙纤维素”、“薄膜包衣粉”、“交联羧甲基纤维素钠”、“交联聚维酮”获得安徽省高新技术产品认定证书。交联聚维酮和交联羧甲基纤维素钠均获得安徽科学技术研究成果证书；交联羧甲基纤维素钠和羟丙纤维素分别获得省级安徽省新产品证书和安徽省重点新产品证书。同时，企业在国内口服固体制剂辅料领域地位不断提升，已由先前的地方微型企业发展为行业排名领先的知名专业辅料生产商。部分产品已打入国际市场，出口英国、美国、德国、巴西、澳大利亚、墨西哥和印度等国家。企业还参与了国家制定的《药用辅料生产质量管理规范》的起草和定稿工作。</w:t>
      </w:r>
    </w:p>
    <w:p w14:paraId="4596DB99">
      <w:pPr>
        <w:spacing w:line="360" w:lineRule="auto"/>
        <w:ind w:firstLine="480" w:firstLineChars="200"/>
        <w:rPr>
          <w:sz w:val="24"/>
        </w:rPr>
      </w:pPr>
      <w:r>
        <w:rPr>
          <w:sz w:val="24"/>
        </w:rPr>
        <w:t>2015年5月15日，该公司在创业板成功上市。公司将进一步实施内生式增长、外延式扩张、整合式发展并举的发展战略。通过加强管理，加大新产品产业化的步伐以及对现有重点产品进行改扩建，优化资源配置，促进产品结构调整和产业优化升级，实现企业快速发展，力争到2020年实现年销售收入7亿元以上、税收7000万元以上、利润8000万元以上。</w:t>
      </w:r>
    </w:p>
    <w:p w14:paraId="589A1BF8">
      <w:pPr>
        <w:spacing w:line="360" w:lineRule="auto"/>
        <w:ind w:firstLine="480" w:firstLineChars="200"/>
        <w:rPr>
          <w:sz w:val="24"/>
        </w:rPr>
      </w:pPr>
      <w:r>
        <w:rPr>
          <w:sz w:val="24"/>
        </w:rPr>
        <w:t>表3  山河药辅2015年至2020年主要经济目标单位：万元（含税）</w:t>
      </w:r>
    </w:p>
    <w:tbl>
      <w:tblPr>
        <w:tblStyle w:val="2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2066"/>
        <w:gridCol w:w="1701"/>
        <w:gridCol w:w="1843"/>
        <w:gridCol w:w="1134"/>
      </w:tblGrid>
      <w:tr w14:paraId="0C6F4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728" w:type="dxa"/>
            <w:tcBorders>
              <w:top w:val="single" w:color="auto" w:sz="4" w:space="0"/>
              <w:left w:val="single" w:color="auto" w:sz="4" w:space="0"/>
              <w:bottom w:val="single" w:color="auto" w:sz="4" w:space="0"/>
              <w:right w:val="single" w:color="auto" w:sz="4" w:space="0"/>
            </w:tcBorders>
          </w:tcPr>
          <w:p w14:paraId="7A891911">
            <w:pPr>
              <w:spacing w:line="360" w:lineRule="auto"/>
              <w:rPr>
                <w:sz w:val="24"/>
              </w:rPr>
            </w:pPr>
            <w:r>
              <w:rPr>
                <w:sz w:val="24"/>
              </w:rPr>
              <w:pict>
                <v:line id="_x0000_s1026" o:spid="_x0000_s1026" o:spt="20" style="position:absolute;left:0pt;margin-left:-3.05pt;margin-top:3.4pt;height:50.2pt;width:83.8pt;z-index:251661312;mso-width-relative:page;mso-height-relative:page;" coordsize="21600,21600" o:gfxdata="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u0bNYAAAAIAQAADwAAAAAAAAABACAAAAAiAAAAZHJzL2Rvd25yZXYueG1sUEsBAhQAFAAA&#10;AAgAh07iQMgb+UfxAQAAvwMAAA4AAAAAAAAAAQAgAAAAJQEAAGRycy9lMm9Eb2MueG1sUEsFBgAA&#10;AAAGAAYAWQEAAIgFAAAAAA==&#10;">
                  <v:path arrowok="t"/>
                  <v:fill focussize="0,0"/>
                  <v:stroke/>
                  <v:imagedata o:title=""/>
                  <o:lock v:ext="edit"/>
                </v:line>
              </w:pict>
            </w:r>
            <w:r>
              <w:rPr>
                <w:sz w:val="24"/>
              </w:rPr>
              <w:pict>
                <v:line id="_x0000_s1075" o:spid="_x0000_s1075" o:spt="20" style="position:absolute;left:0pt;margin-left:-8pt;margin-top:3.95pt;height:0pt;width:0.05pt;z-index:251679744;mso-width-relative:page;mso-height-relative:page;" coordsize="21600,21600" o:gfxdata="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c3o87VAAAA&#10;BwEAAA8AAAAAAAAAAQAgAAAAIgAAAGRycy9kb3ducmV2LnhtbFBLAQIUABQAAAAIAIdO4kAPA6xy&#10;5wEAALgDAAAOAAAAAAAAAAEAIAAAACQBAABkcnMvZTJvRG9jLnhtbFBLBQYAAAAABgAGAFkBAAB9&#10;BQAAAAA=&#10;">
                  <v:path arrowok="t"/>
                  <v:fill focussize="0,0"/>
                  <v:stroke/>
                  <v:imagedata o:title=""/>
                  <o:lock v:ext="edit"/>
                </v:line>
              </w:pict>
            </w:r>
            <w:r>
              <w:rPr>
                <w:sz w:val="24"/>
              </w:rPr>
              <w:t>指标</w:t>
            </w:r>
          </w:p>
          <w:p w14:paraId="4B5C6C24">
            <w:pPr>
              <w:spacing w:line="360" w:lineRule="auto"/>
              <w:rPr>
                <w:sz w:val="24"/>
              </w:rPr>
            </w:pPr>
            <w:r>
              <w:rPr>
                <w:sz w:val="24"/>
              </w:rPr>
              <w:t>年份</w:t>
            </w:r>
          </w:p>
        </w:tc>
        <w:tc>
          <w:tcPr>
            <w:tcW w:w="2066" w:type="dxa"/>
            <w:tcBorders>
              <w:top w:val="single" w:color="auto" w:sz="4" w:space="0"/>
              <w:left w:val="single" w:color="auto" w:sz="4" w:space="0"/>
              <w:bottom w:val="single" w:color="auto" w:sz="4" w:space="0"/>
              <w:right w:val="single" w:color="auto" w:sz="4" w:space="0"/>
            </w:tcBorders>
          </w:tcPr>
          <w:p w14:paraId="2FBBA3D3">
            <w:pPr>
              <w:spacing w:line="360" w:lineRule="auto"/>
              <w:rPr>
                <w:sz w:val="24"/>
              </w:rPr>
            </w:pPr>
            <w:r>
              <w:rPr>
                <w:sz w:val="24"/>
              </w:rPr>
              <w:t>销售收入（增长）</w:t>
            </w:r>
          </w:p>
        </w:tc>
        <w:tc>
          <w:tcPr>
            <w:tcW w:w="1701" w:type="dxa"/>
            <w:tcBorders>
              <w:top w:val="single" w:color="auto" w:sz="4" w:space="0"/>
              <w:left w:val="single" w:color="auto" w:sz="4" w:space="0"/>
              <w:bottom w:val="single" w:color="auto" w:sz="4" w:space="0"/>
              <w:right w:val="single" w:color="auto" w:sz="4" w:space="0"/>
            </w:tcBorders>
          </w:tcPr>
          <w:p w14:paraId="57EE3B26">
            <w:pPr>
              <w:spacing w:line="360" w:lineRule="auto"/>
              <w:rPr>
                <w:sz w:val="24"/>
              </w:rPr>
            </w:pPr>
            <w:r>
              <w:rPr>
                <w:sz w:val="24"/>
              </w:rPr>
              <w:t>税收(增长)</w:t>
            </w:r>
          </w:p>
        </w:tc>
        <w:tc>
          <w:tcPr>
            <w:tcW w:w="1843" w:type="dxa"/>
            <w:tcBorders>
              <w:top w:val="single" w:color="auto" w:sz="4" w:space="0"/>
              <w:left w:val="single" w:color="auto" w:sz="4" w:space="0"/>
              <w:bottom w:val="single" w:color="auto" w:sz="4" w:space="0"/>
              <w:right w:val="single" w:color="auto" w:sz="4" w:space="0"/>
            </w:tcBorders>
          </w:tcPr>
          <w:p w14:paraId="1AA08A73">
            <w:pPr>
              <w:spacing w:line="360" w:lineRule="auto"/>
              <w:rPr>
                <w:sz w:val="24"/>
              </w:rPr>
            </w:pPr>
            <w:r>
              <w:rPr>
                <w:sz w:val="24"/>
              </w:rPr>
              <w:t>利润（增长）</w:t>
            </w:r>
          </w:p>
        </w:tc>
        <w:tc>
          <w:tcPr>
            <w:tcW w:w="1134" w:type="dxa"/>
            <w:tcBorders>
              <w:top w:val="single" w:color="auto" w:sz="4" w:space="0"/>
              <w:left w:val="single" w:color="auto" w:sz="4" w:space="0"/>
              <w:bottom w:val="single" w:color="auto" w:sz="4" w:space="0"/>
              <w:right w:val="single" w:color="auto" w:sz="4" w:space="0"/>
            </w:tcBorders>
          </w:tcPr>
          <w:p w14:paraId="25CB7929">
            <w:pPr>
              <w:spacing w:line="360" w:lineRule="auto"/>
              <w:rPr>
                <w:sz w:val="24"/>
              </w:rPr>
            </w:pPr>
            <w:r>
              <w:rPr>
                <w:sz w:val="24"/>
              </w:rPr>
              <w:t>其中：出口</w:t>
            </w:r>
          </w:p>
        </w:tc>
      </w:tr>
      <w:tr w14:paraId="0CEB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107E52A5">
            <w:pPr>
              <w:spacing w:line="360" w:lineRule="auto"/>
              <w:rPr>
                <w:sz w:val="24"/>
              </w:rPr>
            </w:pPr>
            <w:r>
              <w:rPr>
                <w:sz w:val="24"/>
              </w:rPr>
              <w:t>2015年</w:t>
            </w:r>
          </w:p>
        </w:tc>
        <w:tc>
          <w:tcPr>
            <w:tcW w:w="2066" w:type="dxa"/>
            <w:tcBorders>
              <w:top w:val="single" w:color="auto" w:sz="4" w:space="0"/>
              <w:left w:val="single" w:color="auto" w:sz="4" w:space="0"/>
              <w:bottom w:val="single" w:color="auto" w:sz="4" w:space="0"/>
              <w:right w:val="single" w:color="auto" w:sz="4" w:space="0"/>
            </w:tcBorders>
          </w:tcPr>
          <w:p w14:paraId="25DDAB5A">
            <w:pPr>
              <w:spacing w:line="360" w:lineRule="auto"/>
              <w:ind w:firstLine="240" w:firstLineChars="100"/>
              <w:rPr>
                <w:sz w:val="24"/>
              </w:rPr>
            </w:pPr>
            <w:r>
              <w:rPr>
                <w:sz w:val="24"/>
              </w:rPr>
              <w:t>32500（16%）</w:t>
            </w:r>
          </w:p>
        </w:tc>
        <w:tc>
          <w:tcPr>
            <w:tcW w:w="1701" w:type="dxa"/>
            <w:tcBorders>
              <w:top w:val="single" w:color="auto" w:sz="4" w:space="0"/>
              <w:left w:val="single" w:color="auto" w:sz="4" w:space="0"/>
              <w:bottom w:val="single" w:color="auto" w:sz="4" w:space="0"/>
              <w:right w:val="single" w:color="auto" w:sz="4" w:space="0"/>
            </w:tcBorders>
          </w:tcPr>
          <w:p w14:paraId="57669CDA">
            <w:pPr>
              <w:spacing w:line="360" w:lineRule="auto"/>
              <w:rPr>
                <w:sz w:val="24"/>
              </w:rPr>
            </w:pPr>
            <w:r>
              <w:rPr>
                <w:sz w:val="24"/>
              </w:rPr>
              <w:t>3000（20%）</w:t>
            </w:r>
          </w:p>
        </w:tc>
        <w:tc>
          <w:tcPr>
            <w:tcW w:w="1843" w:type="dxa"/>
            <w:tcBorders>
              <w:top w:val="single" w:color="auto" w:sz="4" w:space="0"/>
              <w:left w:val="single" w:color="auto" w:sz="4" w:space="0"/>
              <w:bottom w:val="single" w:color="auto" w:sz="4" w:space="0"/>
              <w:right w:val="single" w:color="auto" w:sz="4" w:space="0"/>
            </w:tcBorders>
          </w:tcPr>
          <w:p w14:paraId="49B2C202">
            <w:pPr>
              <w:spacing w:line="360" w:lineRule="auto"/>
              <w:rPr>
                <w:sz w:val="24"/>
              </w:rPr>
            </w:pPr>
            <w:r>
              <w:rPr>
                <w:sz w:val="24"/>
              </w:rPr>
              <w:t>4500（10.3%）</w:t>
            </w:r>
          </w:p>
        </w:tc>
        <w:tc>
          <w:tcPr>
            <w:tcW w:w="1134" w:type="dxa"/>
            <w:tcBorders>
              <w:top w:val="single" w:color="auto" w:sz="4" w:space="0"/>
              <w:left w:val="single" w:color="auto" w:sz="4" w:space="0"/>
              <w:bottom w:val="single" w:color="auto" w:sz="4" w:space="0"/>
              <w:right w:val="single" w:color="auto" w:sz="4" w:space="0"/>
            </w:tcBorders>
          </w:tcPr>
          <w:p w14:paraId="0D6CABBF">
            <w:pPr>
              <w:spacing w:line="360" w:lineRule="auto"/>
              <w:rPr>
                <w:sz w:val="24"/>
              </w:rPr>
            </w:pPr>
            <w:r>
              <w:rPr>
                <w:sz w:val="24"/>
              </w:rPr>
              <w:t>3500</w:t>
            </w:r>
          </w:p>
        </w:tc>
      </w:tr>
      <w:tr w14:paraId="02D6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794201A8">
            <w:pPr>
              <w:spacing w:line="360" w:lineRule="auto"/>
              <w:rPr>
                <w:sz w:val="24"/>
              </w:rPr>
            </w:pPr>
            <w:r>
              <w:rPr>
                <w:sz w:val="24"/>
              </w:rPr>
              <w:t>2016年</w:t>
            </w:r>
          </w:p>
        </w:tc>
        <w:tc>
          <w:tcPr>
            <w:tcW w:w="2066" w:type="dxa"/>
            <w:tcBorders>
              <w:top w:val="single" w:color="auto" w:sz="4" w:space="0"/>
              <w:left w:val="single" w:color="auto" w:sz="4" w:space="0"/>
              <w:bottom w:val="single" w:color="auto" w:sz="4" w:space="0"/>
              <w:right w:val="single" w:color="auto" w:sz="4" w:space="0"/>
            </w:tcBorders>
          </w:tcPr>
          <w:p w14:paraId="78C5311F">
            <w:pPr>
              <w:spacing w:line="360" w:lineRule="auto"/>
              <w:ind w:firstLine="240" w:firstLineChars="100"/>
              <w:rPr>
                <w:sz w:val="24"/>
              </w:rPr>
            </w:pPr>
            <w:r>
              <w:rPr>
                <w:sz w:val="24"/>
              </w:rPr>
              <w:t>38000 （17%）</w:t>
            </w:r>
          </w:p>
        </w:tc>
        <w:tc>
          <w:tcPr>
            <w:tcW w:w="1701" w:type="dxa"/>
            <w:tcBorders>
              <w:top w:val="single" w:color="auto" w:sz="4" w:space="0"/>
              <w:left w:val="single" w:color="auto" w:sz="4" w:space="0"/>
              <w:bottom w:val="single" w:color="auto" w:sz="4" w:space="0"/>
              <w:right w:val="single" w:color="auto" w:sz="4" w:space="0"/>
            </w:tcBorders>
          </w:tcPr>
          <w:p w14:paraId="4A01C9A4">
            <w:pPr>
              <w:spacing w:line="360" w:lineRule="auto"/>
              <w:rPr>
                <w:sz w:val="24"/>
              </w:rPr>
            </w:pPr>
            <w:r>
              <w:rPr>
                <w:sz w:val="24"/>
              </w:rPr>
              <w:t>3600（20%）</w:t>
            </w:r>
          </w:p>
        </w:tc>
        <w:tc>
          <w:tcPr>
            <w:tcW w:w="1843" w:type="dxa"/>
            <w:tcBorders>
              <w:top w:val="single" w:color="auto" w:sz="4" w:space="0"/>
              <w:left w:val="single" w:color="auto" w:sz="4" w:space="0"/>
              <w:bottom w:val="single" w:color="auto" w:sz="4" w:space="0"/>
              <w:right w:val="single" w:color="auto" w:sz="4" w:space="0"/>
            </w:tcBorders>
          </w:tcPr>
          <w:p w14:paraId="6512BA6D">
            <w:pPr>
              <w:tabs>
                <w:tab w:val="left" w:pos="1815"/>
              </w:tabs>
              <w:spacing w:line="360" w:lineRule="auto"/>
              <w:rPr>
                <w:sz w:val="24"/>
              </w:rPr>
            </w:pPr>
            <w:r>
              <w:rPr>
                <w:sz w:val="24"/>
              </w:rPr>
              <w:t>5000（11.1%）</w:t>
            </w:r>
          </w:p>
        </w:tc>
        <w:tc>
          <w:tcPr>
            <w:tcW w:w="1134" w:type="dxa"/>
            <w:tcBorders>
              <w:top w:val="single" w:color="auto" w:sz="4" w:space="0"/>
              <w:left w:val="single" w:color="auto" w:sz="4" w:space="0"/>
              <w:bottom w:val="single" w:color="auto" w:sz="4" w:space="0"/>
              <w:right w:val="single" w:color="auto" w:sz="4" w:space="0"/>
            </w:tcBorders>
          </w:tcPr>
          <w:p w14:paraId="58B5733E">
            <w:pPr>
              <w:spacing w:line="360" w:lineRule="auto"/>
              <w:rPr>
                <w:sz w:val="24"/>
              </w:rPr>
            </w:pPr>
            <w:r>
              <w:rPr>
                <w:sz w:val="24"/>
              </w:rPr>
              <w:t>5000</w:t>
            </w:r>
          </w:p>
        </w:tc>
      </w:tr>
      <w:tr w14:paraId="1DFD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02600745">
            <w:pPr>
              <w:spacing w:line="360" w:lineRule="auto"/>
              <w:rPr>
                <w:sz w:val="24"/>
              </w:rPr>
            </w:pPr>
            <w:r>
              <w:rPr>
                <w:sz w:val="24"/>
              </w:rPr>
              <w:t>2017年</w:t>
            </w:r>
          </w:p>
        </w:tc>
        <w:tc>
          <w:tcPr>
            <w:tcW w:w="2066" w:type="dxa"/>
            <w:tcBorders>
              <w:top w:val="single" w:color="auto" w:sz="4" w:space="0"/>
              <w:left w:val="single" w:color="auto" w:sz="4" w:space="0"/>
              <w:bottom w:val="single" w:color="auto" w:sz="4" w:space="0"/>
              <w:right w:val="single" w:color="auto" w:sz="4" w:space="0"/>
            </w:tcBorders>
          </w:tcPr>
          <w:p w14:paraId="6D1A3718">
            <w:pPr>
              <w:spacing w:line="360" w:lineRule="auto"/>
              <w:ind w:firstLine="240" w:firstLineChars="100"/>
              <w:rPr>
                <w:sz w:val="24"/>
              </w:rPr>
            </w:pPr>
            <w:r>
              <w:rPr>
                <w:sz w:val="24"/>
              </w:rPr>
              <w:t>45000 （18%）</w:t>
            </w:r>
          </w:p>
        </w:tc>
        <w:tc>
          <w:tcPr>
            <w:tcW w:w="1701" w:type="dxa"/>
            <w:tcBorders>
              <w:top w:val="single" w:color="auto" w:sz="4" w:space="0"/>
              <w:left w:val="single" w:color="auto" w:sz="4" w:space="0"/>
              <w:bottom w:val="single" w:color="auto" w:sz="4" w:space="0"/>
              <w:right w:val="single" w:color="auto" w:sz="4" w:space="0"/>
            </w:tcBorders>
          </w:tcPr>
          <w:p w14:paraId="6E5D3491">
            <w:pPr>
              <w:spacing w:line="360" w:lineRule="auto"/>
              <w:rPr>
                <w:sz w:val="24"/>
              </w:rPr>
            </w:pPr>
            <w:r>
              <w:rPr>
                <w:sz w:val="24"/>
              </w:rPr>
              <w:t>4300（19.4%）</w:t>
            </w:r>
          </w:p>
        </w:tc>
        <w:tc>
          <w:tcPr>
            <w:tcW w:w="1843" w:type="dxa"/>
            <w:tcBorders>
              <w:top w:val="single" w:color="auto" w:sz="4" w:space="0"/>
              <w:left w:val="single" w:color="auto" w:sz="4" w:space="0"/>
              <w:bottom w:val="single" w:color="auto" w:sz="4" w:space="0"/>
              <w:right w:val="single" w:color="auto" w:sz="4" w:space="0"/>
            </w:tcBorders>
          </w:tcPr>
          <w:p w14:paraId="6DB25124">
            <w:pPr>
              <w:spacing w:line="360" w:lineRule="auto"/>
              <w:rPr>
                <w:sz w:val="24"/>
              </w:rPr>
            </w:pPr>
            <w:r>
              <w:rPr>
                <w:sz w:val="24"/>
              </w:rPr>
              <w:t>5600（12%）</w:t>
            </w:r>
          </w:p>
        </w:tc>
        <w:tc>
          <w:tcPr>
            <w:tcW w:w="1134" w:type="dxa"/>
            <w:tcBorders>
              <w:top w:val="single" w:color="auto" w:sz="4" w:space="0"/>
              <w:left w:val="single" w:color="auto" w:sz="4" w:space="0"/>
              <w:bottom w:val="single" w:color="auto" w:sz="4" w:space="0"/>
              <w:right w:val="single" w:color="auto" w:sz="4" w:space="0"/>
            </w:tcBorders>
          </w:tcPr>
          <w:p w14:paraId="35B7FDB1">
            <w:pPr>
              <w:spacing w:line="360" w:lineRule="auto"/>
              <w:rPr>
                <w:sz w:val="24"/>
              </w:rPr>
            </w:pPr>
            <w:r>
              <w:rPr>
                <w:sz w:val="24"/>
              </w:rPr>
              <w:t>6500</w:t>
            </w:r>
          </w:p>
        </w:tc>
      </w:tr>
      <w:tr w14:paraId="083C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3881E4EB">
            <w:pPr>
              <w:spacing w:line="360" w:lineRule="auto"/>
              <w:rPr>
                <w:sz w:val="24"/>
              </w:rPr>
            </w:pPr>
            <w:r>
              <w:rPr>
                <w:sz w:val="24"/>
              </w:rPr>
              <w:t>2018年</w:t>
            </w:r>
          </w:p>
        </w:tc>
        <w:tc>
          <w:tcPr>
            <w:tcW w:w="2066" w:type="dxa"/>
            <w:tcBorders>
              <w:top w:val="single" w:color="auto" w:sz="4" w:space="0"/>
              <w:left w:val="single" w:color="auto" w:sz="4" w:space="0"/>
              <w:bottom w:val="single" w:color="auto" w:sz="4" w:space="0"/>
              <w:right w:val="single" w:color="auto" w:sz="4" w:space="0"/>
            </w:tcBorders>
          </w:tcPr>
          <w:p w14:paraId="0CA3833C">
            <w:pPr>
              <w:spacing w:line="360" w:lineRule="auto"/>
              <w:ind w:firstLine="240" w:firstLineChars="100"/>
              <w:rPr>
                <w:sz w:val="24"/>
              </w:rPr>
            </w:pPr>
            <w:r>
              <w:rPr>
                <w:sz w:val="24"/>
              </w:rPr>
              <w:t>52000 （16%）</w:t>
            </w:r>
          </w:p>
        </w:tc>
        <w:tc>
          <w:tcPr>
            <w:tcW w:w="1701" w:type="dxa"/>
            <w:tcBorders>
              <w:top w:val="single" w:color="auto" w:sz="4" w:space="0"/>
              <w:left w:val="single" w:color="auto" w:sz="4" w:space="0"/>
              <w:bottom w:val="single" w:color="auto" w:sz="4" w:space="0"/>
              <w:right w:val="single" w:color="auto" w:sz="4" w:space="0"/>
            </w:tcBorders>
          </w:tcPr>
          <w:p w14:paraId="51F880B5">
            <w:pPr>
              <w:spacing w:line="360" w:lineRule="auto"/>
              <w:rPr>
                <w:sz w:val="24"/>
              </w:rPr>
            </w:pPr>
            <w:r>
              <w:rPr>
                <w:sz w:val="24"/>
              </w:rPr>
              <w:t>5200（20.9%）</w:t>
            </w:r>
          </w:p>
        </w:tc>
        <w:tc>
          <w:tcPr>
            <w:tcW w:w="1843" w:type="dxa"/>
            <w:tcBorders>
              <w:top w:val="single" w:color="auto" w:sz="4" w:space="0"/>
              <w:left w:val="single" w:color="auto" w:sz="4" w:space="0"/>
              <w:bottom w:val="single" w:color="auto" w:sz="4" w:space="0"/>
              <w:right w:val="single" w:color="auto" w:sz="4" w:space="0"/>
            </w:tcBorders>
          </w:tcPr>
          <w:p w14:paraId="34059203">
            <w:pPr>
              <w:spacing w:line="360" w:lineRule="auto"/>
              <w:rPr>
                <w:sz w:val="24"/>
              </w:rPr>
            </w:pPr>
            <w:r>
              <w:rPr>
                <w:sz w:val="24"/>
              </w:rPr>
              <w:t>6300（12.5%）</w:t>
            </w:r>
          </w:p>
        </w:tc>
        <w:tc>
          <w:tcPr>
            <w:tcW w:w="1134" w:type="dxa"/>
            <w:tcBorders>
              <w:top w:val="single" w:color="auto" w:sz="4" w:space="0"/>
              <w:left w:val="single" w:color="auto" w:sz="4" w:space="0"/>
              <w:bottom w:val="single" w:color="auto" w:sz="4" w:space="0"/>
              <w:right w:val="single" w:color="auto" w:sz="4" w:space="0"/>
            </w:tcBorders>
          </w:tcPr>
          <w:p w14:paraId="4842AD3D">
            <w:pPr>
              <w:spacing w:line="360" w:lineRule="auto"/>
              <w:rPr>
                <w:sz w:val="24"/>
              </w:rPr>
            </w:pPr>
            <w:r>
              <w:rPr>
                <w:sz w:val="24"/>
              </w:rPr>
              <w:t>8000</w:t>
            </w:r>
          </w:p>
        </w:tc>
      </w:tr>
      <w:tr w14:paraId="02D9B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325C2295">
            <w:pPr>
              <w:spacing w:line="360" w:lineRule="auto"/>
              <w:rPr>
                <w:sz w:val="24"/>
              </w:rPr>
            </w:pPr>
            <w:r>
              <w:rPr>
                <w:sz w:val="24"/>
              </w:rPr>
              <w:t>2019年</w:t>
            </w:r>
          </w:p>
        </w:tc>
        <w:tc>
          <w:tcPr>
            <w:tcW w:w="2066" w:type="dxa"/>
            <w:tcBorders>
              <w:top w:val="single" w:color="auto" w:sz="4" w:space="0"/>
              <w:left w:val="single" w:color="auto" w:sz="4" w:space="0"/>
              <w:bottom w:val="single" w:color="auto" w:sz="4" w:space="0"/>
              <w:right w:val="single" w:color="auto" w:sz="4" w:space="0"/>
            </w:tcBorders>
          </w:tcPr>
          <w:p w14:paraId="697D9C21">
            <w:pPr>
              <w:spacing w:line="360" w:lineRule="auto"/>
              <w:ind w:firstLine="240" w:firstLineChars="100"/>
              <w:rPr>
                <w:sz w:val="24"/>
              </w:rPr>
            </w:pPr>
            <w:r>
              <w:rPr>
                <w:sz w:val="24"/>
              </w:rPr>
              <w:t>60000 （15%）</w:t>
            </w:r>
          </w:p>
        </w:tc>
        <w:tc>
          <w:tcPr>
            <w:tcW w:w="1701" w:type="dxa"/>
            <w:tcBorders>
              <w:top w:val="single" w:color="auto" w:sz="4" w:space="0"/>
              <w:left w:val="single" w:color="auto" w:sz="4" w:space="0"/>
              <w:bottom w:val="single" w:color="auto" w:sz="4" w:space="0"/>
              <w:right w:val="single" w:color="auto" w:sz="4" w:space="0"/>
            </w:tcBorders>
          </w:tcPr>
          <w:p w14:paraId="3DFD8A6B">
            <w:pPr>
              <w:spacing w:line="360" w:lineRule="auto"/>
              <w:rPr>
                <w:sz w:val="24"/>
              </w:rPr>
            </w:pPr>
            <w:r>
              <w:rPr>
                <w:sz w:val="24"/>
              </w:rPr>
              <w:t>6100（17.3%）</w:t>
            </w:r>
          </w:p>
        </w:tc>
        <w:tc>
          <w:tcPr>
            <w:tcW w:w="1843" w:type="dxa"/>
            <w:tcBorders>
              <w:top w:val="single" w:color="auto" w:sz="4" w:space="0"/>
              <w:left w:val="single" w:color="auto" w:sz="4" w:space="0"/>
              <w:bottom w:val="single" w:color="auto" w:sz="4" w:space="0"/>
              <w:right w:val="single" w:color="auto" w:sz="4" w:space="0"/>
            </w:tcBorders>
          </w:tcPr>
          <w:p w14:paraId="5D2506AA">
            <w:pPr>
              <w:spacing w:line="360" w:lineRule="auto"/>
              <w:rPr>
                <w:sz w:val="24"/>
              </w:rPr>
            </w:pPr>
            <w:r>
              <w:rPr>
                <w:sz w:val="24"/>
              </w:rPr>
              <w:t>7100（12.7%）</w:t>
            </w:r>
          </w:p>
        </w:tc>
        <w:tc>
          <w:tcPr>
            <w:tcW w:w="1134" w:type="dxa"/>
            <w:tcBorders>
              <w:top w:val="single" w:color="auto" w:sz="4" w:space="0"/>
              <w:left w:val="single" w:color="auto" w:sz="4" w:space="0"/>
              <w:bottom w:val="single" w:color="auto" w:sz="4" w:space="0"/>
              <w:right w:val="single" w:color="auto" w:sz="4" w:space="0"/>
            </w:tcBorders>
          </w:tcPr>
          <w:p w14:paraId="0523B03A">
            <w:pPr>
              <w:spacing w:line="360" w:lineRule="auto"/>
              <w:rPr>
                <w:sz w:val="24"/>
              </w:rPr>
            </w:pPr>
            <w:r>
              <w:rPr>
                <w:sz w:val="24"/>
              </w:rPr>
              <w:t>10000</w:t>
            </w:r>
          </w:p>
        </w:tc>
      </w:tr>
      <w:tr w14:paraId="2B64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Borders>
              <w:top w:val="single" w:color="auto" w:sz="4" w:space="0"/>
              <w:left w:val="single" w:color="auto" w:sz="4" w:space="0"/>
              <w:bottom w:val="single" w:color="auto" w:sz="4" w:space="0"/>
              <w:right w:val="single" w:color="auto" w:sz="4" w:space="0"/>
            </w:tcBorders>
          </w:tcPr>
          <w:p w14:paraId="694089C6">
            <w:pPr>
              <w:spacing w:line="360" w:lineRule="auto"/>
              <w:rPr>
                <w:sz w:val="24"/>
              </w:rPr>
            </w:pPr>
            <w:r>
              <w:rPr>
                <w:sz w:val="24"/>
              </w:rPr>
              <w:t>2020年</w:t>
            </w:r>
          </w:p>
        </w:tc>
        <w:tc>
          <w:tcPr>
            <w:tcW w:w="2066" w:type="dxa"/>
            <w:tcBorders>
              <w:top w:val="single" w:color="auto" w:sz="4" w:space="0"/>
              <w:left w:val="single" w:color="auto" w:sz="4" w:space="0"/>
              <w:bottom w:val="single" w:color="auto" w:sz="4" w:space="0"/>
              <w:right w:val="single" w:color="auto" w:sz="4" w:space="0"/>
            </w:tcBorders>
          </w:tcPr>
          <w:p w14:paraId="412694CF">
            <w:pPr>
              <w:spacing w:line="360" w:lineRule="auto"/>
              <w:ind w:firstLine="240" w:firstLineChars="100"/>
              <w:rPr>
                <w:sz w:val="24"/>
              </w:rPr>
            </w:pPr>
            <w:r>
              <w:rPr>
                <w:sz w:val="24"/>
              </w:rPr>
              <w:t>70000（17%）</w:t>
            </w:r>
          </w:p>
        </w:tc>
        <w:tc>
          <w:tcPr>
            <w:tcW w:w="1701" w:type="dxa"/>
            <w:tcBorders>
              <w:top w:val="single" w:color="auto" w:sz="4" w:space="0"/>
              <w:left w:val="single" w:color="auto" w:sz="4" w:space="0"/>
              <w:bottom w:val="single" w:color="auto" w:sz="4" w:space="0"/>
              <w:right w:val="single" w:color="auto" w:sz="4" w:space="0"/>
            </w:tcBorders>
          </w:tcPr>
          <w:p w14:paraId="48C2C322">
            <w:pPr>
              <w:spacing w:line="360" w:lineRule="auto"/>
              <w:rPr>
                <w:sz w:val="24"/>
              </w:rPr>
            </w:pPr>
            <w:r>
              <w:rPr>
                <w:sz w:val="24"/>
              </w:rPr>
              <w:t>7300（19.6%）</w:t>
            </w:r>
          </w:p>
        </w:tc>
        <w:tc>
          <w:tcPr>
            <w:tcW w:w="1843" w:type="dxa"/>
            <w:tcBorders>
              <w:top w:val="single" w:color="auto" w:sz="4" w:space="0"/>
              <w:left w:val="single" w:color="auto" w:sz="4" w:space="0"/>
              <w:bottom w:val="single" w:color="auto" w:sz="4" w:space="0"/>
              <w:right w:val="single" w:color="auto" w:sz="4" w:space="0"/>
            </w:tcBorders>
          </w:tcPr>
          <w:p w14:paraId="0912AF55">
            <w:pPr>
              <w:spacing w:line="360" w:lineRule="auto"/>
              <w:rPr>
                <w:sz w:val="24"/>
              </w:rPr>
            </w:pPr>
            <w:r>
              <w:rPr>
                <w:sz w:val="24"/>
              </w:rPr>
              <w:t>8100（14%）</w:t>
            </w:r>
          </w:p>
        </w:tc>
        <w:tc>
          <w:tcPr>
            <w:tcW w:w="1134" w:type="dxa"/>
            <w:tcBorders>
              <w:top w:val="single" w:color="auto" w:sz="4" w:space="0"/>
              <w:left w:val="single" w:color="auto" w:sz="4" w:space="0"/>
              <w:bottom w:val="single" w:color="auto" w:sz="4" w:space="0"/>
              <w:right w:val="single" w:color="auto" w:sz="4" w:space="0"/>
            </w:tcBorders>
          </w:tcPr>
          <w:p w14:paraId="4169EC5D">
            <w:pPr>
              <w:spacing w:line="360" w:lineRule="auto"/>
              <w:rPr>
                <w:sz w:val="24"/>
              </w:rPr>
            </w:pPr>
            <w:r>
              <w:rPr>
                <w:sz w:val="24"/>
              </w:rPr>
              <w:t>12000</w:t>
            </w:r>
          </w:p>
        </w:tc>
      </w:tr>
    </w:tbl>
    <w:p w14:paraId="7F81D53D">
      <w:pPr>
        <w:pStyle w:val="5"/>
        <w:spacing w:line="360" w:lineRule="auto"/>
        <w:rPr>
          <w:kern w:val="2"/>
          <w:sz w:val="24"/>
          <w:szCs w:val="22"/>
        </w:rPr>
      </w:pPr>
      <w:bookmarkStart w:id="58" w:name="_Toc798"/>
      <w:r>
        <w:rPr>
          <w:kern w:val="2"/>
          <w:sz w:val="24"/>
          <w:szCs w:val="22"/>
        </w:rPr>
        <w:t>重点项目：安徽山河药用辅料股份有限公司新型药用辅料系列项目</w:t>
      </w:r>
    </w:p>
    <w:p w14:paraId="47FF877B">
      <w:pPr>
        <w:pStyle w:val="14"/>
        <w:spacing w:after="0" w:line="360" w:lineRule="auto"/>
        <w:ind w:firstLine="480"/>
      </w:pPr>
      <w:r>
        <w:t>一、项目名称：新型药用辅料系列项目</w:t>
      </w:r>
    </w:p>
    <w:p w14:paraId="618B6183">
      <w:pPr>
        <w:pStyle w:val="14"/>
        <w:spacing w:after="0" w:line="360" w:lineRule="auto"/>
        <w:ind w:firstLine="480"/>
      </w:pPr>
      <w:r>
        <w:t>二、建设单位：安徽山河药用辅料股份有限公司</w:t>
      </w:r>
    </w:p>
    <w:p w14:paraId="2D115986">
      <w:pPr>
        <w:pStyle w:val="14"/>
        <w:spacing w:after="0" w:line="360" w:lineRule="auto"/>
        <w:ind w:firstLine="480"/>
      </w:pPr>
      <w:r>
        <w:t>二、建设地点：吉安路以北、长富路以南、华兴路以东、洛九路以西</w:t>
      </w:r>
    </w:p>
    <w:p w14:paraId="4D4F69DD">
      <w:pPr>
        <w:pStyle w:val="14"/>
        <w:spacing w:after="0" w:line="360" w:lineRule="auto"/>
        <w:ind w:firstLine="480"/>
      </w:pPr>
      <w:r>
        <w:t>三、项目建设内容</w:t>
      </w:r>
    </w:p>
    <w:p w14:paraId="39423B5A">
      <w:pPr>
        <w:pStyle w:val="14"/>
        <w:spacing w:after="0" w:line="360" w:lineRule="auto"/>
        <w:ind w:firstLine="480"/>
      </w:pPr>
      <w:r>
        <w:t>新型药用辅料系列项目，分两期建设，总需求用地</w:t>
      </w:r>
      <w:r>
        <w:rPr>
          <w:rFonts w:eastAsia="Arial"/>
        </w:rPr>
        <w:t>300</w:t>
      </w:r>
      <w:r>
        <w:t>亩（Ⅰ期用地</w:t>
      </w:r>
      <w:r>
        <w:rPr>
          <w:rFonts w:eastAsia="Arial"/>
        </w:rPr>
        <w:t>200</w:t>
      </w:r>
      <w:r>
        <w:t>亩，Ⅱ期用地</w:t>
      </w:r>
      <w:r>
        <w:rPr>
          <w:rFonts w:eastAsia="Arial"/>
        </w:rPr>
        <w:t>100</w:t>
      </w:r>
      <w:r>
        <w:t>亩），其中项目包括：Ⅰ期建设项目包括：</w:t>
      </w:r>
    </w:p>
    <w:p w14:paraId="1B57BA6F">
      <w:pPr>
        <w:pStyle w:val="14"/>
        <w:spacing w:after="0" w:line="360" w:lineRule="auto"/>
        <w:ind w:firstLine="480"/>
        <w:rPr>
          <w:rFonts w:eastAsia="宋体"/>
          <w:szCs w:val="22"/>
        </w:rPr>
      </w:pPr>
      <w:r>
        <w:t>1.5000吨/年微晶纤维素、200吨/年硬脂富马酸钠、500吨/年交联羧甲纤维素钠、2800</w:t>
      </w:r>
      <w:r>
        <w:rPr>
          <w:rFonts w:eastAsia="宋体"/>
          <w:szCs w:val="22"/>
        </w:rPr>
        <w:t>吨/年羟丙甲纤维素和500吨/年交联聚维酮生产装置。</w:t>
      </w:r>
    </w:p>
    <w:p w14:paraId="524FFA96">
      <w:pPr>
        <w:pStyle w:val="14"/>
        <w:spacing w:after="0" w:line="360" w:lineRule="auto"/>
        <w:ind w:firstLine="480"/>
        <w:rPr>
          <w:rFonts w:eastAsia="宋体"/>
          <w:szCs w:val="22"/>
        </w:rPr>
      </w:pPr>
      <w:r>
        <w:t>Ⅱ期建设项目品种待定</w:t>
      </w:r>
    </w:p>
    <w:p w14:paraId="23139401">
      <w:pPr>
        <w:pStyle w:val="14"/>
        <w:numPr>
          <w:ilvl w:val="0"/>
          <w:numId w:val="8"/>
        </w:numPr>
        <w:spacing w:after="0" w:line="360" w:lineRule="auto"/>
        <w:ind w:firstLine="480"/>
      </w:pPr>
      <w:r>
        <w:t>羟丙甲纤维素项目；</w:t>
      </w:r>
    </w:p>
    <w:p w14:paraId="10C13CAD">
      <w:pPr>
        <w:pStyle w:val="14"/>
        <w:numPr>
          <w:ilvl w:val="0"/>
          <w:numId w:val="8"/>
        </w:numPr>
        <w:spacing w:after="0" w:line="360" w:lineRule="auto"/>
        <w:ind w:firstLine="480"/>
      </w:pPr>
      <w:r>
        <w:t>交联聚维酮项目；</w:t>
      </w:r>
    </w:p>
    <w:p w14:paraId="0BC3AA7F">
      <w:pPr>
        <w:pStyle w:val="14"/>
        <w:numPr>
          <w:ilvl w:val="0"/>
          <w:numId w:val="8"/>
        </w:numPr>
        <w:spacing w:after="0" w:line="360" w:lineRule="auto"/>
        <w:ind w:firstLine="480"/>
      </w:pPr>
      <w:r>
        <w:t>聚维酮</w:t>
      </w:r>
      <w:r>
        <w:rPr>
          <w:rFonts w:eastAsia="Arial"/>
        </w:rPr>
        <w:t>K30</w:t>
      </w:r>
      <w:r>
        <w:t>项目；</w:t>
      </w:r>
    </w:p>
    <w:p w14:paraId="3A76957B">
      <w:pPr>
        <w:pStyle w:val="14"/>
        <w:numPr>
          <w:ilvl w:val="0"/>
          <w:numId w:val="8"/>
        </w:numPr>
        <w:spacing w:after="0" w:line="360" w:lineRule="auto"/>
        <w:ind w:firstLine="480"/>
      </w:pPr>
      <w:r>
        <w:t>硬脂富马酸钠项目；</w:t>
      </w:r>
    </w:p>
    <w:p w14:paraId="627B2ADB">
      <w:pPr>
        <w:pStyle w:val="14"/>
        <w:spacing w:after="0" w:line="360" w:lineRule="auto"/>
        <w:ind w:firstLine="480"/>
      </w:pPr>
      <w:r>
        <w:t>建设主要内容包括：办公、生产线，生产车间、污水处理、仓库等辅助建筑，水、电、汽、罐区、消防、厂区道路、绿化等配套设施。</w:t>
      </w:r>
    </w:p>
    <w:p w14:paraId="4F05ABBE">
      <w:pPr>
        <w:pStyle w:val="14"/>
        <w:spacing w:after="0" w:line="360" w:lineRule="auto"/>
        <w:ind w:firstLine="480"/>
      </w:pPr>
      <w:r>
        <w:t>项目实施过程中，严格执行国家有关消防、环保与劳动保护法规。遵循国家现行建筑防火、安全、消防、卫生、劳动保护和“三废”排放等有关规程和规定建设。</w:t>
      </w:r>
    </w:p>
    <w:p w14:paraId="20FBD091">
      <w:pPr>
        <w:pStyle w:val="14"/>
        <w:spacing w:after="0" w:line="360" w:lineRule="auto"/>
        <w:ind w:firstLine="480"/>
      </w:pPr>
      <w:r>
        <w:t>设计选用国内外先进的生产设备，检测仪器，关键设备实现自动化，智能化减轻工人的劳动强度。提高生产管理水平。</w:t>
      </w:r>
    </w:p>
    <w:p w14:paraId="29D1F9D5">
      <w:pPr>
        <w:pStyle w:val="14"/>
        <w:spacing w:after="0" w:line="360" w:lineRule="auto"/>
        <w:ind w:firstLine="480"/>
      </w:pPr>
      <w:r>
        <w:t>项目采用国内外先进的技术、工艺，选用国内外先进、成熟的生产工艺设备，按照</w:t>
      </w:r>
      <w:r>
        <w:rPr>
          <w:rFonts w:eastAsia="Arial"/>
        </w:rPr>
        <w:t>GMP</w:t>
      </w:r>
      <w:r>
        <w:t>标准对工艺装备和厂房进行设计。工艺布局按《食品药品生产管理规范》规范要求，生产硬件达到国内外同类先进企业水平。</w:t>
      </w:r>
    </w:p>
    <w:p w14:paraId="557CF3A2">
      <w:pPr>
        <w:pStyle w:val="14"/>
        <w:spacing w:after="0" w:line="360" w:lineRule="auto"/>
        <w:ind w:firstLine="480"/>
      </w:pPr>
      <w:r>
        <w:t>产品符合《中国药典》、《美国药典》及食品相关标准要求。项目生产所需的原材料国内均有供应，原料来源有保证。</w:t>
      </w:r>
    </w:p>
    <w:p w14:paraId="3E7F5517">
      <w:pPr>
        <w:pStyle w:val="14"/>
        <w:spacing w:after="0" w:line="360" w:lineRule="auto"/>
        <w:ind w:firstLine="480"/>
      </w:pPr>
      <w:r>
        <w:t>四、项目投资及效益</w:t>
      </w:r>
    </w:p>
    <w:p w14:paraId="12CC127B">
      <w:pPr>
        <w:pStyle w:val="14"/>
        <w:spacing w:after="0" w:line="360" w:lineRule="auto"/>
        <w:ind w:firstLine="480"/>
      </w:pPr>
      <w:r>
        <w:t>总投资</w:t>
      </w:r>
      <w:r>
        <w:rPr>
          <w:rFonts w:eastAsia="Arial"/>
        </w:rPr>
        <w:t>6</w:t>
      </w:r>
      <w:r>
        <w:t>亿元，其中固定资产投资</w:t>
      </w:r>
      <w:r>
        <w:rPr>
          <w:rFonts w:eastAsia="Arial"/>
        </w:rPr>
        <w:t>5</w:t>
      </w:r>
      <w:r>
        <w:t>亿元（Ⅰ期</w:t>
      </w:r>
      <w:r>
        <w:rPr>
          <w:rFonts w:eastAsia="Arial"/>
        </w:rPr>
        <w:t>1.65</w:t>
      </w:r>
      <w:r>
        <w:t>亿、Ⅱ期</w:t>
      </w:r>
      <w:r>
        <w:rPr>
          <w:rFonts w:eastAsia="Arial"/>
        </w:rPr>
        <w:t>3.35</w:t>
      </w:r>
      <w:r>
        <w:t>亿），铺底流动资金</w:t>
      </w:r>
      <w:r>
        <w:rPr>
          <w:rFonts w:eastAsia="Arial"/>
        </w:rPr>
        <w:t>1</w:t>
      </w:r>
      <w:r>
        <w:t>亿元（Ⅰ期</w:t>
      </w:r>
      <w:r>
        <w:rPr>
          <w:rFonts w:eastAsia="Arial"/>
        </w:rPr>
        <w:t>3500</w:t>
      </w:r>
      <w:r>
        <w:t>万元、Ⅱ期</w:t>
      </w:r>
      <w:r>
        <w:rPr>
          <w:rFonts w:eastAsia="Arial"/>
        </w:rPr>
        <w:t>6500</w:t>
      </w:r>
      <w:r>
        <w:t>万元）。项目达产后，新增销售收入</w:t>
      </w:r>
      <w:r>
        <w:rPr>
          <w:rFonts w:eastAsia="Arial"/>
        </w:rPr>
        <w:t>6</w:t>
      </w:r>
      <w:r>
        <w:t>亿元（Ⅰ期</w:t>
      </w:r>
      <w:r>
        <w:rPr>
          <w:rFonts w:eastAsia="Arial"/>
        </w:rPr>
        <w:t>2</w:t>
      </w:r>
      <w:r>
        <w:t>亿、Ⅱ期</w:t>
      </w:r>
      <w:r>
        <w:rPr>
          <w:rFonts w:eastAsia="Arial"/>
        </w:rPr>
        <w:t>4</w:t>
      </w:r>
      <w:r>
        <w:t>亿），新增税收</w:t>
      </w:r>
      <w:r>
        <w:rPr>
          <w:rFonts w:eastAsia="Arial"/>
        </w:rPr>
        <w:t>4500</w:t>
      </w:r>
      <w:r>
        <w:t>万元（Ⅰ期</w:t>
      </w:r>
      <w:r>
        <w:rPr>
          <w:rFonts w:eastAsia="Arial"/>
        </w:rPr>
        <w:t>1500</w:t>
      </w:r>
      <w:r>
        <w:t xml:space="preserve">、Ⅱ期各 </w:t>
      </w:r>
      <w:r>
        <w:rPr>
          <w:rFonts w:eastAsia="Arial"/>
        </w:rPr>
        <w:t>3000</w:t>
      </w:r>
      <w:r>
        <w:t>万元），新增净利润</w:t>
      </w:r>
      <w:r>
        <w:rPr>
          <w:rFonts w:eastAsia="Arial"/>
        </w:rPr>
        <w:t>9000</w:t>
      </w:r>
      <w:r>
        <w:t>万元（Ⅰ期</w:t>
      </w:r>
      <w:r>
        <w:rPr>
          <w:rFonts w:eastAsia="Arial"/>
        </w:rPr>
        <w:t>3000</w:t>
      </w:r>
      <w:r>
        <w:t>、Ⅱ期</w:t>
      </w:r>
      <w:r>
        <w:rPr>
          <w:rFonts w:eastAsia="Arial"/>
        </w:rPr>
        <w:t>6000</w:t>
      </w:r>
      <w:r>
        <w:t>万元）。</w:t>
      </w:r>
    </w:p>
    <w:p w14:paraId="1F30966B">
      <w:pPr>
        <w:pStyle w:val="5"/>
        <w:spacing w:line="360" w:lineRule="auto"/>
        <w:rPr>
          <w:kern w:val="2"/>
          <w:sz w:val="24"/>
          <w:szCs w:val="22"/>
        </w:rPr>
      </w:pPr>
      <w:r>
        <w:rPr>
          <w:kern w:val="2"/>
          <w:sz w:val="24"/>
          <w:szCs w:val="22"/>
        </w:rPr>
        <w:t>2.制药生产环节龙头企业——国药集团国瑞药业有限公司（以下简称国瑞药业）</w:t>
      </w:r>
      <w:bookmarkEnd w:id="58"/>
    </w:p>
    <w:p w14:paraId="525B12B5">
      <w:pPr>
        <w:spacing w:line="360" w:lineRule="auto"/>
        <w:ind w:firstLine="600"/>
        <w:rPr>
          <w:sz w:val="24"/>
        </w:rPr>
      </w:pPr>
      <w:r>
        <w:rPr>
          <w:sz w:val="24"/>
        </w:rPr>
        <w:t>国药集团国瑞药业有限公司原名淮南市第六制药厂，始建于1986年，1998年以整体划拨的方式加入中国医药(集团)公司,更名为国药集团国瑞药业有限公司。是中国医药集团总公司重要的工业战略发展基地之一。</w:t>
      </w:r>
    </w:p>
    <w:p w14:paraId="524E55FC">
      <w:pPr>
        <w:spacing w:line="360" w:lineRule="auto"/>
        <w:ind w:firstLine="600"/>
        <w:rPr>
          <w:sz w:val="24"/>
        </w:rPr>
      </w:pPr>
      <w:r>
        <w:rPr>
          <w:sz w:val="24"/>
        </w:rPr>
        <w:t>2014年根据淮南市政府“退城进园”要求，整体搬迁至淮南市经济技术开发区，占地251.85亩建筑面积5.6万m</w:t>
      </w:r>
      <w:r>
        <w:rPr>
          <w:sz w:val="24"/>
          <w:vertAlign w:val="superscript"/>
        </w:rPr>
        <w:t>2</w:t>
      </w:r>
      <w:r>
        <w:rPr>
          <w:sz w:val="24"/>
        </w:rPr>
        <w:t>，目前累计投资4.97亿元。截至2018年7月，公司资产总额147118.7万元，净资产100681.45万元，资产负债率31.56% 。现拥有专利48项，其中国外专利2项，国内发明专利20项，实用新型专利24项，外观设计专利2项，是安徽省重点支持的国家高新技术企业，连续两届获得安徽省医药质量管理奖荣誉称号，是安徽省质量管理示范企业。</w:t>
      </w:r>
    </w:p>
    <w:p w14:paraId="1029073E">
      <w:pPr>
        <w:spacing w:line="360" w:lineRule="auto"/>
        <w:ind w:firstLine="600"/>
        <w:rPr>
          <w:sz w:val="24"/>
        </w:rPr>
      </w:pPr>
      <w:r>
        <w:rPr>
          <w:sz w:val="24"/>
        </w:rPr>
        <w:t>国瑞药业目前已形成非致敏性抗感染药、心脑血管药、肿瘤疾病治疗药（非细胞毒性）、呼吸系统用药四类产品线；现有剂型：冻干粉针剂、粉针剂（含头孢菌素类）、小容量注射剂、口服固体制剂（片剂、硬胶囊剂）、原料药。现有107个品种，162个规格的产品批准文号。</w:t>
      </w:r>
    </w:p>
    <w:p w14:paraId="109D71ED">
      <w:pPr>
        <w:spacing w:line="360" w:lineRule="auto"/>
        <w:ind w:firstLine="600" w:firstLineChars="250"/>
        <w:rPr>
          <w:sz w:val="24"/>
        </w:rPr>
      </w:pPr>
      <w:r>
        <w:rPr>
          <w:sz w:val="24"/>
        </w:rPr>
        <w:t>为适应公司快速发展的脚步，国瑞药业与2018年3月份正式启动“退城进园二期项目”，该项目计划总投资1.2亿元，其中固定资产投资1.02亿元，流动资金为1800万元，资金来源均为企业自筹资金。项目建设内容：利用公司原有土地预留区域建设综合制剂车间（二），在其内部新建一条年产能9000万支小容量注射剂生产线，以及配套的公用工程、仓库，另建设一个配套的污水收集池（1000立方米）。</w:t>
      </w:r>
    </w:p>
    <w:p w14:paraId="4B2303C9">
      <w:pPr>
        <w:spacing w:line="360" w:lineRule="auto"/>
        <w:ind w:firstLine="600"/>
        <w:rPr>
          <w:sz w:val="24"/>
        </w:rPr>
      </w:pPr>
      <w:r>
        <w:rPr>
          <w:sz w:val="24"/>
        </w:rPr>
        <w:t>展望未来，国瑞药业依托国药集团的优势平台，坚持“质量固本、科技兴企、持续创新”的工作思路，围绕非致敏性抗感染药心脑血管药、肿瘤疾病治疗药（非细胞毒性）、呼吸系统药、麻精类产品线布局新产品研发方向，打造以冻干产品研究与生产为核心的质量品牌；以特色化产品为亮点的小容量注射剂品牌；以缓控释技术为手段深度开发口服固体制剂；以高精尖为技术标准建设精细化工原料药基地的精品国瑞。</w:t>
      </w:r>
    </w:p>
    <w:p w14:paraId="45F869CB">
      <w:pPr>
        <w:spacing w:line="360" w:lineRule="auto"/>
        <w:ind w:firstLine="600" w:firstLineChars="250"/>
        <w:rPr>
          <w:sz w:val="24"/>
        </w:rPr>
      </w:pPr>
      <w:r>
        <w:rPr>
          <w:sz w:val="24"/>
        </w:rPr>
        <w:t>企业发展战略：</w:t>
      </w:r>
    </w:p>
    <w:p w14:paraId="51688425">
      <w:pPr>
        <w:spacing w:line="360" w:lineRule="auto"/>
        <w:ind w:firstLine="600" w:firstLineChars="250"/>
        <w:rPr>
          <w:sz w:val="24"/>
        </w:rPr>
      </w:pPr>
      <w:r>
        <w:rPr>
          <w:sz w:val="24"/>
        </w:rPr>
        <w:t>1、向麻精药（及含麻复方制剂）生产基地转型。已取得14个精神药品的国家局立项批件。具备承接麻精药定点生产的硬件基础。母公司国药股份是国家麻精药品的一级经销商。</w:t>
      </w:r>
    </w:p>
    <w:p w14:paraId="70FB5BF5">
      <w:pPr>
        <w:spacing w:line="360" w:lineRule="auto"/>
        <w:ind w:firstLine="480" w:firstLineChars="200"/>
        <w:rPr>
          <w:sz w:val="24"/>
        </w:rPr>
      </w:pPr>
      <w:r>
        <w:rPr>
          <w:sz w:val="24"/>
        </w:rPr>
        <w:t>2、开拓特医食品生产领域。以股份公司为依托，建立特医食品生产基地。</w:t>
      </w:r>
    </w:p>
    <w:p w14:paraId="432CD17D">
      <w:pPr>
        <w:spacing w:line="360" w:lineRule="auto"/>
        <w:ind w:firstLine="480" w:firstLineChars="200"/>
        <w:rPr>
          <w:sz w:val="24"/>
        </w:rPr>
      </w:pPr>
      <w:r>
        <w:rPr>
          <w:sz w:val="24"/>
        </w:rPr>
        <w:t>3、重视差异化发展。拟拓展鼻喷、吸入溶液等新剂型，承接特医食品生产等合作，拓展新领域，寻求差异化发展</w:t>
      </w:r>
    </w:p>
    <w:p w14:paraId="4B551005">
      <w:pPr>
        <w:spacing w:line="360" w:lineRule="auto"/>
        <w:ind w:firstLine="480" w:firstLineChars="200"/>
        <w:rPr>
          <w:sz w:val="24"/>
        </w:rPr>
      </w:pPr>
      <w:r>
        <w:rPr>
          <w:sz w:val="24"/>
        </w:rPr>
        <w:t>4、建立高端创新型药品生产基地。通过国药集团品牌资金优势，适时与国内国际技术资源对接，孵化国内外先进技术。</w:t>
      </w:r>
    </w:p>
    <w:p w14:paraId="7B91F316">
      <w:pPr>
        <w:spacing w:line="360" w:lineRule="auto"/>
        <w:ind w:firstLine="600"/>
        <w:rPr>
          <w:sz w:val="24"/>
        </w:rPr>
      </w:pPr>
      <w:r>
        <w:rPr>
          <w:sz w:val="24"/>
        </w:rPr>
        <w:t>公司将秉承“关爱生命、呵护健康”的工作理念，致力于人类健康为己任，凭借高度的社会责任感，通过持续的技术创新，创中国一流制药企业。</w:t>
      </w:r>
      <w:bookmarkStart w:id="59" w:name="_Toc21502"/>
    </w:p>
    <w:p w14:paraId="363A6E46">
      <w:pPr>
        <w:spacing w:line="360" w:lineRule="auto"/>
        <w:ind w:firstLine="600"/>
        <w:rPr>
          <w:sz w:val="24"/>
        </w:rPr>
      </w:pPr>
      <w:r>
        <w:rPr>
          <w:sz w:val="24"/>
        </w:rPr>
        <w:t>3.生产服务环节龙头企业——淮南新欣医药物流有限公司（以下简称新欣物流）</w:t>
      </w:r>
      <w:bookmarkEnd w:id="59"/>
    </w:p>
    <w:p w14:paraId="4E8B7359">
      <w:pPr>
        <w:spacing w:line="360" w:lineRule="auto"/>
        <w:ind w:firstLine="480" w:firstLineChars="200"/>
        <w:rPr>
          <w:sz w:val="24"/>
        </w:rPr>
      </w:pPr>
      <w:r>
        <w:rPr>
          <w:sz w:val="24"/>
        </w:rPr>
        <w:t>新欣物流是一家新型专业医药流通企业，拥有安徽省内单体面积最大、设备最先进的物流中心。公司下设专门的配送中心，主要从事中药材、中成药、中药饮片、化学药制剂、抗生素、生化药品、生物制品、诊断药品、医疗器械、医用保健品等仓储和配送。2014年，公司资产规模近4.2亿元，销售收入8亿多元，上缴税金2000多万。</w:t>
      </w:r>
    </w:p>
    <w:p w14:paraId="79DAEB86">
      <w:pPr>
        <w:spacing w:line="360" w:lineRule="auto"/>
        <w:ind w:firstLine="480" w:firstLineChars="200"/>
        <w:rPr>
          <w:b/>
          <w:sz w:val="24"/>
        </w:rPr>
      </w:pPr>
      <w:r>
        <w:rPr>
          <w:sz w:val="24"/>
        </w:rPr>
        <w:t>在现代物流理念和标准体系建设基础上，新欣物流构建起集物流、信息流、资金流为一体的商务平台，切实做到交易电子化、信息网络化和配送服务一体化。借助于物流信息系统、WMS系统等平台建设，企业管理水平大幅提升。首先，在仓储管理上，企业将原来零散不分的粗放管理模式改为零散分开管理；并将原来按剂型、地堆的存储模式改为按货品存储属性、货位分类存储，优化了仓库重复利用率。其次，通过拣货流水线和电子标签等现代化辅助设备的应用，企业的拣货、复核准确度明显提高，仓库拣货效率大幅提升。未来，公司还将审时度势，及时调整经营方向，力争在稳定主业的基础上转型发展，实现多元化发展战略目标。</w:t>
      </w:r>
    </w:p>
    <w:p w14:paraId="47C06B1C">
      <w:pPr>
        <w:spacing w:line="360" w:lineRule="auto"/>
        <w:ind w:firstLine="482" w:firstLineChars="200"/>
        <w:rPr>
          <w:b/>
          <w:sz w:val="24"/>
        </w:rPr>
      </w:pPr>
      <w:r>
        <w:rPr>
          <w:b/>
          <w:sz w:val="24"/>
        </w:rPr>
        <w:t>洁净医药化工产业链如下图：</w:t>
      </w:r>
    </w:p>
    <w:p w14:paraId="444B270D">
      <w:pPr>
        <w:spacing w:afterLines="50" w:line="440" w:lineRule="exact"/>
        <w:ind w:firstLine="560" w:firstLineChars="200"/>
        <w:rPr>
          <w:rFonts w:eastAsia="楷体_GB2312"/>
          <w:b/>
          <w:bCs/>
          <w:sz w:val="36"/>
          <w:szCs w:val="36"/>
        </w:rPr>
      </w:pPr>
      <w:r>
        <w:rPr>
          <w:szCs w:val="24"/>
        </w:rPr>
        <w:pict>
          <v:roundrect id="_x0000_s1074" o:spid="_x0000_s1074" o:spt="2" style="position:absolute;left:0pt;margin-left:306pt;margin-top:15.5pt;height:29.55pt;width:67.5pt;z-index:251662336;v-text-anchor:middle;mso-width-relative:page;mso-height-relative:page;" fillcolor="#EAEAEA" filled="t" stroked="t" coordsize="21600,21600" arcsize="0.166666666666667" o:gfxdata="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F6AiP1wAAAAkBAAAPAAAAAAAAAAEAIAAAACIA&#10;AABkcnMvZG93bnJldi54bWxQSwECFAAUAAAACACHTuJArN+sL0MCAAB8BAAADgAAAAAAAAABACAA&#10;AAAmAQAAZHJzL2Uyb0RvYy54bWxQSwUGAAAAAAYABgBZAQAA2wUAAAAA&#10;">
            <v:path/>
            <v:fill on="t" focussize="0,0"/>
            <v:stroke weight="2pt" color="#AAE2CA"/>
            <v:imagedata o:title=""/>
            <o:lock v:ext="edit"/>
            <v:textbox>
              <w:txbxContent>
                <w:p w14:paraId="12BF7174">
                  <w:pPr>
                    <w:rPr>
                      <w:szCs w:val="21"/>
                    </w:rPr>
                  </w:pPr>
                  <w:r>
                    <w:rPr>
                      <w:rFonts w:hint="eastAsia"/>
                      <w:szCs w:val="21"/>
                    </w:rPr>
                    <w:t>抗菌管材</w:t>
                  </w:r>
                </w:p>
              </w:txbxContent>
            </v:textbox>
          </v:roundrect>
        </w:pict>
      </w:r>
      <w:r>
        <w:rPr>
          <w:szCs w:val="24"/>
        </w:rPr>
        <w:pict>
          <v:rect id="_x0000_s1073" o:spid="_x0000_s1073" o:spt="1" style="position:absolute;left:0pt;margin-left:34.85pt;margin-top:16.1pt;height:28.35pt;width:86.25pt;z-index:251663360;v-text-anchor:middle;mso-width-relative:page;mso-height-relative:page;" fillcolor="#EAEAEA" filled="t" stroked="t" coordsize="21600,21600" o:gfxdata="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zYSTtcAAAAIAQAADwAAAAAAAAABACAAAAAiAAAA&#10;ZHJzL2Rvd25yZXYueG1sUEsBAhQAFAAAAAgAh07iQGPCwjRBAgAAgQQAAA4AAAAAAAAAAQAgAAAA&#10;JgEAAGRycy9lMm9Eb2MueG1sUEsFBgAAAAAGAAYAWQEAANkFAAAAAA==&#10;">
            <v:path/>
            <v:fill on="t" focussize="0,0"/>
            <v:stroke weight="2pt" color="#BBE0E3"/>
            <v:imagedata o:title=""/>
            <o:lock v:ext="edit"/>
            <v:textbox>
              <w:txbxContent>
                <w:p w14:paraId="2F237037">
                  <w:pPr>
                    <w:rPr>
                      <w:szCs w:val="21"/>
                    </w:rPr>
                  </w:pPr>
                  <w:r>
                    <w:rPr>
                      <w:rFonts w:hint="eastAsia"/>
                      <w:szCs w:val="21"/>
                    </w:rPr>
                    <w:t>医疗器械生产</w:t>
                  </w:r>
                </w:p>
              </w:txbxContent>
            </v:textbox>
          </v:rect>
        </w:pict>
      </w:r>
      <w:r>
        <w:rPr>
          <w:szCs w:val="24"/>
        </w:rPr>
        <w:pict>
          <v:roundrect id="_x0000_s1072" o:spid="_x0000_s1072" o:spt="2" style="position:absolute;left:0pt;margin-left:387pt;margin-top:15.5pt;height:29.55pt;width:63pt;z-index:251664384;v-text-anchor:middle;mso-width-relative:page;mso-height-relative:page;" fillcolor="#EAEAEA" filled="t" stroked="t" coordsize="21600,21600" arcsize="0.166666666666667" o:gfxdata="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KEcKDVAAAACQEAAA8AAAAAAAAAAQAgAAAAIgAAAGRycy9k&#10;b3ducmV2LnhtbFBLAQIUABQAAAAIAIdO4kDbADk0PgIAAHwEAAAOAAAAAAAAAAEAIAAAACQBAABk&#10;cnMvZTJvRG9jLnhtbFBLBQYAAAAABgAGAFkBAADUBQAAAAA=&#10;">
            <v:path/>
            <v:fill on="t" focussize="0,0"/>
            <v:stroke weight="2pt" color="#AAE2CA"/>
            <v:imagedata o:title=""/>
            <o:lock v:ext="edit"/>
            <v:textbox>
              <w:txbxContent>
                <w:p w14:paraId="24BD2D66">
                  <w:pPr>
                    <w:rPr>
                      <w:szCs w:val="21"/>
                    </w:rPr>
                  </w:pPr>
                  <w:r>
                    <w:rPr>
                      <w:rFonts w:hint="eastAsia"/>
                      <w:szCs w:val="21"/>
                    </w:rPr>
                    <w:t>医用敷料</w:t>
                  </w:r>
                </w:p>
              </w:txbxContent>
            </v:textbox>
          </v:roundrect>
        </w:pict>
      </w:r>
      <w:r>
        <w:rPr>
          <w:szCs w:val="24"/>
        </w:rPr>
        <w:pict>
          <v:rect id="_x0000_s1071" o:spid="_x0000_s1071" o:spt="1" style="position:absolute;left:0pt;flip:y;margin-left:143.1pt;margin-top:19.9pt;height:10pt;width:9.9pt;z-index:251665408;v-text-anchor:middle;mso-width-relative:page;mso-height-relative:page;" filled="f" stroked="f" coordsize="21600,21600" o:gfxdata="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8+Big1QAAAAkBAAAPAAAAAAAAAAEAIAAAACIA&#10;AABkcnMvZG93bnJldi54bWxQSwECFAAUAAAACACHTuJA5hf/ewwCAAAZBAAADgAAAAAAAAABACAA&#10;AAAkAQAAZHJzL2Uyb0RvYy54bWxQSwUGAAAAAAYABgBZAQAAogUAAAAA&#10;">
            <v:path/>
            <v:fill on="f" focussize="0,0"/>
            <v:stroke on="f"/>
            <v:imagedata o:title=""/>
            <o:lock v:ext="edit"/>
            <v:textbox inset="1.27mm,1.27mm,1.27mm,1.27mm">
              <w:txbxContent>
                <w:p w14:paraId="0D0AB28C"/>
              </w:txbxContent>
            </v:textbox>
          </v:rect>
        </w:pict>
      </w:r>
      <w:r>
        <w:rPr>
          <w:szCs w:val="24"/>
        </w:rPr>
        <w:pict>
          <v:shape id="_x0000_s1070" o:spid="_x0000_s1070" o:spt="100" style="position:absolute;left:0pt;margin-left:142.7pt;margin-top:19.8pt;height:24.75pt;width:60.75pt;z-index:251680768;v-text-anchor:middle;mso-width-relative:page;mso-height-relative:page;" fillcolor="#BBD5F0" filled="t" stroked="f" coordsize="7382320,3528392" o:gfxdata="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" path="m2226629,1008112l3470622,1008112,3470622,2520280,2226629,2520280,2226629,1008112xm887362,1008112l1843323,1008112,1843323,2520280,887362,2520280,887362,1008112xm0,1008112l504056,1008112,504056,2520280,0,2520280,0,1008112xm5222080,0l7382320,1764196,5222080,3528392,5222080,2520280,3853928,2520280,3853928,1008112,5222080,1008112,5222080,0xe">
            <v:path o:connecttype="segments" o:connectlocs="232705,89807;362714,89807;362714,224518;232705,224518;232705,89807;92738,89807;192645,89807;192645,224518;92738,224518;92738,89807;0,89807;52679,89807;52679,224518;0,224518;0,89807;545759,0;771525,157163;545759,314325;545759,224518;402773,224518;402773,89807;545759,89807;545759,0" o:connectangles="0,0,0,0,0,0,0,0,0,0,0,0,0,0,0,0,0,0,0,0,0,0,0"/>
            <v:fill type="gradient" on="t" color2="#9CBEE0" focus="100%" focussize="0f,0f">
              <o:fill type="gradientUnscaled" v:ext="backwardCompatible"/>
            </v:fill>
            <v:stroke on="f" joinstyle="round"/>
            <v:imagedata o:title=""/>
            <o:lock v:ext="edit"/>
          </v:shape>
        </w:pict>
      </w:r>
      <w:r>
        <w:rPr>
          <w:szCs w:val="24"/>
        </w:rPr>
        <w:pict>
          <v:roundrect id="_x0000_s1069" o:spid="_x0000_s1069" o:spt="2" style="position:absolute;left:0pt;margin-left:216pt;margin-top:15.5pt;height:30.2pt;width:81pt;z-index:251666432;v-text-anchor:middle;mso-width-relative:page;mso-height-relative:page;" fillcolor="#EAEAEA" filled="t" stroked="t" coordsize="21600,21600" arcsize="0.166666666666667" o:gfxdata="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ALhnYAAAACQEAAA8AAAAAAAAAAQAgAAAA&#10;IgAAAGRycy9kb3ducmV2LnhtbFBLAQIUABQAAAAIAIdO4kDWUkOKRAIAAH0EAAAOAAAAAAAAAAEA&#10;IAAAACcBAABkcnMvZTJvRG9jLnhtbFBLBQYAAAAABgAGAFkBAADdBQAAAAA=&#10;">
            <v:path/>
            <v:fill on="t" focussize="0,0"/>
            <v:stroke weight="2pt" color="#AAE2CA"/>
            <v:imagedata o:title=""/>
            <o:lock v:ext="edit"/>
            <v:textbox>
              <w:txbxContent>
                <w:p w14:paraId="6BE56BDF">
                  <w:pPr>
                    <w:rPr>
                      <w:szCs w:val="21"/>
                    </w:rPr>
                  </w:pPr>
                  <w:r>
                    <w:rPr>
                      <w:rFonts w:hint="eastAsia"/>
                      <w:szCs w:val="21"/>
                    </w:rPr>
                    <w:t>电子售药机</w:t>
                  </w:r>
                </w:p>
              </w:txbxContent>
            </v:textbox>
          </v:roundrect>
        </w:pict>
      </w:r>
    </w:p>
    <w:p w14:paraId="33DAE221">
      <w:pPr>
        <w:tabs>
          <w:tab w:val="right" w:pos="8997"/>
        </w:tabs>
        <w:spacing w:afterLines="50" w:line="440" w:lineRule="exact"/>
        <w:ind w:firstLine="560" w:firstLineChars="200"/>
        <w:rPr>
          <w:rFonts w:eastAsia="楷体_GB2312"/>
          <w:b/>
          <w:bCs/>
          <w:sz w:val="36"/>
          <w:szCs w:val="36"/>
        </w:rPr>
      </w:pPr>
      <w:r>
        <w:rPr>
          <w:szCs w:val="24"/>
        </w:rPr>
        <w:pict>
          <v:shape id="_x0000_s1068" o:spid="_x0000_s1068" o:spt="68" type="#_x0000_t68" style="position:absolute;left:0pt;margin-left:69.4pt;margin-top:19.25pt;height:38.8pt;width:17.95pt;z-index:251681792;mso-width-relative:page;mso-height-relative:page;" fillcolor="#9CBEE0" filled="t" stroked="t" coordsize="21600,21600" o:gfxdata="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G4i7LVAAAACgEAAA8AAAAAAAAAAQAgAAAAIgAAAGRy&#10;cy9kb3ducmV2LnhtbFBLAQIUABQAAAAIAIdO4kBe/2yTswIAAJUFAAAOAAAAAAAAAAEAIAAAACQB&#10;AABkcnMvZTJvRG9jLnhtbFBLBQYAAAAABgAGAFkBAABJBgAAAAA=&#10;">
            <v:path/>
            <v:fill type="gradient" on="t" color2="#CCFFFF" angle="45" focus="50%" focussize="0f,0f"/>
            <v:stroke weight="1.25pt" color="#739CC3" joinstyle="miter"/>
            <v:imagedata o:title=""/>
            <o:lock v:ext="edit"/>
            <v:textbox style="layout-flow:vertical-ideographic;"/>
          </v:shape>
        </w:pict>
      </w:r>
      <w:r>
        <w:rPr>
          <w:rFonts w:eastAsia="楷体_GB2312"/>
          <w:b/>
          <w:bCs/>
          <w:sz w:val="36"/>
          <w:szCs w:val="36"/>
        </w:rPr>
        <w:tab/>
      </w:r>
    </w:p>
    <w:p w14:paraId="5DFBE1E5">
      <w:pPr>
        <w:spacing w:afterLines="50" w:line="440" w:lineRule="exact"/>
        <w:ind w:firstLine="560" w:firstLineChars="200"/>
        <w:rPr>
          <w:rFonts w:eastAsia="楷体_GB2312"/>
          <w:b/>
          <w:bCs/>
          <w:sz w:val="36"/>
          <w:szCs w:val="36"/>
        </w:rPr>
      </w:pPr>
      <w:r>
        <w:rPr>
          <w:szCs w:val="24"/>
        </w:rPr>
        <w:pict>
          <v:shape id="_x0000_s1067" o:spid="_x0000_s1067" o:spt="3" type="#_x0000_t3" style="position:absolute;left:0pt;margin-left:43.65pt;margin-top:41.05pt;height:61.15pt;width:63.7pt;z-index:251667456;v-text-anchor:middle;mso-width-relative:page;mso-height-relative:page;" filled="t" stroked="f" coordsize="21600,21600" o:gfxdata="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O2lsW2AAAAAkBAAAPAAAAAAAAAAEAIAAAACIAAABkcnMvZG93bnJldi54bWxQSwECFAAUAAAA&#10;CACHTuJAJHWVzWACAADEBAAADgAAAAAAAAABACAAAAAnAQAAZHJzL2Uyb0RvYy54bWxQSwUGAAAA&#10;AAYABgBZAQAA+QUAAAAA&#10;">
            <v:path/>
            <v:fill type="gradient" on="t" color2="#D6E1E2" focus="100%" focussize="0f,0f" rotate="t"/>
            <v:stroke on="f"/>
            <v:imagedata o:title=""/>
            <o:lock v:ext="edit"/>
            <v:textbox>
              <w:txbxContent>
                <w:p w14:paraId="74EF5FDD"/>
              </w:txbxContent>
            </v:textbox>
          </v:shape>
        </w:pict>
      </w:r>
      <w:r>
        <w:rPr>
          <w:szCs w:val="24"/>
        </w:rPr>
        <w:pict>
          <v:shape id="_x0000_s1066" o:spid="_x0000_s1066" o:spt="3" type="#_x0000_t3" style="position:absolute;left:0pt;margin-left:46.45pt;margin-top:28.9pt;height:75.3pt;width:71.55pt;z-index:251668480;v-text-anchor:middle;mso-width-relative:page;mso-height-relative:page;" fillcolor="#AAB2B3" filled="t" stroked="f" coordsize="21600,21600" o:gfxdata="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TYkyf2QAAAAkBAAAPAAAAAAAAAAEAIAAAACIAAABkcnMvZG93bnJldi54bWxQSwEC&#10;FAAUAAAACACHTuJAxKHcAmUCAADGBAAADgAAAAAAAAABACAAAAAoAQAAZHJzL2Uyb0RvYy54bWxQ&#10;SwUGAAAAAAYABgBZAQAA/wUAAAAA&#10;">
            <v:path/>
            <v:fill type="gradient" on="t" color2="#D6E1E2" focus="100%" focussize="0f,0f" rotate="t"/>
            <v:stroke on="f"/>
            <v:imagedata o:title=""/>
            <o:lock v:ext="edit"/>
            <v:textbox>
              <w:txbxContent>
                <w:p w14:paraId="64ECAE3F"/>
              </w:txbxContent>
            </v:textbox>
          </v:shape>
        </w:pict>
      </w:r>
      <w:r>
        <w:rPr>
          <w:szCs w:val="24"/>
        </w:rPr>
        <w:pict>
          <v:shape id="_x0000_s1065" o:spid="_x0000_s1065" o:spt="3" type="#_x0000_t3" style="position:absolute;left:0pt;margin-left:45.75pt;margin-top:28.9pt;height:80.45pt;width:75.35pt;z-index:251669504;v-text-anchor:middle;mso-width-relative:page;mso-height-relative:page;" fillcolor="#D6E1E2" filled="t" stroked="f" coordsize="21600,21600" o:gfxdata="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5VckzZAAAACQEAAA8AAAAAAAAAAQAgAAAAIgAAAGRycy9kb3ducmV2LnhtbFBLAQIU&#10;ABQAAAAIAIdO4kBpFdyPZAIAAMUEAAAOAAAAAAAAAAEAIAAAACgBAABkcnMvZTJvRG9jLnhtbFBL&#10;BQYAAAAABgAGAFkBAAD+BQAAAAA=&#10;">
            <v:path/>
            <v:fill type="gradient" on="t" color2="#F1F5F5" focus="100%" focussize="0f,0f" rotate="t"/>
            <v:stroke on="f"/>
            <v:imagedata o:title=""/>
            <o:lock v:ext="edit"/>
            <v:textbox>
              <w:txbxContent>
                <w:p w14:paraId="221A143E"/>
              </w:txbxContent>
            </v:textbox>
          </v:shape>
        </w:pict>
      </w:r>
      <w:r>
        <w:rPr>
          <w:szCs w:val="24"/>
        </w:rPr>
        <w:pict>
          <v:shape id="_x0000_s1064" o:spid="_x0000_s1064" o:spt="3" type="#_x0000_t3" style="position:absolute;left:0pt;margin-left:44.7pt;margin-top:28.55pt;height:82.6pt;width:77.1pt;z-index:251670528;v-text-anchor:middle;mso-width-relative:page;mso-height-relative:page;" fillcolor="#636869" filled="t" stroked="f" coordsize="21600,21600" o:gfxdata="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DzYa9kAAAAJAQAADwAAAAAAAAABACAAAAAiAAAAZHJzL2Rvd25yZXYueG1sUEsBAhQA&#10;FAAAAAgAh07iQM+9MxBjAgAAxwQAAA4AAAAAAAAAAQAgAAAAKAEAAGRycy9lMm9Eb2MueG1sUEsF&#10;BgAAAAAGAAYAWQEAAP0FAAAAAA==&#10;">
            <v:path/>
            <v:fill type="gradient" on="t" color2="#D6E1E2" focus="100%" focussize="0f,0f" rotate="t"/>
            <v:stroke on="f"/>
            <v:imagedata o:title=""/>
            <o:lock v:ext="edit"/>
            <v:textbox>
              <w:txbxContent>
                <w:p w14:paraId="6E35C30E"/>
              </w:txbxContent>
            </v:textbox>
          </v:shape>
        </w:pict>
      </w:r>
      <w:r>
        <w:rPr>
          <w:szCs w:val="24"/>
        </w:rPr>
        <w:pict>
          <v:shape id="_x0000_s1063" o:spid="_x0000_s1063" o:spt="3" type="#_x0000_t3" style="position:absolute;left:0pt;margin-left:43.2pt;margin-top:29.15pt;height:85.55pt;width:77.3pt;z-index:251671552;v-text-anchor:middle;mso-width-relative:page;mso-height-relative:page;" fillcolor="#000000" filled="t" stroked="f" coordsize="21600,21600" o:gfxdata="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qfN&#10;itgAAAAJAQAADwAAAAAAAAABACAAAAAiAAAAZHJzL2Rvd25yZXYueG1sUEsBAhQAFAAAAAgAh07i&#10;QDhrBbEiAgAAPAQAAA4AAAAAAAAAAQAgAAAAJwEAAGRycy9lMm9Eb2MueG1sUEsFBgAAAAAGAAYA&#10;WQEAALsFAAAAAA==&#10;">
            <v:path/>
            <v:fill on="t" focussize="0,0"/>
            <v:stroke on="f"/>
            <v:imagedata o:title=""/>
            <o:lock v:ext="edit"/>
            <v:textbox>
              <w:txbxContent>
                <w:p w14:paraId="7B3DD49B"/>
              </w:txbxContent>
            </v:textbox>
          </v:shape>
        </w:pict>
      </w:r>
      <w:r>
        <w:rPr>
          <w:szCs w:val="24"/>
        </w:rPr>
        <w:pict>
          <v:shape id="_x0000_s1062" o:spid="_x0000_s1062" o:spt="3" type="#_x0000_t3" style="position:absolute;left:0pt;margin-left:35.1pt;margin-top:21.15pt;height:100.65pt;width:93.5pt;z-index:251672576;v-text-anchor:middle;mso-width-relative:page;mso-height-relative:page;" fillcolor="#FF99CC" filled="t" stroked="f" coordsize="21600,21600" o:gfxdata="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A9DNtkAAAAJAQAADwAAAAAAAAABACAAAAAiAAAAZHJzL2Rvd25yZXYueG1sUEsBAhQA&#10;FAAAAAgAh07iQDbiD8BjAgAAxgQAAA4AAAAAAAAAAQAgAAAAKAEAAGRycy9lMm9Eb2MueG1sUEsF&#10;BgAAAAAGAAYAWQEAAP0FAAAAAA==&#10;">
            <v:path/>
            <v:fill type="gradient" on="t" color2="#FFFF99" focus="100%" focussize="0f,0f"/>
            <v:stroke on="f"/>
            <v:imagedata o:title=""/>
            <o:lock v:ext="edit"/>
            <v:textbox inset="7.19992125984252pt,1.27mm,7.19992125984252pt,1.27mm">
              <w:txbxContent>
                <w:p w14:paraId="534F5A97">
                  <w:pPr>
                    <w:jc w:val="center"/>
                    <w:rPr>
                      <w:rFonts w:eastAsia="隶书"/>
                      <w:szCs w:val="28"/>
                    </w:rPr>
                  </w:pPr>
                  <w:r>
                    <w:rPr>
                      <w:rFonts w:hint="eastAsia" w:eastAsia="隶书"/>
                      <w:szCs w:val="28"/>
                    </w:rPr>
                    <w:t>医药</w:t>
                  </w:r>
                </w:p>
                <w:p w14:paraId="7E98E8DE">
                  <w:pPr>
                    <w:jc w:val="center"/>
                    <w:rPr>
                      <w:rFonts w:eastAsia="隶书"/>
                      <w:szCs w:val="28"/>
                    </w:rPr>
                  </w:pPr>
                  <w:r>
                    <w:rPr>
                      <w:rFonts w:hint="eastAsia" w:eastAsia="隶书"/>
                      <w:szCs w:val="28"/>
                    </w:rPr>
                    <w:t>产业链</w:t>
                  </w:r>
                </w:p>
                <w:p w14:paraId="5A25707D">
                  <w:pPr>
                    <w:jc w:val="center"/>
                    <w:rPr>
                      <w:rFonts w:eastAsia="隶书"/>
                      <w:szCs w:val="28"/>
                    </w:rPr>
                  </w:pPr>
                  <w:r>
                    <w:rPr>
                      <w:rFonts w:hint="eastAsia" w:eastAsia="隶书"/>
                      <w:szCs w:val="28"/>
                    </w:rPr>
                    <w:t>现状</w:t>
                  </w:r>
                </w:p>
                <w:p w14:paraId="7C8D4B66">
                  <w:pPr>
                    <w:jc w:val="center"/>
                    <w:rPr>
                      <w:rFonts w:eastAsia="隶书"/>
                      <w:szCs w:val="28"/>
                    </w:rPr>
                  </w:pPr>
                </w:p>
                <w:p w14:paraId="02EE7BA6">
                  <w:pPr>
                    <w:rPr>
                      <w:rFonts w:eastAsia="隶书"/>
                      <w:szCs w:val="28"/>
                    </w:rPr>
                  </w:pPr>
                  <w:r>
                    <w:rPr>
                      <w:rFonts w:hint="eastAsia" w:eastAsia="隶书"/>
                      <w:szCs w:val="28"/>
                    </w:rPr>
                    <w:t>现状</w:t>
                  </w:r>
                </w:p>
              </w:txbxContent>
            </v:textbox>
          </v:shape>
        </w:pict>
      </w:r>
      <w:r>
        <w:rPr>
          <w:szCs w:val="24"/>
        </w:rPr>
        <w:pict>
          <v:rect id="_x0000_s1061" o:spid="_x0000_s1061" o:spt="1" style="position:absolute;left:0pt;margin-left:92.95pt;margin-top:0.75pt;height:19.45pt;width:53.5pt;z-index:251673600;v-text-anchor:middle;mso-width-relative:page;mso-height-relative:page;" filled="f" stroked="f" coordsize="21600,21600" o:gfxdata="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HyWN0wAAAAgBAAAPAAAAAAAAAAEAIAAAACIAAABkcnMvZG93&#10;bnJldi54bWxQSwECFAAUAAAACACHTuJA0ZxvogUCAAANBAAADgAAAAAAAAABACAAAAAiAQAAZHJz&#10;L2Uyb0RvYy54bWxQSwUGAAAAAAYABgBZAQAAmQUAAAAA&#10;">
            <v:path/>
            <v:fill on="f" focussize="0,0"/>
            <v:stroke on="f"/>
            <v:imagedata o:title=""/>
            <o:lock v:ext="edit"/>
            <v:textbox inset="1.27mm,1.27mm,1.27mm,1.27mm">
              <w:txbxContent>
                <w:p w14:paraId="3A535F2F">
                  <w:pPr>
                    <w:rPr>
                      <w:szCs w:val="21"/>
                    </w:rPr>
                  </w:pPr>
                  <w:r>
                    <w:rPr>
                      <w:rFonts w:hint="eastAsia"/>
                      <w:szCs w:val="21"/>
                    </w:rPr>
                    <w:t>拓展</w:t>
                  </w:r>
                </w:p>
              </w:txbxContent>
            </v:textbox>
          </v:rect>
        </w:pict>
      </w:r>
      <w:r>
        <w:rPr>
          <w:szCs w:val="24"/>
        </w:rPr>
        <w:pict>
          <v:rect id="_x0000_s1060" o:spid="_x0000_s1060" o:spt="1" style="position:absolute;left:0pt;margin-left:96.45pt;margin-top:116.6pt;height:22pt;width:30.4pt;z-index:251674624;v-text-anchor:middle;mso-width-relative:page;mso-height-relative:page;" filled="f" stroked="f" coordsize="21600,21600" o:gfxdata="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ir4tYAAAALAQAADwAAAAAAAAABACAAAAAiAAAAZHJz&#10;L2Rvd25yZXYueG1sUEsBAhQAFAAAAAgAh07iQGKeJ5MGAgAADwQAAA4AAAAAAAAAAQAgAAAAJQEA&#10;AGRycy9lMm9Eb2MueG1sUEsFBgAAAAAGAAYAWQEAAJ0FAAAAAA==&#10;">
            <v:path/>
            <v:fill on="f" focussize="0,0"/>
            <v:stroke on="f"/>
            <v:imagedata o:title=""/>
            <o:lock v:ext="edit"/>
            <v:textbox inset="1.27mm,1.27mm,1.27mm,1.27mm">
              <w:txbxContent>
                <w:p w14:paraId="6D41C686">
                  <w:r>
                    <w:rPr>
                      <w:rFonts w:hint="eastAsia"/>
                      <w:szCs w:val="21"/>
                    </w:rPr>
                    <w:t>延伸</w:t>
                  </w:r>
                </w:p>
              </w:txbxContent>
            </v:textbox>
          </v:rect>
        </w:pict>
      </w:r>
      <w:r>
        <w:rPr>
          <w:szCs w:val="24"/>
        </w:rPr>
        <w:pict>
          <v:rect id="_x0000_s1059" o:spid="_x0000_s1059" o:spt="1" style="position:absolute;left:0pt;margin-left:142.25pt;margin-top:4.9pt;height:22.05pt;width:32.85pt;z-index:251675648;v-text-anchor:middle;mso-width-relative:page;mso-height-relative:page;" filled="f" stroked="f" coordsize="21600,21600" o:gfxdata="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oYLQE1QAAAAgBAAAPAAAAAAAAAAEAIAAAACIAAABkcnMv&#10;ZG93bnJldi54bWxQSwECFAAUAAAACACHTuJAxRpPrAYCAAAPBAAADgAAAAAAAAABACAAAAAkAQAA&#10;ZHJzL2Uyb0RvYy54bWxQSwUGAAAAAAYABgBZAQAAnAUAAAAA&#10;">
            <v:path/>
            <v:fill on="f" focussize="0,0"/>
            <v:stroke on="f"/>
            <v:imagedata o:title=""/>
            <o:lock v:ext="edit"/>
            <v:textbox inset="1.27mm,1.27mm,1.27mm,1.27mm">
              <w:txbxContent>
                <w:p w14:paraId="0824E0F5">
                  <w:r>
                    <w:rPr>
                      <w:rFonts w:hint="eastAsia"/>
                    </w:rPr>
                    <w:t>基础</w:t>
                  </w:r>
                </w:p>
              </w:txbxContent>
            </v:textbox>
          </v:rect>
        </w:pict>
      </w:r>
      <w:r>
        <w:rPr>
          <w:szCs w:val="24"/>
        </w:rPr>
        <w:pict>
          <v:roundrect id="_x0000_s1058" o:spid="_x0000_s1058" o:spt="2" style="position:absolute;left:0pt;margin-left:211.05pt;margin-top:148.55pt;height:26.4pt;width:67.55pt;z-index:251676672;v-text-anchor:middle;mso-width-relative:page;mso-height-relative:page;" fillcolor="#EAEAEA" filled="t" stroked="t" coordsize="21600,21600" arcsize="0.166666666666667" o:gfxdata="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7bHZfaAAAACwEAAA8AAAAAAAAAAQAg&#10;AAAAIgAAAGRycy9kb3ducmV2LnhtbFBLAQIUABQAAAAIAIdO4kBbBxLkRQIAAHwEAAAOAAAAAAAA&#10;AAEAIAAAACkBAABkcnMvZTJvRG9jLnhtbFBLBQYAAAAABgAGAFkBAADgBQAAAAA=&#10;">
            <v:path/>
            <v:fill on="t" focussize="0,0"/>
            <v:stroke weight="2pt" color="#AAE2CA"/>
            <v:imagedata o:title=""/>
            <o:lock v:ext="edit"/>
            <v:textbox>
              <w:txbxContent>
                <w:p w14:paraId="15F78342">
                  <w:r>
                    <w:rPr>
                      <w:rFonts w:hint="eastAsia"/>
                    </w:rPr>
                    <w:t>医药包装</w:t>
                  </w:r>
                </w:p>
                <w:p w14:paraId="0D68574B">
                  <w:r>
                    <w:rPr>
                      <w:rFonts w:hint="eastAsia"/>
                    </w:rPr>
                    <w:t>夹具</w:t>
                  </w:r>
                </w:p>
              </w:txbxContent>
            </v:textbox>
          </v:roundrect>
        </w:pict>
      </w:r>
      <w:r>
        <w:rPr>
          <w:szCs w:val="24"/>
        </w:rPr>
        <w:pict>
          <v:rect id="_x0000_s1057" o:spid="_x0000_s1057" o:spt="1" style="position:absolute;left:0pt;margin-left:26.5pt;margin-top:1.15pt;height:30.45pt;width:46.75pt;z-index:251677696;v-text-anchor:middle;mso-width-relative:page;mso-height-relative:page;" filled="f" stroked="f" coordsize="21600,21600" o:gfxdata="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gvUQfUAAAABwEAAA8AAAAAAAAAAQAgAAAAIgAAAGRycy9k&#10;b3ducmV2LnhtbFBLAQIUABQAAAAIAIdO4kCAdNGIBgIAAA0EAAAOAAAAAAAAAAEAIAAAACMBAABk&#10;cnMvZTJvRG9jLnhtbFBLBQYAAAAABgAGAFkBAACbBQAAAAA=&#10;">
            <v:path/>
            <v:fill on="f" focussize="0,0"/>
            <v:stroke on="f"/>
            <v:imagedata o:title=""/>
            <o:lock v:ext="edit"/>
            <v:textbox inset="1.27mm,1.27mm,1.27mm,1.27mm">
              <w:txbxContent>
                <w:p w14:paraId="27FAF502">
                  <w:pPr>
                    <w:rPr>
                      <w:szCs w:val="21"/>
                    </w:rPr>
                  </w:pPr>
                  <w:r>
                    <w:rPr>
                      <w:rFonts w:hint="eastAsia"/>
                      <w:szCs w:val="21"/>
                    </w:rPr>
                    <w:t>向上游</w:t>
                  </w:r>
                </w:p>
              </w:txbxContent>
            </v:textbox>
          </v:rect>
        </w:pict>
      </w:r>
      <w:r>
        <w:rPr>
          <w:szCs w:val="24"/>
        </w:rPr>
        <w:pict>
          <v:rect id="_x0000_s1056" o:spid="_x0000_s1056" o:spt="1" style="position:absolute;left:0pt;margin-left:27.2pt;margin-top:116.6pt;height:22pt;width:65.8pt;z-index:251678720;v-text-anchor:middle;mso-width-relative:page;mso-height-relative:page;" filled="f" stroked="f" coordsize="21600,21600" o:gfxdata="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mfZgXWAAAACgEAAA8AAAAAAAAAAQAgAAAAIgAAAGRy&#10;cy9kb3ducmV2LnhtbFBLAQIUABQAAAAIAIdO4kCmi2H9BwIAAA8EAAAOAAAAAAAAAAEAIAAAACUB&#10;AABkcnMvZTJvRG9jLnhtbFBLBQYAAAAABgAGAFkBAACeBQAAAAA=&#10;">
            <v:path/>
            <v:fill on="f" focussize="0,0"/>
            <v:stroke on="f"/>
            <v:imagedata o:title=""/>
            <o:lock v:ext="edit"/>
            <v:textbox inset="1.27mm,1.27mm,1.27mm,1.27mm">
              <w:txbxContent>
                <w:p w14:paraId="0C319A1D">
                  <w:r>
                    <w:rPr>
                      <w:rFonts w:hint="eastAsia"/>
                    </w:rPr>
                    <w:t>向下游</w:t>
                  </w:r>
                </w:p>
              </w:txbxContent>
            </v:textbox>
          </v:rect>
        </w:pict>
      </w:r>
      <w:r>
        <w:rPr>
          <w:szCs w:val="24"/>
        </w:rPr>
        <w:pict>
          <v:shape id="_x0000_s1055" o:spid="_x0000_s1055" o:spt="13" type="#_x0000_t13" style="position:absolute;left:0pt;margin-left:137.55pt;margin-top:25.25pt;height:21pt;width:48pt;z-index:251682816;mso-width-relative:page;mso-height-relative:page;" fillcolor="#9CBEE0" filled="t" stroked="t" coordsize="21600,21600" o:gfxdata="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HTcru1wAAAAkBAAAPAAAAAAAAAAEAIAAAACIAAABkcnMvZG93&#10;bnJldi54bWxQSwECFAAUAAAACACHTuJABOw+t6wCAACWBQAADgAAAAAAAAABACAAAAAmAQAAZHJz&#10;L2Uyb0RvYy54bWxQSwUGAAAAAAYABgBZAQAARAYAAAAA&#10;">
            <v:path/>
            <v:fill type="gradient" on="t" color2="#CCFFFF" angle="45" focus="50%" focussize="0f,0f"/>
            <v:stroke weight="1.25pt" color="#739CC3" joinstyle="miter"/>
            <v:imagedata o:title=""/>
            <o:lock v:ext="edit"/>
          </v:shape>
        </w:pict>
      </w:r>
      <w:r>
        <w:rPr>
          <w:szCs w:val="24"/>
        </w:rPr>
        <w:pict>
          <v:roundrect id="_x0000_s1054" o:spid="_x0000_s1054" o:spt="2" style="position:absolute;left:0pt;margin-left:196.9pt;margin-top:21.65pt;height:26.95pt;width:73.45pt;z-index:251683840;v-text-anchor:middle;mso-width-relative:page;mso-height-relative:page;" fillcolor="#EAEAEA" filled="t" stroked="t" coordsize="21600,21600" arcsize="0.166666666666667" o:gfxdata="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AIyr3YAAAACQEAAA8AAAAAAAAAAQAgAAAA&#10;IgAAAGRycy9kb3ducmV2LnhtbFBLAQIUABQAAAAIAIdO4kDf94SdRAIAAHoEAAAOAAAAAAAAAAEA&#10;IAAAACcBAABkcnMvZTJvRG9jLnhtbFBLBQYAAAAABgAGAFkBAADdBQAAAAA=&#10;">
            <v:path/>
            <v:fill on="t" focussize="0,0"/>
            <v:stroke weight="2pt" color="#AAE2CA"/>
            <v:imagedata o:title=""/>
            <o:lock v:ext="edit"/>
            <v:textbox>
              <w:txbxContent>
                <w:p w14:paraId="0560637F">
                  <w:r>
                    <w:rPr>
                      <w:rFonts w:hint="eastAsia"/>
                    </w:rPr>
                    <w:t>原材料供应</w:t>
                  </w:r>
                </w:p>
              </w:txbxContent>
            </v:textbox>
          </v:roundrect>
        </w:pict>
      </w:r>
      <w:r>
        <w:rPr>
          <w:szCs w:val="24"/>
        </w:rPr>
        <w:pict>
          <v:shape id="_x0000_s1053" o:spid="_x0000_s1053" o:spt="87" type="#_x0000_t87" style="position:absolute;left:0pt;margin-left:280.85pt;margin-top:13.3pt;height:42.75pt;width:15.75pt;z-index:251684864;mso-width-relative:page;mso-height-relative:page;" filled="f" stroked="t" coordsize="21600,21600" o:gfxdata="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7y5Y1wAAAAoBAAAPAAAAAAAAAAEA&#10;IAAAACIAAABkcnMvZG93bnJldi54bWxQSwECFAAUAAAACACHTuJApxpzbEkCAAB3BAAADgAAAAAA&#10;AAABACAAAAAmAQAAZHJzL2Uyb0RvYy54bWxQSwUGAAAAAAYABgBZAQAA4QUAAAAA&#10;" adj="1799">
            <v:path arrowok="t"/>
            <v:fill on="f" focussize="0,0"/>
            <v:stroke weight="1.25pt" color="#739CC3"/>
            <v:imagedata o:title=""/>
            <o:lock v:ext="edit"/>
          </v:shape>
        </w:pict>
      </w:r>
      <w:r>
        <w:rPr>
          <w:szCs w:val="24"/>
        </w:rPr>
        <w:pict>
          <v:roundrect id="_x0000_s1052" o:spid="_x0000_s1052" o:spt="2" style="position:absolute;left:0pt;margin-left:302pt;margin-top:1.45pt;height:28.3pt;width:58.3pt;z-index:251691008;v-text-anchor:middle;mso-width-relative:page;mso-height-relative:page;" fillcolor="#EAEAEA" filled="t" stroked="t" coordsize="21600,21600" arcsize="0.166666666666667" o:gfxdata="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jNHlfXAAAACAEAAA8AAAAAAAAAAQAgAAAAIgAA&#10;AGRycy9kb3ducmV2LnhtbFBLAQIUABQAAAAIAIdO4kCroWLoQgIAAHwEAAAOAAAAAAAAAAEAIAAA&#10;ACYBAABkcnMvZTJvRG9jLnhtbFBLBQYAAAAABgAGAFkBAADaBQAAAAA=&#10;">
            <v:path/>
            <v:fill on="t" focussize="0,0"/>
            <v:stroke weight="2pt" color="#AAE2CA"/>
            <v:imagedata o:title=""/>
            <o:lock v:ext="edit"/>
            <v:textbox>
              <w:txbxContent>
                <w:p w14:paraId="35B3D569">
                  <w:r>
                    <w:rPr>
                      <w:rFonts w:hint="eastAsia"/>
                    </w:rPr>
                    <w:t>添加剂</w:t>
                  </w:r>
                </w:p>
              </w:txbxContent>
            </v:textbox>
          </v:roundrect>
        </w:pict>
      </w:r>
      <w:r>
        <w:rPr>
          <w:szCs w:val="24"/>
        </w:rPr>
        <w:pict>
          <v:roundrect id="_x0000_s1051" o:spid="_x0000_s1051" o:spt="2" style="position:absolute;left:0pt;margin-left:302.1pt;margin-top:39.35pt;height:26.65pt;width:59.05pt;z-index:251692032;v-text-anchor:middle;mso-width-relative:page;mso-height-relative:page;" fillcolor="#EAEAEA" filled="t" stroked="t" coordsize="21600,21600" arcsize="0.166666666666667" o:gfxdata="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xQJDdcAAAAKAQAADwAAAAAAAAABACAAAAAi&#10;AAAAZHJzL2Rvd25yZXYueG1sUEsBAhQAFAAAAAgAh07iQEfBIq5EAgAAegQAAA4AAAAAAAAAAQAg&#10;AAAAJgEAAGRycy9lMm9Eb2MueG1sUEsFBgAAAAAGAAYAWQEAANwFAAAAAA==&#10;">
            <v:path/>
            <v:fill on="t" focussize="0,0"/>
            <v:stroke weight="2pt" color="#AAE2CA"/>
            <v:imagedata o:title=""/>
            <o:lock v:ext="edit"/>
            <v:textbox>
              <w:txbxContent>
                <w:p w14:paraId="7BABE334">
                  <w:r>
                    <w:rPr>
                      <w:rFonts w:hint="eastAsia"/>
                    </w:rPr>
                    <w:t>辅料</w:t>
                  </w:r>
                </w:p>
              </w:txbxContent>
            </v:textbox>
          </v:roundrect>
        </w:pict>
      </w:r>
      <w:r>
        <w:rPr>
          <w:szCs w:val="24"/>
        </w:rPr>
        <w:pict>
          <v:shape id="_x0000_s1050" o:spid="_x0000_s1050" o:spt="13" type="#_x0000_t13" style="position:absolute;left:0pt;margin-left:136.1pt;margin-top:79.65pt;height:19.5pt;width:39.75pt;z-index:251685888;mso-width-relative:page;mso-height-relative:page;" fillcolor="#9CBEE0" filled="t" stroked="t" coordsize="21600,21600" o:gfxdata="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&#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CPLHAtkAAAALAQAADwAAAAAAAAABACAAAAAiAAAA&#10;ZHJzL2Rvd25yZXYueG1sUEsBAhQAFAAAAAgAh07iQEp46rCxAgAAmAUAAA4AAAAAAAAAAQAgAAAA&#10;KAEAAGRycy9lMm9Eb2MueG1sUEsFBgAAAAAGAAYAWQEAAEsGAAAAAA==&#10;">
            <v:path/>
            <v:fill type="gradient" on="t" color2="#CCFFFF" angle="45" focus="50%" focussize="0f,0f"/>
            <v:stroke weight="1.25pt" color="#739CC3" joinstyle="miter"/>
            <v:imagedata o:title=""/>
            <o:lock v:ext="edit"/>
          </v:shape>
        </w:pict>
      </w:r>
      <w:r>
        <w:rPr>
          <w:szCs w:val="24"/>
        </w:rPr>
        <w:pict>
          <v:rect id="_x0000_s1049" o:spid="_x0000_s1049" o:spt="1" style="position:absolute;left:0pt;margin-left:143pt;margin-top:58.55pt;height:22.05pt;width:32.85pt;z-index:251693056;v-text-anchor:middle;mso-width-relative:page;mso-height-relative:page;" filled="f" stroked="f" coordsize="21600,21600" o:gfxdata="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Z/Z4DWAAAACwEAAA8AAAAAAAAAAQAgAAAAIgAAAGRy&#10;cy9kb3ducmV2LnhtbFBLAQIUABQAAAAIAIdO4kDsS7eOBwIAAA8EAAAOAAAAAAAAAAEAIAAAACUB&#10;AABkcnMvZTJvRG9jLnhtbFBLBQYAAAAABgAGAFkBAACeBQAAAAA=&#10;">
            <v:path/>
            <v:fill on="f" focussize="0,0"/>
            <v:stroke on="f"/>
            <v:imagedata o:title=""/>
            <o:lock v:ext="edit"/>
            <v:textbox inset="1.27mm,1.27mm,1.27mm,1.27mm">
              <w:txbxContent>
                <w:p w14:paraId="2431A5DB">
                  <w:r>
                    <w:rPr>
                      <w:rFonts w:hint="eastAsia"/>
                    </w:rPr>
                    <w:t>核心</w:t>
                  </w:r>
                </w:p>
              </w:txbxContent>
            </v:textbox>
          </v:rect>
        </w:pict>
      </w:r>
      <w:r>
        <w:rPr>
          <w:szCs w:val="24"/>
        </w:rPr>
        <w:pict>
          <v:roundrect id="_x0000_s1048" o:spid="_x0000_s1048" o:spt="2" style="position:absolute;left:0pt;margin-left:184.9pt;margin-top:74.55pt;height:26.95pt;width:73.45pt;z-index:251694080;v-text-anchor:middle;mso-width-relative:page;mso-height-relative:page;" fillcolor="#EAEAEA" filled="t" stroked="t" coordsize="21600,21600" arcsize="0.166666666666667" o:gfxdata="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Llx2j2QAAAAsBAAAPAAAAAAAAAAEAIAAA&#10;ACIAAABkcnMvZG93bnJldi54bWxQSwECFAAUAAAACACHTuJAQRtMGEQCAAB8BAAADgAAAAAAAAAB&#10;ACAAAAAoAQAAZHJzL2Uyb0RvYy54bWxQSwUGAAAAAAYABgBZAQAA3gUAAAAA&#10;">
            <v:path/>
            <v:fill on="t" focussize="0,0"/>
            <v:stroke weight="2pt" color="#AAE2CA"/>
            <v:imagedata o:title=""/>
            <o:lock v:ext="edit"/>
            <v:textbox>
              <w:txbxContent>
                <w:p w14:paraId="3EFEE404">
                  <w:r>
                    <w:rPr>
                      <w:rFonts w:hint="eastAsia"/>
                    </w:rPr>
                    <w:t>成品药生产</w:t>
                  </w:r>
                </w:p>
              </w:txbxContent>
            </v:textbox>
          </v:roundrect>
        </w:pict>
      </w:r>
      <w:r>
        <w:rPr>
          <w:szCs w:val="24"/>
        </w:rPr>
        <w:pict>
          <v:shape id="_x0000_s1047" o:spid="_x0000_s1047" o:spt="13" type="#_x0000_t13" style="position:absolute;left:0pt;margin-left:263.55pt;margin-top:79.75pt;height:18.05pt;width:38.3pt;z-index:251686912;mso-width-relative:page;mso-height-relative:page;" filled="f" stroked="t" coordsize="21600,21600" o:gfxdata="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BUrvf2gAAAAsBAAAPAAAAAAAAAAEAIAAAACIAAABkcnMvZG93bnJldi54bWxQSwECFAAU&#10;AAAACACHTuJAYrbr0GECAACyBAAADgAAAAAAAAABACAAAAApAQAAZHJzL2Uyb0RvYy54bWxQSwUG&#10;AAAAAAYABgBZAQAA/AUAAAAA&#10;" adj="16201">
            <v:path/>
            <v:fill on="f" focussize="0,0"/>
            <v:stroke weight="1.25pt" color="#739CC3" joinstyle="miter"/>
            <v:imagedata o:title=""/>
            <o:lock v:ext="edit"/>
          </v:shape>
        </w:pict>
      </w:r>
      <w:r>
        <w:rPr>
          <w:szCs w:val="24"/>
        </w:rPr>
        <w:pict>
          <v:roundrect id="_x0000_s1046" o:spid="_x0000_s1046" o:spt="2" style="position:absolute;left:0pt;margin-left:306.5pt;margin-top:74.6pt;height:28.3pt;width:58.3pt;z-index:251695104;v-text-anchor:middle;mso-width-relative:page;mso-height-relative:page;" fillcolor="#EAEAEA" filled="t" stroked="t" coordsize="21600,21600" arcsize="0.166666666666667" o:gfxdata="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xY1d42QAAAAsBAAAPAAAAAAAAAAEAIAAAACIA&#10;AABkcnMvZG93bnJldi54bWxQSwECFAAUAAAACACHTuJAiqyWlUECAAB6BAAADgAAAAAAAAABACAA&#10;AAAoAQAAZHJzL2Uyb0RvYy54bWxQSwUGAAAAAAYABgBZAQAA2wUAAAAA&#10;">
            <v:path/>
            <v:fill on="t" focussize="0,0"/>
            <v:stroke weight="2pt" color="#AAE2CA"/>
            <v:imagedata o:title=""/>
            <o:lock v:ext="edit"/>
            <v:textbox>
              <w:txbxContent>
                <w:p w14:paraId="12EA8115">
                  <w:r>
                    <w:rPr>
                      <w:rFonts w:hint="eastAsia"/>
                    </w:rPr>
                    <w:t>中成药</w:t>
                  </w:r>
                </w:p>
              </w:txbxContent>
            </v:textbox>
          </v:roundrect>
        </w:pict>
      </w:r>
      <w:r>
        <w:rPr>
          <w:szCs w:val="24"/>
        </w:rPr>
        <w:pict>
          <v:roundrect id="_x0000_s1045" o:spid="_x0000_s1045" o:spt="2" style="position:absolute;left:0pt;margin-left:379.35pt;margin-top:73.1pt;height:29.8pt;width:47.75pt;z-index:251696128;v-text-anchor:middle;mso-width-relative:page;mso-height-relative:page;" fillcolor="#EAEAEA" filled="t" stroked="t" coordsize="21600,21600" arcsize="0.166666666666667" o:gfxdata="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iZU02AAAAAsBAAAPAAAAAAAAAAEAIAAA&#10;ACIAAABkcnMvZG93bnJldi54bWxQSwECFAAUAAAACACHTuJApa9afUUCAAB6BAAADgAAAAAAAAAB&#10;ACAAAAAnAQAAZHJzL2Uyb0RvYy54bWxQSwUGAAAAAAYABgBZAQAA3gUAAAAA&#10;">
            <v:path/>
            <v:fill on="t" focussize="0,0"/>
            <v:stroke weight="2pt" color="#AAE2CA"/>
            <v:imagedata o:title=""/>
            <o:lock v:ext="edit"/>
            <v:textbox>
              <w:txbxContent>
                <w:p w14:paraId="39EBDF6E">
                  <w:r>
                    <w:rPr>
                      <w:rFonts w:hint="eastAsia"/>
                    </w:rPr>
                    <w:t>饮片</w:t>
                  </w:r>
                </w:p>
              </w:txbxContent>
            </v:textbox>
          </v:roundrect>
        </w:pict>
      </w:r>
      <w:r>
        <w:rPr>
          <w:szCs w:val="24"/>
        </w:rPr>
        <w:pict>
          <v:rect id="_x0000_s1044" o:spid="_x0000_s1044" o:spt="1" style="position:absolute;left:0pt;margin-left:265.25pt;margin-top:60.8pt;height:22.05pt;width:32.85pt;z-index:251697152;v-text-anchor:middle;mso-width-relative:page;mso-height-relative:page;" filled="f" stroked="f" coordsize="21600,21600" o:gfxdata="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9ZnC9YAAAALAQAADwAAAAAAAAABACAAAAAiAAAAZHJz&#10;L2Rvd25yZXYueG1sUEsBAhQAFAAAAAgAh07iQPfTIwYGAgAADQQAAA4AAAAAAAAAAQAgAAAAJQEA&#10;AGRycy9lMm9Eb2MueG1sUEsFBgAAAAAGAAYAWQEAAJ0FAAAAAA==&#10;">
            <v:path/>
            <v:fill on="f" focussize="0,0"/>
            <v:stroke on="f"/>
            <v:imagedata o:title=""/>
            <o:lock v:ext="edit"/>
            <v:textbox inset="1.27mm,1.27mm,1.27mm,1.27mm">
              <w:txbxContent>
                <w:p w14:paraId="51302C2B">
                  <w:pPr>
                    <w:rPr>
                      <w:b/>
                      <w:bCs/>
                    </w:rPr>
                  </w:pPr>
                  <w:r>
                    <w:rPr>
                      <w:rFonts w:hint="eastAsia"/>
                      <w:b/>
                      <w:bCs/>
                    </w:rPr>
                    <w:t>中药</w:t>
                  </w:r>
                </w:p>
              </w:txbxContent>
            </v:textbox>
          </v:rect>
        </w:pict>
      </w:r>
      <w:r>
        <w:rPr>
          <w:szCs w:val="24"/>
        </w:rPr>
        <w:pict>
          <v:shape id="_x0000_s1043" o:spid="_x0000_s1043" o:spt="100" style="position:absolute;left:0pt;margin-left:188.95pt;margin-top:103.55pt;height:26.9pt;width:30.8pt;rotation:5963776f;z-index:251687936;mso-width-relative:page;mso-height-relative:page;" filled="f" stroked="t" coordsize="21600,21600" o:gfxdata="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IELBY3YAAAACwEAAA8AAAAAAAAAAQAgAAAAIgAAAGRycy9kb3ducmV2LnhtbFBL&#10;AQIUABQAAAAIAIdO4kCQCTgvTAMAAD0IAAAOAAAAAAAAAAEAIAAAACcBAABkcnMvZTJvRG9jLnht&#10;bFBLBQYAAAAABgAGAFkBAADlBgAAAAA=&#10;" path="m15429,0l9257,7200,12343,7200,12343,14400,0,14400,0,21600,18514,21600,18514,7200,21600,7200,15429,0xe">
            <v:path o:connecttype="segments" o:connectlocs="279408,0;167637,113877;0,284707;167637,341630;335275,237243;391160,113877" o:connectangles="270,180,180,90,0,0"/>
            <v:fill on="f" focussize="0,0"/>
            <v:stroke weight="1.25pt" color="#739CC3" joinstyle="miter"/>
            <v:imagedata o:title=""/>
            <o:lock v:ext="edit"/>
          </v:shape>
        </w:pict>
      </w:r>
      <w:r>
        <w:rPr>
          <w:szCs w:val="24"/>
        </w:rPr>
        <w:pict>
          <v:roundrect id="_x0000_s1042" o:spid="_x0000_s1042" o:spt="2" style="position:absolute;left:0pt;margin-left:222.5pt;margin-top:110.8pt;height:28.3pt;width:44.8pt;z-index:251698176;v-text-anchor:middle;mso-width-relative:page;mso-height-relative:page;" fillcolor="#EAEAEA" filled="t" stroked="t" coordsize="21600,21600" arcsize="0.166666666666667" o:gfxdata="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rfdM2QAAAAsBAAAPAAAAAAAAAAEAIAAA&#10;ACIAAABkcnMvZG93bnJldi54bWxQSwECFAAUAAAACACHTuJAItKWjkQCAAB6BAAADgAAAAAAAAAB&#10;ACAAAAAoAQAAZHJzL2Uyb0RvYy54bWxQSwUGAAAAAAYABgBZAQAA3gUAAAAA&#10;">
            <v:path/>
            <v:fill on="t" focussize="0,0"/>
            <v:stroke weight="2pt" color="#AAE2CA"/>
            <v:imagedata o:title=""/>
            <o:lock v:ext="edit"/>
            <v:textbox>
              <w:txbxContent>
                <w:p w14:paraId="0704E219">
                  <w:r>
                    <w:rPr>
                      <w:rFonts w:hint="eastAsia"/>
                    </w:rPr>
                    <w:t>针剂</w:t>
                  </w:r>
                </w:p>
              </w:txbxContent>
            </v:textbox>
          </v:roundrect>
        </w:pict>
      </w:r>
      <w:r>
        <w:rPr>
          <w:szCs w:val="24"/>
        </w:rPr>
        <w:pict>
          <v:roundrect id="_x0000_s1041" o:spid="_x0000_s1041" o:spt="2" style="position:absolute;left:0pt;margin-left:275.8pt;margin-top:110.8pt;height:28.3pt;width:39.55pt;z-index:251699200;v-text-anchor:middle;mso-width-relative:page;mso-height-relative:page;" fillcolor="#EAEAEA" filled="t" stroked="t" coordsize="21600,21600" arcsize="0.166666666666667" o:gfxdata="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vLwe2AAAAAsBAAAPAAAAAAAAAAEAIAAA&#10;ACIAAABkcnMvZG93bnJldi54bWxQSwECFAAUAAAACACHTuJAWxXifUUCAAB6BAAADgAAAAAAAAAB&#10;ACAAAAAnAQAAZHJzL2Uyb0RvYy54bWxQSwUGAAAAAAYABgBZAQAA3gUAAAAA&#10;">
            <v:path/>
            <v:fill on="t" focussize="0,0"/>
            <v:stroke weight="2pt" color="#AAE2CA"/>
            <v:imagedata o:title=""/>
            <o:lock v:ext="edit"/>
            <v:textbox>
              <w:txbxContent>
                <w:p w14:paraId="5CAD4A6F">
                  <w:r>
                    <w:rPr>
                      <w:rFonts w:hint="eastAsia"/>
                    </w:rPr>
                    <w:t>软膏</w:t>
                  </w:r>
                </w:p>
              </w:txbxContent>
            </v:textbox>
          </v:roundrect>
        </w:pict>
      </w:r>
      <w:r>
        <w:rPr>
          <w:szCs w:val="24"/>
        </w:rPr>
        <w:pict>
          <v:roundrect id="_x0000_s1040" o:spid="_x0000_s1040" o:spt="2" style="position:absolute;left:0pt;margin-left:322.3pt;margin-top:110.8pt;height:28.3pt;width:41.05pt;z-index:251700224;v-text-anchor:middle;mso-width-relative:page;mso-height-relative:page;" fillcolor="#EAEAEA" filled="t" stroked="t" coordsize="21600,21600" arcsize="0.166666666666667" o:gfxdata="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ncnt3YAAAACwEAAA8AAAAAAAAAAQAgAAAA&#10;IgAAAGRycy9kb3ducmV2LnhtbFBLAQIUABQAAAAIAIdO4kBkHNmhRAIAAHoEAAAOAAAAAAAAAAEA&#10;IAAAACcBAABkcnMvZTJvRG9jLnhtbFBLBQYAAAAABgAGAFkBAADdBQAAAAA=&#10;">
            <v:path/>
            <v:fill on="t" focussize="0,0"/>
            <v:stroke weight="2pt" color="#AAE2CA"/>
            <v:imagedata o:title=""/>
            <o:lock v:ext="edit"/>
            <v:textbox>
              <w:txbxContent>
                <w:p w14:paraId="00390F25">
                  <w:r>
                    <w:rPr>
                      <w:rFonts w:hint="eastAsia"/>
                    </w:rPr>
                    <w:t>片剂</w:t>
                  </w:r>
                </w:p>
              </w:txbxContent>
            </v:textbox>
          </v:roundrect>
        </w:pict>
      </w:r>
      <w:r>
        <w:rPr>
          <w:szCs w:val="24"/>
        </w:rPr>
        <w:pict>
          <v:roundrect id="_x0000_s1039" o:spid="_x0000_s1039" o:spt="2" style="position:absolute;left:0pt;margin-left:371pt;margin-top:110.8pt;height:28.3pt;width:64.3pt;z-index:251701248;v-text-anchor:middle;mso-width-relative:page;mso-height-relative:page;" fillcolor="#EAEAEA" filled="t" stroked="t" coordsize="21600,21600" arcsize="0.166666666666667" o:gfxdata="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0P2ifYAAAACwEAAA8AAAAAAAAAAQAgAAAAIgAA&#10;AGRycy9kb3ducmV2LnhtbFBLAQIUABQAAAAIAIdO4kBI0PUiQQIAAHoEAAAOAAAAAAAAAAEAIAAA&#10;ACcBAABkcnMvZTJvRG9jLnhtbFBLBQYAAAAABgAGAFkBAADaBQAAAAA=&#10;">
            <v:path/>
            <v:fill on="t" focussize="0,0"/>
            <v:stroke weight="2pt" color="#AAE2CA"/>
            <v:imagedata o:title=""/>
            <o:lock v:ext="edit"/>
            <v:textbox>
              <w:txbxContent>
                <w:p w14:paraId="021354B8">
                  <w:r>
                    <w:rPr>
                      <w:rFonts w:hint="eastAsia"/>
                    </w:rPr>
                    <w:t>生物制药</w:t>
                  </w:r>
                </w:p>
              </w:txbxContent>
            </v:textbox>
          </v:roundrect>
        </w:pict>
      </w:r>
      <w:r>
        <w:rPr>
          <w:szCs w:val="24"/>
        </w:rPr>
        <w:pict>
          <v:rect id="_x0000_s1038" o:spid="_x0000_s1038" o:spt="1" style="position:absolute;left:0pt;margin-left:170.15pt;margin-top:94.9pt;height:40.75pt;width:16.95pt;z-index:251702272;v-text-anchor:middle;mso-width-relative:page;mso-height-relative:page;" filled="f" stroked="f" coordsize="21600,21600" o:gfxdata="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1AT+1gAAAAsBAAAPAAAAAAAAAAEAIAAAACIAAABkcnMv&#10;ZG93bnJldi54bWxQSwECFAAUAAAACACHTuJAtThNewUCAAANBAAADgAAAAAAAAABACAAAAAlAQAA&#10;ZHJzL2Uyb0RvYy54bWxQSwUGAAAAAAYABgBZAQAAnAUAAAAA&#10;">
            <v:path/>
            <v:fill on="f" focussize="0,0"/>
            <v:stroke on="f"/>
            <v:imagedata o:title=""/>
            <o:lock v:ext="edit"/>
            <v:textbox inset="1.27mm,1.27mm,1.27mm,1.27mm">
              <w:txbxContent>
                <w:p w14:paraId="5B026348">
                  <w:pPr>
                    <w:rPr>
                      <w:b/>
                      <w:bCs/>
                    </w:rPr>
                  </w:pPr>
                  <w:r>
                    <w:rPr>
                      <w:rFonts w:hint="eastAsia"/>
                      <w:b/>
                      <w:bCs/>
                    </w:rPr>
                    <w:t>西药</w:t>
                  </w:r>
                </w:p>
              </w:txbxContent>
            </v:textbox>
          </v:rect>
        </w:pict>
      </w:r>
      <w:r>
        <w:rPr>
          <w:szCs w:val="24"/>
        </w:rPr>
        <w:pict>
          <v:shape id="_x0000_s1037" o:spid="_x0000_s1037" o:spt="100" style="position:absolute;left:0pt;margin-left:140.6pt;margin-top:147.8pt;height:24.75pt;width:60.75pt;z-index:251688960;v-text-anchor:middle;mso-width-relative:page;mso-height-relative:page;" fillcolor="#BBD5F0" filled="t" stroked="f" coordsize="7382320,3528392" o:gfxdata="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" path="m2226629,1008112l3470622,1008112,3470622,2520280,2226629,2520280,2226629,1008112xm887362,1008112l1843323,1008112,1843323,2520280,887362,2520280,887362,1008112xm0,1008112l504056,1008112,504056,2520280,0,2520280,0,1008112xm5222080,0l7382320,1764196,5222080,3528392,5222080,2520280,3853928,2520280,3853928,1008112,5222080,1008112,5222080,0xe">
            <v:path o:connecttype="segments" o:connectlocs="232705,89807;362714,89807;362714,224518;232705,224518;232705,89807;92738,89807;192645,89807;192645,224518;92738,224518;92738,89807;0,89807;52679,89807;52679,224518;0,224518;0,89807;545759,0;771525,157163;545759,314325;545759,224518;402773,224518;402773,89807;545759,89807;545759,0" o:connectangles="0,0,0,0,0,0,0,0,0,0,0,0,0,0,0,0,0,0,0,0,0,0,0"/>
            <v:fill type="gradient" on="t" color2="#9CBEE0" focus="100%" focussize="0f,0f">
              <o:fill type="gradientUnscaled" v:ext="backwardCompatible"/>
            </v:fill>
            <v:stroke on="f" joinstyle="round"/>
            <v:imagedata o:title=""/>
            <o:lock v:ext="edit"/>
          </v:shape>
        </w:pict>
      </w:r>
      <w:r>
        <w:rPr>
          <w:szCs w:val="24"/>
        </w:rPr>
        <w:pict>
          <v:roundrect id="_x0000_s1036" o:spid="_x0000_s1036" o:spt="2" style="position:absolute;left:0pt;margin-left:291.95pt;margin-top:148.7pt;height:27.15pt;width:60.15pt;z-index:251703296;v-text-anchor:middle;mso-width-relative:page;mso-height-relative:page;" fillcolor="#EAEAEA" filled="t" stroked="t" coordsize="21600,21600" arcsize="0.166666666666667" o:gfxdata="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QfR52gAAAAsBAAAPAAAAAAAAAAEAIAAA&#10;ACIAAABkcnMvZG93bnJldi54bWxQSwECFAAUAAAACACHTuJAXR8KAkMCAAB6BAAADgAAAAAAAAAB&#10;ACAAAAApAQAAZHJzL2Uyb0RvYy54bWxQSwUGAAAAAAYABgBZAQAA3gUAAAAA&#10;">
            <v:path/>
            <v:fill on="t" focussize="0,0"/>
            <v:stroke weight="2pt" color="#AAE2CA"/>
            <v:imagedata o:title=""/>
            <o:lock v:ext="edit"/>
            <v:textbox>
              <w:txbxContent>
                <w:p w14:paraId="3EFA08FD">
                  <w:r>
                    <w:rPr>
                      <w:rFonts w:hint="eastAsia"/>
                    </w:rPr>
                    <w:t>医药仓储</w:t>
                  </w:r>
                </w:p>
                <w:p w14:paraId="324467BA">
                  <w:r>
                    <w:rPr>
                      <w:rFonts w:hint="eastAsia"/>
                    </w:rPr>
                    <w:t>夹具</w:t>
                  </w:r>
                </w:p>
              </w:txbxContent>
            </v:textbox>
          </v:roundrect>
        </w:pict>
      </w:r>
      <w:r>
        <w:rPr>
          <w:szCs w:val="24"/>
        </w:rPr>
        <w:pict>
          <v:roundrect id="_x0000_s1035" o:spid="_x0000_s1035" o:spt="2" style="position:absolute;left:0pt;margin-left:364.8pt;margin-top:148.65pt;height:27.8pt;width:71.35pt;z-index:251704320;v-text-anchor:middle;mso-width-relative:page;mso-height-relative:page;" fillcolor="#EAEAEA" filled="t" stroked="t" coordsize="21600,21600" arcsize="0.166666666666667" o:gfxdata="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ufS0fZAAAACwEAAA8AAAAAAAAAAQAgAAAA&#10;IgAAAGRycy9kb3ducmV2LnhtbFBLAQIUABQAAAAIAIdO4kBm7swYQwIAAHoEAAAOAAAAAAAAAAEA&#10;IAAAACgBAABkcnMvZTJvRG9jLnhtbFBLBQYAAAAABgAGAFkBAADdBQAAAAA=&#10;">
            <v:path/>
            <v:fill on="t" focussize="0,0"/>
            <v:stroke weight="2pt" color="#AAE2CA"/>
            <v:imagedata o:title=""/>
            <o:lock v:ext="edit"/>
            <v:textbox>
              <w:txbxContent>
                <w:p w14:paraId="29222B5E">
                  <w:r>
                    <w:rPr>
                      <w:rFonts w:hint="eastAsia"/>
                    </w:rPr>
                    <w:t>医药配送</w:t>
                  </w:r>
                </w:p>
                <w:p w14:paraId="3C22714F">
                  <w:r>
                    <w:rPr>
                      <w:rFonts w:hint="eastAsia"/>
                    </w:rPr>
                    <w:t>夹具</w:t>
                  </w:r>
                </w:p>
              </w:txbxContent>
            </v:textbox>
          </v:roundrect>
        </w:pict>
      </w:r>
    </w:p>
    <w:p w14:paraId="4AA8CF7C">
      <w:pPr>
        <w:spacing w:afterLines="50" w:line="440" w:lineRule="exact"/>
        <w:ind w:firstLine="723" w:firstLineChars="200"/>
        <w:rPr>
          <w:rFonts w:eastAsia="楷体_GB2312"/>
          <w:b/>
          <w:bCs/>
          <w:sz w:val="36"/>
          <w:szCs w:val="36"/>
        </w:rPr>
      </w:pPr>
    </w:p>
    <w:p w14:paraId="23D3D742">
      <w:pPr>
        <w:spacing w:afterLines="50" w:line="440" w:lineRule="exact"/>
        <w:ind w:firstLine="723" w:firstLineChars="200"/>
        <w:rPr>
          <w:rFonts w:eastAsia="楷体_GB2312"/>
          <w:b/>
          <w:bCs/>
          <w:sz w:val="36"/>
          <w:szCs w:val="36"/>
        </w:rPr>
      </w:pPr>
    </w:p>
    <w:p w14:paraId="55499C4C">
      <w:pPr>
        <w:spacing w:afterLines="50" w:line="440" w:lineRule="exact"/>
        <w:ind w:firstLine="560" w:firstLineChars="200"/>
        <w:rPr>
          <w:rFonts w:eastAsia="楷体_GB2312"/>
          <w:b/>
          <w:bCs/>
          <w:sz w:val="36"/>
          <w:szCs w:val="36"/>
        </w:rPr>
      </w:pPr>
      <w:r>
        <w:rPr>
          <w:szCs w:val="24"/>
        </w:rPr>
        <w:pict>
          <v:shape id="_x0000_s1034" o:spid="_x0000_s1034" o:spt="67" type="#_x0000_t67" style="position:absolute;left:0pt;margin-left:71.55pt;margin-top:27.25pt;height:41.95pt;width:18pt;z-index:251689984;mso-width-relative:page;mso-height-relative:page;" fillcolor="#99CCFF" filled="t" stroked="t" coordsize="21600,21600" o:gfxdata="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D0KGkrYAAAACgEAAA8AAAAAAAAAAQAgAAAAIgAAAGRycy9k&#10;b3ducmV2LnhtbFBLAQIUABQAAAAIAIdO4kDzZfSVrQIAAJcFAAAOAAAAAAAAAAEAIAAAACcBAABk&#10;cnMvZTJvRG9jLnhtbFBLBQYAAAAABgAGAFkBAABGBgAAAAA=&#10;">
            <v:path/>
            <v:fill type="gradient" on="t" color2="#CCFFFF" angle="45" focus="50%" focussize="0f,0f"/>
            <v:stroke weight="1.25pt" color="#739CC3" joinstyle="miter"/>
            <v:imagedata o:title=""/>
            <o:lock v:ext="edit"/>
            <v:textbox style="layout-flow:vertical-ideographic;"/>
          </v:shape>
        </w:pict>
      </w:r>
    </w:p>
    <w:p w14:paraId="0E3EE1AC">
      <w:pPr>
        <w:spacing w:afterLines="50" w:line="440" w:lineRule="exact"/>
        <w:ind w:firstLine="723" w:firstLineChars="200"/>
        <w:rPr>
          <w:rFonts w:eastAsia="楷体_GB2312"/>
          <w:b/>
          <w:bCs/>
          <w:sz w:val="36"/>
          <w:szCs w:val="36"/>
        </w:rPr>
      </w:pPr>
    </w:p>
    <w:p w14:paraId="72D1D76C">
      <w:pPr>
        <w:spacing w:afterLines="50" w:line="440" w:lineRule="exact"/>
        <w:ind w:firstLine="560" w:firstLineChars="200"/>
        <w:rPr>
          <w:b/>
          <w:sz w:val="24"/>
        </w:rPr>
      </w:pPr>
      <w:r>
        <w:rPr>
          <w:szCs w:val="24"/>
        </w:rPr>
        <w:pict>
          <v:rect id="_x0000_s1033" o:spid="_x0000_s1033" o:spt="1" style="position:absolute;left:0pt;margin-left:40.1pt;margin-top:5.8pt;height:28.35pt;width:86.25pt;z-index:251705344;v-text-anchor:middle;mso-width-relative:page;mso-height-relative:page;" fillcolor="#EAEAEA" filled="t" stroked="t" coordsize="21600,21600" o:gfxdata="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FPcGA1wAAAAgBAAAPAAAAAAAAAAEAIAAAACIA&#10;AABkcnMvZG93bnJldi54bWxQSwECFAAUAAAACACHTuJAhliCAUMCAACBBAAADgAAAAAAAAABACAA&#10;AAAmAQAAZHJzL2Uyb0RvYy54bWxQSwUGAAAAAAYABgBZAQAA2wUAAAAA&#10;">
            <v:path/>
            <v:fill on="t" focussize="0,0"/>
            <v:stroke weight="2pt" color="#BBE0E3"/>
            <v:imagedata o:title=""/>
            <o:lock v:ext="edit"/>
            <v:textbox>
              <w:txbxContent>
                <w:p w14:paraId="14234D35">
                  <w:pPr>
                    <w:rPr>
                      <w:szCs w:val="21"/>
                    </w:rPr>
                  </w:pPr>
                  <w:r>
                    <w:rPr>
                      <w:rFonts w:hint="eastAsia"/>
                      <w:szCs w:val="21"/>
                    </w:rPr>
                    <w:t>生产性服务业</w:t>
                  </w:r>
                </w:p>
              </w:txbxContent>
            </v:textbox>
          </v:rect>
        </w:pict>
      </w:r>
      <w:bookmarkStart w:id="60" w:name="_Toc493161396"/>
    </w:p>
    <w:p w14:paraId="4A75555C">
      <w:pPr>
        <w:pStyle w:val="5"/>
        <w:spacing w:line="360" w:lineRule="auto"/>
        <w:rPr>
          <w:kern w:val="2"/>
          <w:sz w:val="24"/>
          <w:szCs w:val="22"/>
        </w:rPr>
      </w:pPr>
      <w:r>
        <w:rPr>
          <w:kern w:val="2"/>
          <w:sz w:val="24"/>
          <w:szCs w:val="22"/>
        </w:rPr>
        <w:t>重点项目：</w:t>
      </w:r>
      <w:r>
        <w:rPr>
          <w:rFonts w:eastAsia="新宋体"/>
          <w:kern w:val="2"/>
          <w:sz w:val="24"/>
        </w:rPr>
        <w:t>国药集团国瑞药业有限公司国新建项目</w:t>
      </w:r>
    </w:p>
    <w:p w14:paraId="60AC0CF2">
      <w:pPr>
        <w:widowControl/>
        <w:spacing w:line="360" w:lineRule="auto"/>
        <w:ind w:firstLine="480" w:firstLineChars="200"/>
        <w:jc w:val="left"/>
        <w:rPr>
          <w:rFonts w:eastAsia="新宋体"/>
          <w:sz w:val="24"/>
        </w:rPr>
      </w:pPr>
      <w:r>
        <w:rPr>
          <w:rFonts w:eastAsia="新宋体"/>
          <w:sz w:val="24"/>
        </w:rPr>
        <w:t>一、项目名称：国药集团国瑞药业有限公司国新建项目</w:t>
      </w:r>
    </w:p>
    <w:p w14:paraId="28C6567B">
      <w:pPr>
        <w:widowControl/>
        <w:spacing w:line="360" w:lineRule="auto"/>
        <w:ind w:firstLine="480" w:firstLineChars="200"/>
        <w:jc w:val="left"/>
        <w:rPr>
          <w:rFonts w:eastAsia="新宋体"/>
          <w:sz w:val="24"/>
        </w:rPr>
      </w:pPr>
      <w:r>
        <w:rPr>
          <w:rFonts w:eastAsia="新宋体"/>
          <w:sz w:val="24"/>
        </w:rPr>
        <w:t>二、建设单位：国药集团国瑞药业有限公司</w:t>
      </w:r>
    </w:p>
    <w:p w14:paraId="0DE1D870">
      <w:pPr>
        <w:widowControl/>
        <w:spacing w:line="360" w:lineRule="auto"/>
        <w:ind w:firstLine="480" w:firstLineChars="200"/>
        <w:jc w:val="left"/>
        <w:rPr>
          <w:rFonts w:eastAsia="新宋体"/>
          <w:sz w:val="24"/>
        </w:rPr>
      </w:pPr>
      <w:r>
        <w:rPr>
          <w:rFonts w:eastAsia="新宋体"/>
          <w:sz w:val="24"/>
        </w:rPr>
        <w:t>二、建设地点：安徽省淮南经济技术开发区国药集团国瑞药业有限公司内</w:t>
      </w:r>
    </w:p>
    <w:p w14:paraId="4752461C">
      <w:pPr>
        <w:widowControl/>
        <w:spacing w:line="360" w:lineRule="auto"/>
        <w:ind w:firstLine="480" w:firstLineChars="200"/>
        <w:jc w:val="left"/>
        <w:rPr>
          <w:rFonts w:eastAsia="新宋体"/>
          <w:sz w:val="24"/>
        </w:rPr>
      </w:pPr>
      <w:r>
        <w:rPr>
          <w:rFonts w:eastAsia="新宋体"/>
          <w:sz w:val="24"/>
        </w:rPr>
        <w:t>三、项目建设内容</w:t>
      </w:r>
    </w:p>
    <w:p w14:paraId="7749896A">
      <w:pPr>
        <w:widowControl/>
        <w:spacing w:line="360" w:lineRule="auto"/>
        <w:ind w:firstLine="480" w:firstLineChars="200"/>
        <w:jc w:val="left"/>
        <w:rPr>
          <w:rFonts w:eastAsia="新宋体"/>
          <w:sz w:val="24"/>
        </w:rPr>
      </w:pPr>
      <w:r>
        <w:rPr>
          <w:rFonts w:eastAsia="新宋体"/>
          <w:sz w:val="24"/>
        </w:rPr>
        <w:t>1、本项目是利用原小容量注射剂生产线生产奥硝唑注射液产品。在原生产线的基础上对配液罐、灌封机实施防爆改造，调整优化产品结构，保持原生产线产能5000万支/年。</w:t>
      </w:r>
    </w:p>
    <w:p w14:paraId="1732166A">
      <w:pPr>
        <w:widowControl/>
        <w:spacing w:line="360" w:lineRule="auto"/>
        <w:ind w:firstLine="480" w:firstLineChars="200"/>
        <w:jc w:val="left"/>
        <w:rPr>
          <w:rFonts w:eastAsia="新宋体"/>
          <w:sz w:val="24"/>
        </w:rPr>
      </w:pPr>
      <w:r>
        <w:rPr>
          <w:rFonts w:eastAsia="新宋体"/>
          <w:sz w:val="24"/>
        </w:rPr>
        <w:t xml:space="preserve">2、国药集团国瑞药业有限公司厂区前期已建设项目《国药集团医药产业基 </w:t>
      </w:r>
    </w:p>
    <w:p w14:paraId="66A562E5">
      <w:pPr>
        <w:widowControl/>
        <w:spacing w:line="360" w:lineRule="auto"/>
        <w:ind w:firstLine="480" w:firstLineChars="200"/>
        <w:jc w:val="left"/>
      </w:pPr>
      <w:r>
        <w:rPr>
          <w:rFonts w:eastAsia="新宋体"/>
          <w:sz w:val="24"/>
        </w:rPr>
        <w:t>地项目》中原小容量注射剂生产线已建设生产产能（7500万支/年）无水乙醇注射液。本项目在原小容量注射剂生产线的基础上对生产设备、房间设施、仓储条件等实施防爆优化，即将水针车间乙醇预处理、乙醇蒸馏间、灌封电气设备进行防爆优化，在包装间与蒸馏间之间的连接走廊处（北面的防爆走廊）增加玻璃隔离门。本项目保持生产产能7500万支/年</w:t>
      </w:r>
    </w:p>
    <w:p w14:paraId="7CC14DAA">
      <w:pPr>
        <w:spacing w:beforeLines="50" w:afterLines="50" w:line="360" w:lineRule="auto"/>
        <w:outlineLvl w:val="2"/>
        <w:rPr>
          <w:b/>
          <w:sz w:val="24"/>
        </w:rPr>
      </w:pPr>
      <w:bookmarkStart w:id="61" w:name="_Toc4596016"/>
      <w:r>
        <w:rPr>
          <w:b/>
          <w:sz w:val="24"/>
        </w:rPr>
        <w:t>3.2.2医药中间体产业规划重点项目</w:t>
      </w:r>
      <w:bookmarkEnd w:id="60"/>
      <w:bookmarkEnd w:id="61"/>
    </w:p>
    <w:p w14:paraId="4E49C820">
      <w:pPr>
        <w:adjustRightInd w:val="0"/>
        <w:spacing w:line="360" w:lineRule="auto"/>
        <w:ind w:right="238" w:firstLine="480" w:firstLineChars="200"/>
        <w:rPr>
          <w:kern w:val="0"/>
          <w:sz w:val="24"/>
          <w:szCs w:val="24"/>
        </w:rPr>
      </w:pPr>
      <w:r>
        <w:rPr>
          <w:kern w:val="0"/>
          <w:sz w:val="24"/>
          <w:szCs w:val="24"/>
        </w:rPr>
        <w:t>随着我国经济发展和医疗社会保障制度的不断完善，我国医药产业也在大幅度的发展，引入具有良好市场前景的医药中间体和成品药成为化工园区发展的新动力。</w:t>
      </w:r>
    </w:p>
    <w:p w14:paraId="63162968">
      <w:pPr>
        <w:numPr>
          <w:ilvl w:val="0"/>
          <w:numId w:val="9"/>
        </w:numPr>
        <w:adjustRightInd w:val="0"/>
        <w:spacing w:line="360" w:lineRule="auto"/>
        <w:ind w:right="238"/>
        <w:rPr>
          <w:kern w:val="0"/>
          <w:sz w:val="24"/>
          <w:szCs w:val="24"/>
        </w:rPr>
      </w:pPr>
      <w:r>
        <w:rPr>
          <w:kern w:val="0"/>
          <w:sz w:val="24"/>
          <w:szCs w:val="24"/>
        </w:rPr>
        <w:t>医药中间体产品</w:t>
      </w:r>
    </w:p>
    <w:p w14:paraId="2B772315">
      <w:pPr>
        <w:adjustRightInd w:val="0"/>
        <w:spacing w:line="360" w:lineRule="auto"/>
        <w:ind w:right="240" w:firstLine="480" w:firstLineChars="200"/>
        <w:rPr>
          <w:kern w:val="0"/>
          <w:sz w:val="24"/>
          <w:szCs w:val="24"/>
        </w:rPr>
      </w:pPr>
      <w:r>
        <w:rPr>
          <w:kern w:val="0"/>
          <w:sz w:val="24"/>
          <w:szCs w:val="24"/>
        </w:rPr>
        <w:t>（2）成品药产品</w:t>
      </w:r>
    </w:p>
    <w:p w14:paraId="03833E89">
      <w:pPr>
        <w:adjustRightInd w:val="0"/>
        <w:spacing w:line="360" w:lineRule="auto"/>
        <w:ind w:left="482" w:right="238"/>
        <w:rPr>
          <w:kern w:val="0"/>
          <w:sz w:val="24"/>
          <w:szCs w:val="24"/>
        </w:rPr>
      </w:pPr>
      <w:r>
        <w:rPr>
          <w:kern w:val="0"/>
          <w:sz w:val="24"/>
          <w:szCs w:val="24"/>
        </w:rPr>
        <w:t>A．心血管类成品药</w:t>
      </w:r>
    </w:p>
    <w:p w14:paraId="3E300BC1">
      <w:pPr>
        <w:spacing w:line="360" w:lineRule="auto"/>
        <w:ind w:left="482" w:right="238"/>
        <w:rPr>
          <w:kern w:val="0"/>
          <w:sz w:val="24"/>
          <w:szCs w:val="24"/>
        </w:rPr>
      </w:pPr>
      <w:r>
        <w:rPr>
          <w:kern w:val="0"/>
          <w:sz w:val="24"/>
          <w:szCs w:val="24"/>
        </w:rPr>
        <w:t>B．肿瘤系列类成品药</w:t>
      </w:r>
    </w:p>
    <w:p w14:paraId="32C04C4F">
      <w:pPr>
        <w:spacing w:line="360" w:lineRule="auto"/>
        <w:ind w:left="482" w:right="238"/>
        <w:rPr>
          <w:kern w:val="0"/>
          <w:sz w:val="24"/>
          <w:szCs w:val="24"/>
        </w:rPr>
      </w:pPr>
      <w:r>
        <w:rPr>
          <w:kern w:val="0"/>
          <w:sz w:val="24"/>
          <w:szCs w:val="24"/>
        </w:rPr>
        <w:t>C．中枢神经类成品药</w:t>
      </w:r>
    </w:p>
    <w:p w14:paraId="455B7F5B">
      <w:pPr>
        <w:spacing w:line="360" w:lineRule="auto"/>
        <w:ind w:left="482" w:right="238"/>
        <w:rPr>
          <w:kern w:val="0"/>
          <w:sz w:val="24"/>
          <w:szCs w:val="24"/>
        </w:rPr>
      </w:pPr>
      <w:r>
        <w:rPr>
          <w:kern w:val="0"/>
          <w:sz w:val="24"/>
          <w:szCs w:val="24"/>
        </w:rPr>
        <w:t>D．呼吸系统类成品药</w:t>
      </w:r>
    </w:p>
    <w:p w14:paraId="1E0F845F">
      <w:pPr>
        <w:autoSpaceDE w:val="0"/>
        <w:autoSpaceDN w:val="0"/>
        <w:adjustRightInd w:val="0"/>
        <w:spacing w:line="360" w:lineRule="auto"/>
        <w:ind w:firstLine="480" w:firstLineChars="200"/>
        <w:jc w:val="left"/>
        <w:rPr>
          <w:kern w:val="0"/>
          <w:sz w:val="24"/>
          <w:szCs w:val="24"/>
        </w:rPr>
      </w:pPr>
      <w:r>
        <w:rPr>
          <w:kern w:val="0"/>
          <w:sz w:val="24"/>
          <w:szCs w:val="24"/>
        </w:rPr>
        <w:t>E．消化系统类成品药</w:t>
      </w:r>
    </w:p>
    <w:p w14:paraId="747C2F15">
      <w:pPr>
        <w:spacing w:line="360" w:lineRule="auto"/>
        <w:ind w:left="482" w:right="238"/>
        <w:rPr>
          <w:kern w:val="0"/>
          <w:sz w:val="24"/>
          <w:szCs w:val="24"/>
        </w:rPr>
      </w:pPr>
      <w:r>
        <w:rPr>
          <w:kern w:val="0"/>
          <w:sz w:val="24"/>
          <w:szCs w:val="24"/>
        </w:rPr>
        <w:t>F．抗病毒系列类成品药</w:t>
      </w:r>
    </w:p>
    <w:p w14:paraId="2CF8C510">
      <w:pPr>
        <w:autoSpaceDE w:val="0"/>
        <w:autoSpaceDN w:val="0"/>
        <w:spacing w:beforeLines="50" w:afterLines="50" w:line="360" w:lineRule="auto"/>
        <w:ind w:firstLine="482" w:firstLineChars="200"/>
        <w:rPr>
          <w:b/>
          <w:bCs/>
          <w:sz w:val="24"/>
          <w:szCs w:val="24"/>
        </w:rPr>
      </w:pPr>
      <w:r>
        <w:rPr>
          <w:b/>
          <w:bCs/>
          <w:sz w:val="24"/>
          <w:szCs w:val="24"/>
        </w:rPr>
        <w:t>重点项目1：安徽森吉制药有限公司高端医药原料药生产基地项目</w:t>
      </w:r>
    </w:p>
    <w:p w14:paraId="3F8AEA67">
      <w:pPr>
        <w:autoSpaceDE w:val="0"/>
        <w:autoSpaceDN w:val="0"/>
        <w:spacing w:line="360" w:lineRule="auto"/>
        <w:ind w:firstLine="480" w:firstLineChars="200"/>
        <w:rPr>
          <w:sz w:val="24"/>
          <w:szCs w:val="24"/>
          <w:lang w:val="zh-CN"/>
        </w:rPr>
      </w:pPr>
      <w:r>
        <w:rPr>
          <w:sz w:val="24"/>
          <w:szCs w:val="24"/>
        </w:rPr>
        <w:t>安徽森吉制药有限公司成立于2020年06月24日，位于安徽省淮南市经济技术开发区永兴路9号，属有限责任公司，法定代表人葛德培，注册资本5000万元。经营范围：医药中间体和原料药以及制剂、化工产品的研发、生产、销售；生物技术、新型化合物、药物活性成份、化学原料药及药用化合物技术的开发、咨询、服务和转让；自营和代理各类化工产品、医药中间体和原料药的进出口业务（国家限定公司经营或禁止进出口的商品和技术除外）（上述内容均不含危险化学品及监控类产品）。</w:t>
      </w:r>
    </w:p>
    <w:p w14:paraId="090C9CD5">
      <w:pPr>
        <w:autoSpaceDE w:val="0"/>
        <w:autoSpaceDN w:val="0"/>
        <w:spacing w:line="360" w:lineRule="auto"/>
        <w:ind w:firstLine="480" w:firstLineChars="200"/>
        <w:rPr>
          <w:sz w:val="24"/>
          <w:szCs w:val="24"/>
          <w:lang w:val="zh-CN"/>
        </w:rPr>
      </w:pPr>
      <w:r>
        <w:rPr>
          <w:sz w:val="24"/>
          <w:szCs w:val="24"/>
        </w:rPr>
        <w:t>森吉制药位于淮南经开化工园区，系安徽联创生物医药股份有限公司（以下简称为“联创医药”）布局淮南、打造高端医药原料药基地而注资设立的全资子公司。联创医药位于安徽合肥国家级经济技术开发区繁华大道西段，成立于2009年，注册经营范围包括药物技术研究、技术开发，药物化学技术咨询及成果转让；有机中间体、化工原料（除危险品）、保健用品、实验仪器及耗材销售；自营或代理各类商品和技术的进出口业务。联创医药致力于有机合成技术研究，擅长的领域包括医药产品的生产放大和合同定制，目前拥有自主创新发明专利二十余项，已先后为全球近百家中外企业提供产品和技术支持，形成了以新靶点糖尿病药物为核心、合同定制为补充的产品系列。联创医药现已成为专业从事高附加值医药产品、各类化学品研、产、销为一体的国家级高新技术企业，系面向全球医药和化学品制造商提供产品和技术服务的技术驱动型科技公司，也为安徽股权交易中心挂牌上市企业（简称：联创医药；代码：800055）。</w:t>
      </w:r>
    </w:p>
    <w:p w14:paraId="7960A6F2">
      <w:pPr>
        <w:autoSpaceDE w:val="0"/>
        <w:autoSpaceDN w:val="0"/>
        <w:spacing w:line="360" w:lineRule="auto"/>
        <w:ind w:firstLine="480" w:firstLineChars="200"/>
        <w:rPr>
          <w:sz w:val="24"/>
          <w:szCs w:val="24"/>
        </w:rPr>
      </w:pPr>
      <w:r>
        <w:rPr>
          <w:sz w:val="24"/>
          <w:szCs w:val="24"/>
          <w:lang w:val="zh-CN"/>
        </w:rPr>
        <w:t>项目一期主要建设内容和规模为综合楼、总控制室、动力中心、生产车间一（甲类）、生产车间二（甲类）、危险品库一（甲类</w:t>
      </w:r>
      <w:r>
        <w:rPr>
          <w:sz w:val="24"/>
          <w:szCs w:val="24"/>
        </w:rPr>
        <w:t>1256</w:t>
      </w:r>
      <w:r>
        <w:rPr>
          <w:sz w:val="24"/>
          <w:szCs w:val="24"/>
          <w:lang w:val="zh-CN"/>
        </w:rPr>
        <w:t>）、危险品库二（甲类</w:t>
      </w:r>
      <w:r>
        <w:rPr>
          <w:sz w:val="24"/>
          <w:szCs w:val="24"/>
        </w:rPr>
        <w:t>1256</w:t>
      </w:r>
      <w:r>
        <w:rPr>
          <w:sz w:val="24"/>
          <w:szCs w:val="24"/>
          <w:lang w:val="zh-CN"/>
        </w:rPr>
        <w:t>）、危险品库三（甲类</w:t>
      </w:r>
      <w:r>
        <w:rPr>
          <w:sz w:val="24"/>
          <w:szCs w:val="24"/>
        </w:rPr>
        <w:t>34</w:t>
      </w:r>
      <w:r>
        <w:rPr>
          <w:sz w:val="24"/>
          <w:szCs w:val="24"/>
          <w:lang w:val="zh-CN"/>
        </w:rPr>
        <w:t>）、罐区（埋地，甲类）、综合仓库（丙类）、循环水池、消防水池、初期雨水池、事故应急池、污水处理区、</w:t>
      </w:r>
      <w:r>
        <w:rPr>
          <w:sz w:val="24"/>
          <w:szCs w:val="24"/>
        </w:rPr>
        <w:t>RTO装置、</w:t>
      </w:r>
      <w:r>
        <w:rPr>
          <w:sz w:val="24"/>
          <w:szCs w:val="24"/>
          <w:lang w:val="zh-CN"/>
        </w:rPr>
        <w:t>门卫一、门卫二等。厂区预留生产车间三、生产车间四、综合车间二期建设</w:t>
      </w:r>
      <w:r>
        <w:rPr>
          <w:sz w:val="24"/>
          <w:szCs w:val="24"/>
        </w:rPr>
        <w:t>。</w:t>
      </w:r>
      <w:r>
        <w:rPr>
          <w:sz w:val="24"/>
          <w:szCs w:val="24"/>
          <w:lang w:val="zh-CN"/>
        </w:rPr>
        <w:t>购置反应釜、离心机、冷凝器等生产设备。一期项目建成后可形成</w:t>
      </w:r>
      <w:r>
        <w:rPr>
          <w:sz w:val="24"/>
          <w:szCs w:val="24"/>
        </w:rPr>
        <w:t>75t</w:t>
      </w:r>
      <w:r>
        <w:rPr>
          <w:sz w:val="24"/>
          <w:szCs w:val="24"/>
          <w:lang w:val="zh-CN"/>
        </w:rPr>
        <w:t>/a依帕列净、</w:t>
      </w:r>
      <w:r>
        <w:rPr>
          <w:sz w:val="24"/>
          <w:szCs w:val="24"/>
        </w:rPr>
        <w:t>75t</w:t>
      </w:r>
      <w:r>
        <w:rPr>
          <w:sz w:val="24"/>
          <w:szCs w:val="24"/>
          <w:lang w:val="zh-CN"/>
        </w:rPr>
        <w:t>/a达格列净、</w:t>
      </w:r>
      <w:r>
        <w:rPr>
          <w:sz w:val="24"/>
          <w:szCs w:val="24"/>
        </w:rPr>
        <w:t>60t</w:t>
      </w:r>
      <w:r>
        <w:rPr>
          <w:sz w:val="24"/>
          <w:szCs w:val="24"/>
          <w:lang w:val="zh-CN"/>
        </w:rPr>
        <w:t>/a卡格列净、</w:t>
      </w:r>
      <w:r>
        <w:rPr>
          <w:sz w:val="24"/>
          <w:szCs w:val="24"/>
        </w:rPr>
        <w:t>20t</w:t>
      </w:r>
      <w:r>
        <w:rPr>
          <w:sz w:val="24"/>
          <w:szCs w:val="24"/>
          <w:lang w:val="zh-CN"/>
        </w:rPr>
        <w:t>/a利伐沙班、</w:t>
      </w:r>
      <w:r>
        <w:rPr>
          <w:sz w:val="24"/>
          <w:szCs w:val="24"/>
        </w:rPr>
        <w:t>4t</w:t>
      </w:r>
      <w:r>
        <w:rPr>
          <w:sz w:val="24"/>
          <w:szCs w:val="24"/>
          <w:lang w:val="zh-CN"/>
        </w:rPr>
        <w:t>/a瑞格列奈、</w:t>
      </w:r>
      <w:r>
        <w:rPr>
          <w:sz w:val="24"/>
          <w:szCs w:val="24"/>
        </w:rPr>
        <w:t>20</w:t>
      </w:r>
      <w:r>
        <w:rPr>
          <w:sz w:val="24"/>
          <w:szCs w:val="24"/>
          <w:lang w:val="zh-CN"/>
        </w:rPr>
        <w:t>t/a巴瑞替尼的生产能力。</w:t>
      </w:r>
    </w:p>
    <w:p w14:paraId="13C51F11">
      <w:pPr>
        <w:autoSpaceDE w:val="0"/>
        <w:autoSpaceDN w:val="0"/>
        <w:spacing w:line="360" w:lineRule="auto"/>
        <w:ind w:firstLine="480" w:firstLineChars="200"/>
        <w:rPr>
          <w:sz w:val="24"/>
          <w:szCs w:val="24"/>
          <w:lang w:val="zh-CN"/>
        </w:rPr>
      </w:pPr>
      <w:r>
        <w:rPr>
          <w:sz w:val="24"/>
          <w:szCs w:val="24"/>
        </w:rPr>
        <w:t>森吉制药</w:t>
      </w:r>
      <w:r>
        <w:rPr>
          <w:sz w:val="24"/>
          <w:szCs w:val="24"/>
          <w:lang w:val="zh-CN"/>
        </w:rPr>
        <w:t>的基本情况见下表。</w:t>
      </w:r>
    </w:p>
    <w:p w14:paraId="640A0AA9">
      <w:pPr>
        <w:tabs>
          <w:tab w:val="left" w:pos="720"/>
        </w:tabs>
        <w:autoSpaceDE w:val="0"/>
        <w:autoSpaceDN w:val="0"/>
        <w:adjustRightInd w:val="0"/>
        <w:spacing w:line="360" w:lineRule="auto"/>
        <w:jc w:val="center"/>
        <w:rPr>
          <w:b/>
          <w:bCs/>
          <w:szCs w:val="21"/>
        </w:rPr>
      </w:pPr>
      <w:r>
        <w:rPr>
          <w:b/>
          <w:bCs/>
          <w:szCs w:val="21"/>
        </w:rPr>
        <w:t>表3.2-1、建设单位基本情况一览表</w:t>
      </w:r>
    </w:p>
    <w:tbl>
      <w:tblPr>
        <w:tblStyle w:val="25"/>
        <w:tblW w:w="4875"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85"/>
        <w:gridCol w:w="3819"/>
        <w:gridCol w:w="1137"/>
        <w:gridCol w:w="2424"/>
      </w:tblGrid>
      <w:tr w14:paraId="6580EA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4AED2F7F">
            <w:pPr>
              <w:jc w:val="center"/>
              <w:rPr>
                <w:b/>
                <w:bCs/>
                <w:szCs w:val="21"/>
                <w:lang w:val="zh-CN"/>
              </w:rPr>
            </w:pPr>
            <w:r>
              <w:rPr>
                <w:b/>
                <w:bCs/>
                <w:szCs w:val="21"/>
                <w:lang w:val="zh-CN"/>
              </w:rPr>
              <w:t>注册号/</w:t>
            </w:r>
          </w:p>
          <w:p w14:paraId="71E4E0CC">
            <w:pPr>
              <w:jc w:val="center"/>
              <w:rPr>
                <w:b/>
                <w:bCs/>
                <w:szCs w:val="21"/>
                <w:lang w:val="zh-CN"/>
              </w:rPr>
            </w:pPr>
            <w:r>
              <w:rPr>
                <w:b/>
                <w:bCs/>
                <w:szCs w:val="21"/>
                <w:lang w:val="zh-CN"/>
              </w:rPr>
              <w:t>统一社会信用代码</w:t>
            </w:r>
          </w:p>
        </w:tc>
        <w:tc>
          <w:tcPr>
            <w:tcW w:w="1816" w:type="pct"/>
            <w:vAlign w:val="center"/>
          </w:tcPr>
          <w:p w14:paraId="5067E046">
            <w:pPr>
              <w:jc w:val="center"/>
              <w:rPr>
                <w:szCs w:val="21"/>
                <w:lang w:val="zh-CN"/>
              </w:rPr>
            </w:pPr>
            <w:r>
              <w:rPr>
                <w:szCs w:val="21"/>
              </w:rPr>
              <w:t>91340400MA2UY1AF20</w:t>
            </w:r>
          </w:p>
        </w:tc>
        <w:tc>
          <w:tcPr>
            <w:tcW w:w="709" w:type="pct"/>
            <w:vAlign w:val="center"/>
          </w:tcPr>
          <w:p w14:paraId="5A1371B0">
            <w:pPr>
              <w:jc w:val="center"/>
              <w:rPr>
                <w:b/>
                <w:bCs/>
                <w:szCs w:val="21"/>
                <w:lang w:val="zh-CN"/>
              </w:rPr>
            </w:pPr>
            <w:r>
              <w:rPr>
                <w:b/>
                <w:bCs/>
                <w:szCs w:val="21"/>
                <w:lang w:val="zh-CN"/>
              </w:rPr>
              <w:t>名称</w:t>
            </w:r>
          </w:p>
        </w:tc>
        <w:tc>
          <w:tcPr>
            <w:tcW w:w="1410" w:type="pct"/>
            <w:vAlign w:val="center"/>
          </w:tcPr>
          <w:p w14:paraId="7C68682C">
            <w:pPr>
              <w:jc w:val="center"/>
              <w:rPr>
                <w:szCs w:val="21"/>
                <w:lang w:val="zh-CN"/>
              </w:rPr>
            </w:pPr>
            <w:r>
              <w:rPr>
                <w:szCs w:val="21"/>
                <w:lang w:val="zh-CN"/>
              </w:rPr>
              <w:t>安徽森吉制药有限公司</w:t>
            </w:r>
          </w:p>
        </w:tc>
      </w:tr>
      <w:tr w14:paraId="26D20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4ABB7C78">
            <w:pPr>
              <w:jc w:val="center"/>
              <w:rPr>
                <w:b/>
                <w:bCs/>
                <w:szCs w:val="21"/>
                <w:lang w:val="zh-CN"/>
              </w:rPr>
            </w:pPr>
            <w:r>
              <w:rPr>
                <w:b/>
                <w:bCs/>
                <w:szCs w:val="21"/>
                <w:lang w:val="zh-CN"/>
              </w:rPr>
              <w:t>类型</w:t>
            </w:r>
          </w:p>
        </w:tc>
        <w:tc>
          <w:tcPr>
            <w:tcW w:w="1816" w:type="pct"/>
            <w:vAlign w:val="center"/>
          </w:tcPr>
          <w:p w14:paraId="211C4B7F">
            <w:pPr>
              <w:jc w:val="center"/>
              <w:rPr>
                <w:szCs w:val="21"/>
                <w:lang w:val="zh-CN"/>
              </w:rPr>
            </w:pPr>
            <w:r>
              <w:rPr>
                <w:szCs w:val="21"/>
              </w:rPr>
              <w:t>有限责任公司</w:t>
            </w:r>
          </w:p>
        </w:tc>
        <w:tc>
          <w:tcPr>
            <w:tcW w:w="709" w:type="pct"/>
            <w:vAlign w:val="center"/>
          </w:tcPr>
          <w:p w14:paraId="6D13DA98">
            <w:pPr>
              <w:jc w:val="center"/>
              <w:rPr>
                <w:b/>
                <w:bCs/>
                <w:szCs w:val="21"/>
                <w:lang w:val="zh-CN"/>
              </w:rPr>
            </w:pPr>
            <w:r>
              <w:rPr>
                <w:b/>
                <w:bCs/>
                <w:szCs w:val="21"/>
                <w:lang w:val="zh-CN"/>
              </w:rPr>
              <w:t>法定代表人</w:t>
            </w:r>
          </w:p>
        </w:tc>
        <w:tc>
          <w:tcPr>
            <w:tcW w:w="1410" w:type="pct"/>
            <w:vAlign w:val="center"/>
          </w:tcPr>
          <w:p w14:paraId="74D75B56">
            <w:pPr>
              <w:jc w:val="center"/>
              <w:rPr>
                <w:szCs w:val="21"/>
                <w:lang w:val="zh-CN"/>
              </w:rPr>
            </w:pPr>
            <w:r>
              <w:rPr>
                <w:szCs w:val="21"/>
                <w:lang w:val="zh-CN"/>
              </w:rPr>
              <w:t>葛德培</w:t>
            </w:r>
          </w:p>
        </w:tc>
      </w:tr>
      <w:tr w14:paraId="34AC6F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237F3406">
            <w:pPr>
              <w:jc w:val="center"/>
              <w:rPr>
                <w:b/>
                <w:bCs/>
                <w:szCs w:val="21"/>
                <w:lang w:val="zh-CN"/>
              </w:rPr>
            </w:pPr>
            <w:r>
              <w:rPr>
                <w:b/>
                <w:bCs/>
                <w:szCs w:val="21"/>
                <w:lang w:val="zh-CN"/>
              </w:rPr>
              <w:t>注册资本</w:t>
            </w:r>
          </w:p>
        </w:tc>
        <w:tc>
          <w:tcPr>
            <w:tcW w:w="1816" w:type="pct"/>
            <w:vAlign w:val="center"/>
          </w:tcPr>
          <w:p w14:paraId="32DFCC41">
            <w:pPr>
              <w:jc w:val="center"/>
              <w:rPr>
                <w:szCs w:val="21"/>
                <w:lang w:val="zh-CN"/>
              </w:rPr>
            </w:pPr>
            <w:r>
              <w:rPr>
                <w:szCs w:val="21"/>
              </w:rPr>
              <w:t>5000万(元)</w:t>
            </w:r>
          </w:p>
        </w:tc>
        <w:tc>
          <w:tcPr>
            <w:tcW w:w="709" w:type="pct"/>
            <w:vAlign w:val="center"/>
          </w:tcPr>
          <w:p w14:paraId="55425E16">
            <w:pPr>
              <w:jc w:val="center"/>
              <w:rPr>
                <w:b/>
                <w:bCs/>
                <w:szCs w:val="21"/>
                <w:lang w:val="zh-CN"/>
              </w:rPr>
            </w:pPr>
            <w:r>
              <w:rPr>
                <w:b/>
                <w:bCs/>
                <w:szCs w:val="21"/>
                <w:lang w:val="zh-CN"/>
              </w:rPr>
              <w:t>成立日期</w:t>
            </w:r>
          </w:p>
        </w:tc>
        <w:tc>
          <w:tcPr>
            <w:tcW w:w="1410" w:type="pct"/>
            <w:vAlign w:val="center"/>
          </w:tcPr>
          <w:p w14:paraId="5EE1DB34">
            <w:pPr>
              <w:jc w:val="center"/>
              <w:rPr>
                <w:szCs w:val="21"/>
                <w:lang w:val="zh-CN"/>
              </w:rPr>
            </w:pPr>
            <w:r>
              <w:rPr>
                <w:szCs w:val="21"/>
              </w:rPr>
              <w:t>2020</w:t>
            </w:r>
            <w:r>
              <w:rPr>
                <w:szCs w:val="21"/>
                <w:lang w:val="zh-CN"/>
              </w:rPr>
              <w:t>年</w:t>
            </w:r>
            <w:r>
              <w:rPr>
                <w:szCs w:val="21"/>
              </w:rPr>
              <w:t>06</w:t>
            </w:r>
            <w:r>
              <w:rPr>
                <w:szCs w:val="21"/>
                <w:lang w:val="zh-CN"/>
              </w:rPr>
              <w:t>月</w:t>
            </w:r>
            <w:r>
              <w:rPr>
                <w:szCs w:val="21"/>
              </w:rPr>
              <w:t>24</w:t>
            </w:r>
            <w:r>
              <w:rPr>
                <w:szCs w:val="21"/>
                <w:lang w:val="zh-CN"/>
              </w:rPr>
              <w:t>日</w:t>
            </w:r>
          </w:p>
        </w:tc>
      </w:tr>
      <w:tr w14:paraId="70E03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0A448DF0">
            <w:pPr>
              <w:jc w:val="center"/>
              <w:rPr>
                <w:b/>
                <w:bCs/>
                <w:szCs w:val="21"/>
                <w:lang w:val="zh-CN"/>
              </w:rPr>
            </w:pPr>
            <w:r>
              <w:rPr>
                <w:b/>
                <w:bCs/>
                <w:szCs w:val="21"/>
                <w:lang w:val="zh-CN"/>
              </w:rPr>
              <w:t>住所</w:t>
            </w:r>
          </w:p>
        </w:tc>
        <w:tc>
          <w:tcPr>
            <w:tcW w:w="3936" w:type="pct"/>
            <w:gridSpan w:val="3"/>
            <w:vAlign w:val="center"/>
          </w:tcPr>
          <w:p w14:paraId="7FF9B778">
            <w:pPr>
              <w:jc w:val="center"/>
              <w:rPr>
                <w:szCs w:val="21"/>
                <w:lang w:val="zh-CN"/>
              </w:rPr>
            </w:pPr>
            <w:r>
              <w:rPr>
                <w:szCs w:val="21"/>
              </w:rPr>
              <w:t>安徽省淮南市经济技术开发区永兴路9号</w:t>
            </w:r>
          </w:p>
        </w:tc>
      </w:tr>
      <w:tr w14:paraId="09FF6A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1A5DC3EF">
            <w:pPr>
              <w:jc w:val="center"/>
              <w:rPr>
                <w:b/>
                <w:bCs/>
                <w:szCs w:val="21"/>
                <w:lang w:val="zh-CN"/>
              </w:rPr>
            </w:pPr>
            <w:r>
              <w:rPr>
                <w:b/>
                <w:bCs/>
                <w:szCs w:val="21"/>
                <w:lang w:val="zh-CN"/>
              </w:rPr>
              <w:t>营业期限自</w:t>
            </w:r>
          </w:p>
        </w:tc>
        <w:tc>
          <w:tcPr>
            <w:tcW w:w="1816" w:type="pct"/>
            <w:vAlign w:val="center"/>
          </w:tcPr>
          <w:p w14:paraId="4FD25535">
            <w:pPr>
              <w:jc w:val="center"/>
              <w:rPr>
                <w:szCs w:val="21"/>
                <w:lang w:val="zh-CN"/>
              </w:rPr>
            </w:pPr>
            <w:r>
              <w:rPr>
                <w:szCs w:val="21"/>
              </w:rPr>
              <w:t>2020</w:t>
            </w:r>
            <w:r>
              <w:rPr>
                <w:szCs w:val="21"/>
                <w:lang w:val="zh-CN"/>
              </w:rPr>
              <w:t>年</w:t>
            </w:r>
            <w:r>
              <w:rPr>
                <w:szCs w:val="21"/>
              </w:rPr>
              <w:t>06</w:t>
            </w:r>
            <w:r>
              <w:rPr>
                <w:szCs w:val="21"/>
                <w:lang w:val="zh-CN"/>
              </w:rPr>
              <w:t>月</w:t>
            </w:r>
            <w:r>
              <w:rPr>
                <w:szCs w:val="21"/>
              </w:rPr>
              <w:t>24</w:t>
            </w:r>
            <w:r>
              <w:rPr>
                <w:szCs w:val="21"/>
                <w:lang w:val="zh-CN"/>
              </w:rPr>
              <w:t>日</w:t>
            </w:r>
          </w:p>
        </w:tc>
        <w:tc>
          <w:tcPr>
            <w:tcW w:w="709" w:type="pct"/>
            <w:vAlign w:val="center"/>
          </w:tcPr>
          <w:p w14:paraId="310DA3C2">
            <w:pPr>
              <w:jc w:val="center"/>
              <w:rPr>
                <w:szCs w:val="21"/>
                <w:lang w:val="zh-CN"/>
              </w:rPr>
            </w:pPr>
            <w:r>
              <w:rPr>
                <w:b/>
                <w:bCs/>
                <w:szCs w:val="21"/>
                <w:lang w:val="zh-CN"/>
              </w:rPr>
              <w:t>营业期限至</w:t>
            </w:r>
          </w:p>
        </w:tc>
        <w:tc>
          <w:tcPr>
            <w:tcW w:w="1410" w:type="pct"/>
            <w:vAlign w:val="center"/>
          </w:tcPr>
          <w:p w14:paraId="1FA1542E">
            <w:pPr>
              <w:jc w:val="center"/>
              <w:rPr>
                <w:szCs w:val="21"/>
                <w:lang w:val="zh-CN"/>
              </w:rPr>
            </w:pPr>
            <w:r>
              <w:rPr>
                <w:szCs w:val="21"/>
                <w:lang w:val="zh-CN"/>
              </w:rPr>
              <w:t>无固定期限</w:t>
            </w:r>
          </w:p>
        </w:tc>
      </w:tr>
      <w:tr w14:paraId="26F96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6D7A59C2">
            <w:pPr>
              <w:jc w:val="center"/>
              <w:rPr>
                <w:b/>
                <w:bCs/>
                <w:szCs w:val="21"/>
                <w:lang w:val="zh-CN"/>
              </w:rPr>
            </w:pPr>
            <w:r>
              <w:rPr>
                <w:b/>
                <w:bCs/>
                <w:szCs w:val="21"/>
                <w:lang w:val="zh-CN"/>
              </w:rPr>
              <w:t>经营范围</w:t>
            </w:r>
          </w:p>
        </w:tc>
        <w:tc>
          <w:tcPr>
            <w:tcW w:w="3936" w:type="pct"/>
            <w:gridSpan w:val="3"/>
            <w:vAlign w:val="center"/>
          </w:tcPr>
          <w:p w14:paraId="65A41E87">
            <w:pPr>
              <w:jc w:val="center"/>
              <w:rPr>
                <w:szCs w:val="21"/>
                <w:lang w:val="zh-CN"/>
              </w:rPr>
            </w:pPr>
            <w:r>
              <w:rPr>
                <w:szCs w:val="21"/>
                <w:lang w:val="zh-CN"/>
              </w:rPr>
              <w:t>医药中间体和原料药以及制剂、化工产品的研发、生产、销售；生物技术、新型化合物、药物活性成份、化学原料药及药用化合物技术的开发、咨询、服务和转让；自营和代理各类化工产品、医药中间体和原料药的进出口业务（国家限定公司经营或禁止进出口的商品和技术除外）。</w:t>
            </w:r>
          </w:p>
        </w:tc>
      </w:tr>
      <w:tr w14:paraId="6542D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063" w:type="pct"/>
            <w:vAlign w:val="center"/>
          </w:tcPr>
          <w:p w14:paraId="4EE408FE">
            <w:pPr>
              <w:jc w:val="center"/>
              <w:rPr>
                <w:b/>
                <w:bCs/>
                <w:szCs w:val="21"/>
                <w:lang w:val="zh-CN"/>
              </w:rPr>
            </w:pPr>
            <w:r>
              <w:rPr>
                <w:b/>
                <w:bCs/>
                <w:szCs w:val="21"/>
                <w:lang w:val="zh-CN"/>
              </w:rPr>
              <w:t>登记机关</w:t>
            </w:r>
          </w:p>
        </w:tc>
        <w:tc>
          <w:tcPr>
            <w:tcW w:w="1816" w:type="pct"/>
            <w:vAlign w:val="center"/>
          </w:tcPr>
          <w:p w14:paraId="3F6A832E">
            <w:pPr>
              <w:jc w:val="center"/>
              <w:rPr>
                <w:szCs w:val="21"/>
                <w:lang w:val="zh-CN"/>
              </w:rPr>
            </w:pPr>
            <w:r>
              <w:rPr>
                <w:szCs w:val="21"/>
                <w:lang w:val="zh-CN"/>
              </w:rPr>
              <w:t>淮南市市场监督管理局经济技术开发区分局</w:t>
            </w:r>
          </w:p>
        </w:tc>
        <w:tc>
          <w:tcPr>
            <w:tcW w:w="709" w:type="pct"/>
            <w:vAlign w:val="center"/>
          </w:tcPr>
          <w:p w14:paraId="60703BD6">
            <w:pPr>
              <w:jc w:val="center"/>
              <w:rPr>
                <w:szCs w:val="21"/>
                <w:lang w:val="zh-CN"/>
              </w:rPr>
            </w:pPr>
            <w:r>
              <w:rPr>
                <w:b/>
                <w:bCs/>
                <w:szCs w:val="21"/>
                <w:lang w:val="zh-CN"/>
              </w:rPr>
              <w:t>核准日期</w:t>
            </w:r>
          </w:p>
        </w:tc>
        <w:tc>
          <w:tcPr>
            <w:tcW w:w="1410" w:type="pct"/>
            <w:vAlign w:val="center"/>
          </w:tcPr>
          <w:p w14:paraId="65622B2C">
            <w:pPr>
              <w:jc w:val="center"/>
              <w:rPr>
                <w:szCs w:val="21"/>
                <w:lang w:val="zh-CN"/>
              </w:rPr>
            </w:pPr>
            <w:r>
              <w:rPr>
                <w:szCs w:val="21"/>
              </w:rPr>
              <w:t>2020</w:t>
            </w:r>
            <w:r>
              <w:rPr>
                <w:szCs w:val="21"/>
                <w:lang w:val="zh-CN"/>
              </w:rPr>
              <w:t>年</w:t>
            </w:r>
            <w:r>
              <w:rPr>
                <w:szCs w:val="21"/>
              </w:rPr>
              <w:t>06</w:t>
            </w:r>
            <w:r>
              <w:rPr>
                <w:szCs w:val="21"/>
                <w:lang w:val="zh-CN"/>
              </w:rPr>
              <w:t>月</w:t>
            </w:r>
            <w:r>
              <w:rPr>
                <w:szCs w:val="21"/>
              </w:rPr>
              <w:t>24</w:t>
            </w:r>
            <w:r>
              <w:rPr>
                <w:szCs w:val="21"/>
                <w:lang w:val="zh-CN"/>
              </w:rPr>
              <w:t>日</w:t>
            </w:r>
          </w:p>
        </w:tc>
      </w:tr>
    </w:tbl>
    <w:p w14:paraId="7C191062">
      <w:pPr>
        <w:pStyle w:val="5"/>
        <w:spacing w:beforeLines="50" w:afterLines="50" w:line="360" w:lineRule="auto"/>
        <w:rPr>
          <w:kern w:val="2"/>
          <w:sz w:val="24"/>
          <w:szCs w:val="24"/>
        </w:rPr>
      </w:pPr>
      <w:r>
        <w:rPr>
          <w:kern w:val="2"/>
          <w:sz w:val="24"/>
          <w:szCs w:val="24"/>
        </w:rPr>
        <w:t>生产规模：</w:t>
      </w:r>
    </w:p>
    <w:p w14:paraId="4C3FF483">
      <w:pPr>
        <w:spacing w:line="360" w:lineRule="auto"/>
        <w:ind w:firstLine="480" w:firstLineChars="200"/>
        <w:rPr>
          <w:szCs w:val="28"/>
          <w:lang w:val="zh-CN"/>
        </w:rPr>
      </w:pPr>
      <w:r>
        <w:rPr>
          <w:sz w:val="24"/>
          <w:szCs w:val="24"/>
          <w:lang w:val="zh-CN"/>
        </w:rPr>
        <w:t>本项目生产规模为</w:t>
      </w:r>
      <w:r>
        <w:rPr>
          <w:sz w:val="24"/>
          <w:szCs w:val="24"/>
        </w:rPr>
        <w:t>75t</w:t>
      </w:r>
      <w:r>
        <w:rPr>
          <w:sz w:val="24"/>
          <w:szCs w:val="24"/>
          <w:lang w:val="zh-CN"/>
        </w:rPr>
        <w:t>/a依帕列净、</w:t>
      </w:r>
      <w:r>
        <w:rPr>
          <w:sz w:val="24"/>
          <w:szCs w:val="24"/>
        </w:rPr>
        <w:t>75t</w:t>
      </w:r>
      <w:r>
        <w:rPr>
          <w:sz w:val="24"/>
          <w:szCs w:val="24"/>
          <w:lang w:val="zh-CN"/>
        </w:rPr>
        <w:t>/a达格列净、</w:t>
      </w:r>
      <w:r>
        <w:rPr>
          <w:sz w:val="24"/>
          <w:szCs w:val="24"/>
        </w:rPr>
        <w:t>60t</w:t>
      </w:r>
      <w:r>
        <w:rPr>
          <w:sz w:val="24"/>
          <w:szCs w:val="24"/>
          <w:lang w:val="zh-CN"/>
        </w:rPr>
        <w:t>/a卡格列净、</w:t>
      </w:r>
      <w:r>
        <w:rPr>
          <w:sz w:val="24"/>
          <w:szCs w:val="24"/>
        </w:rPr>
        <w:t>20t</w:t>
      </w:r>
      <w:r>
        <w:rPr>
          <w:sz w:val="24"/>
          <w:szCs w:val="24"/>
          <w:lang w:val="zh-CN"/>
        </w:rPr>
        <w:t>/a利伐沙班、</w:t>
      </w:r>
      <w:r>
        <w:rPr>
          <w:sz w:val="24"/>
          <w:szCs w:val="24"/>
        </w:rPr>
        <w:t>4t</w:t>
      </w:r>
      <w:r>
        <w:rPr>
          <w:sz w:val="24"/>
          <w:szCs w:val="24"/>
          <w:lang w:val="zh-CN"/>
        </w:rPr>
        <w:t>/a瑞格列奈、</w:t>
      </w:r>
      <w:r>
        <w:rPr>
          <w:sz w:val="24"/>
          <w:szCs w:val="24"/>
        </w:rPr>
        <w:t>20</w:t>
      </w:r>
      <w:r>
        <w:rPr>
          <w:sz w:val="24"/>
          <w:szCs w:val="24"/>
          <w:lang w:val="zh-CN"/>
        </w:rPr>
        <w:t>t/a巴瑞替尼，主要建设内容为综合楼、总控制室、动力中心、生产车间一（甲类）、生产车间二（甲类）、危险品库一（甲类</w:t>
      </w:r>
      <w:r>
        <w:rPr>
          <w:sz w:val="24"/>
          <w:szCs w:val="24"/>
        </w:rPr>
        <w:t>1256</w:t>
      </w:r>
      <w:r>
        <w:rPr>
          <w:sz w:val="24"/>
          <w:szCs w:val="24"/>
          <w:lang w:val="zh-CN"/>
        </w:rPr>
        <w:t>）、危险品库二（甲类</w:t>
      </w:r>
      <w:r>
        <w:rPr>
          <w:sz w:val="24"/>
          <w:szCs w:val="24"/>
        </w:rPr>
        <w:t>1256</w:t>
      </w:r>
      <w:r>
        <w:rPr>
          <w:sz w:val="24"/>
          <w:szCs w:val="24"/>
          <w:lang w:val="zh-CN"/>
        </w:rPr>
        <w:t>）、危险品库三（甲类</w:t>
      </w:r>
      <w:r>
        <w:rPr>
          <w:sz w:val="24"/>
          <w:szCs w:val="24"/>
        </w:rPr>
        <w:t>34</w:t>
      </w:r>
      <w:r>
        <w:rPr>
          <w:sz w:val="24"/>
          <w:szCs w:val="24"/>
          <w:lang w:val="zh-CN"/>
        </w:rPr>
        <w:t>）、罐区（埋地，甲类）、综合仓库（丙类）、循环水池、消防水池、初期雨水池、事故应急池、污水处理区、</w:t>
      </w:r>
      <w:r>
        <w:rPr>
          <w:sz w:val="24"/>
          <w:szCs w:val="24"/>
        </w:rPr>
        <w:t>RTO装置、</w:t>
      </w:r>
      <w:r>
        <w:rPr>
          <w:sz w:val="24"/>
          <w:szCs w:val="24"/>
          <w:lang w:val="zh-CN"/>
        </w:rPr>
        <w:t>门卫一、门卫二等。</w:t>
      </w:r>
    </w:p>
    <w:p w14:paraId="1BD18547">
      <w:pPr>
        <w:tabs>
          <w:tab w:val="left" w:pos="720"/>
        </w:tabs>
        <w:autoSpaceDE w:val="0"/>
        <w:autoSpaceDN w:val="0"/>
        <w:adjustRightInd w:val="0"/>
        <w:spacing w:line="360" w:lineRule="auto"/>
        <w:jc w:val="center"/>
        <w:rPr>
          <w:b/>
          <w:bCs/>
          <w:szCs w:val="21"/>
        </w:rPr>
      </w:pPr>
      <w:r>
        <w:rPr>
          <w:b/>
          <w:bCs/>
          <w:szCs w:val="21"/>
        </w:rPr>
        <w:t>表2-2-1  本项目生产规模一览表</w:t>
      </w:r>
    </w:p>
    <w:tbl>
      <w:tblPr>
        <w:tblStyle w:val="25"/>
        <w:tblW w:w="936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57" w:type="dxa"/>
          <w:left w:w="108" w:type="dxa"/>
          <w:bottom w:w="57" w:type="dxa"/>
          <w:right w:w="108" w:type="dxa"/>
        </w:tblCellMar>
      </w:tblPr>
      <w:tblGrid>
        <w:gridCol w:w="715"/>
        <w:gridCol w:w="2012"/>
        <w:gridCol w:w="1368"/>
        <w:gridCol w:w="2723"/>
        <w:gridCol w:w="1553"/>
        <w:gridCol w:w="998"/>
      </w:tblGrid>
      <w:tr w14:paraId="16E46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70F3E2C9">
            <w:pPr>
              <w:autoSpaceDE w:val="0"/>
              <w:autoSpaceDN w:val="0"/>
              <w:adjustRightInd w:val="0"/>
              <w:spacing w:line="0" w:lineRule="atLeast"/>
              <w:jc w:val="center"/>
              <w:rPr>
                <w:b/>
                <w:bCs/>
                <w:kern w:val="0"/>
                <w:szCs w:val="21"/>
              </w:rPr>
            </w:pPr>
            <w:r>
              <w:rPr>
                <w:b/>
                <w:bCs/>
                <w:kern w:val="0"/>
                <w:szCs w:val="21"/>
              </w:rPr>
              <w:t>序号</w:t>
            </w:r>
          </w:p>
        </w:tc>
        <w:tc>
          <w:tcPr>
            <w:tcW w:w="2012" w:type="dxa"/>
            <w:tcBorders>
              <w:tl2br w:val="nil"/>
              <w:tr2bl w:val="nil"/>
            </w:tcBorders>
            <w:vAlign w:val="center"/>
          </w:tcPr>
          <w:p w14:paraId="71D9B41E">
            <w:pPr>
              <w:autoSpaceDE w:val="0"/>
              <w:autoSpaceDN w:val="0"/>
              <w:adjustRightInd w:val="0"/>
              <w:spacing w:line="0" w:lineRule="atLeast"/>
              <w:jc w:val="center"/>
              <w:rPr>
                <w:b/>
                <w:bCs/>
                <w:kern w:val="0"/>
                <w:szCs w:val="21"/>
              </w:rPr>
            </w:pPr>
            <w:r>
              <w:rPr>
                <w:b/>
                <w:bCs/>
                <w:kern w:val="0"/>
                <w:szCs w:val="21"/>
              </w:rPr>
              <w:t>产品名称</w:t>
            </w:r>
          </w:p>
        </w:tc>
        <w:tc>
          <w:tcPr>
            <w:tcW w:w="1368" w:type="dxa"/>
            <w:tcBorders>
              <w:tl2br w:val="nil"/>
              <w:tr2bl w:val="nil"/>
            </w:tcBorders>
            <w:vAlign w:val="center"/>
          </w:tcPr>
          <w:p w14:paraId="4D8663C4">
            <w:pPr>
              <w:autoSpaceDE w:val="0"/>
              <w:autoSpaceDN w:val="0"/>
              <w:adjustRightInd w:val="0"/>
              <w:spacing w:line="0" w:lineRule="atLeast"/>
              <w:jc w:val="center"/>
              <w:rPr>
                <w:b/>
                <w:bCs/>
                <w:kern w:val="0"/>
                <w:szCs w:val="21"/>
              </w:rPr>
            </w:pPr>
            <w:r>
              <w:rPr>
                <w:b/>
                <w:bCs/>
                <w:kern w:val="0"/>
                <w:szCs w:val="21"/>
              </w:rPr>
              <w:t>生产规模</w:t>
            </w:r>
          </w:p>
        </w:tc>
        <w:tc>
          <w:tcPr>
            <w:tcW w:w="2723" w:type="dxa"/>
            <w:tcBorders>
              <w:tl2br w:val="nil"/>
              <w:tr2bl w:val="nil"/>
            </w:tcBorders>
            <w:vAlign w:val="center"/>
          </w:tcPr>
          <w:p w14:paraId="77348E30">
            <w:pPr>
              <w:autoSpaceDE w:val="0"/>
              <w:autoSpaceDN w:val="0"/>
              <w:adjustRightInd w:val="0"/>
              <w:spacing w:line="0" w:lineRule="atLeast"/>
              <w:jc w:val="center"/>
              <w:rPr>
                <w:b/>
                <w:bCs/>
                <w:kern w:val="0"/>
                <w:szCs w:val="21"/>
              </w:rPr>
            </w:pPr>
            <w:r>
              <w:rPr>
                <w:b/>
                <w:bCs/>
                <w:kern w:val="0"/>
                <w:szCs w:val="21"/>
              </w:rPr>
              <w:t>是否属于安全许可品种</w:t>
            </w:r>
          </w:p>
        </w:tc>
        <w:tc>
          <w:tcPr>
            <w:tcW w:w="1553" w:type="dxa"/>
            <w:tcBorders>
              <w:tl2br w:val="nil"/>
              <w:tr2bl w:val="nil"/>
            </w:tcBorders>
            <w:vAlign w:val="center"/>
          </w:tcPr>
          <w:p w14:paraId="5F8757C5">
            <w:pPr>
              <w:autoSpaceDE w:val="0"/>
              <w:autoSpaceDN w:val="0"/>
              <w:adjustRightInd w:val="0"/>
              <w:spacing w:line="0" w:lineRule="atLeast"/>
              <w:jc w:val="center"/>
              <w:rPr>
                <w:b/>
                <w:bCs/>
                <w:kern w:val="0"/>
                <w:szCs w:val="21"/>
              </w:rPr>
            </w:pPr>
            <w:r>
              <w:rPr>
                <w:b/>
                <w:bCs/>
                <w:kern w:val="0"/>
                <w:szCs w:val="21"/>
              </w:rPr>
              <w:t>危化目录序号</w:t>
            </w:r>
          </w:p>
        </w:tc>
        <w:tc>
          <w:tcPr>
            <w:tcW w:w="998" w:type="dxa"/>
            <w:tcBorders>
              <w:tl2br w:val="nil"/>
              <w:tr2bl w:val="nil"/>
            </w:tcBorders>
            <w:vAlign w:val="center"/>
          </w:tcPr>
          <w:p w14:paraId="18483350">
            <w:pPr>
              <w:autoSpaceDE w:val="0"/>
              <w:autoSpaceDN w:val="0"/>
              <w:adjustRightInd w:val="0"/>
              <w:spacing w:line="0" w:lineRule="atLeast"/>
              <w:jc w:val="center"/>
              <w:rPr>
                <w:b/>
                <w:bCs/>
                <w:kern w:val="0"/>
                <w:szCs w:val="21"/>
              </w:rPr>
            </w:pPr>
            <w:r>
              <w:rPr>
                <w:b/>
                <w:bCs/>
                <w:kern w:val="0"/>
                <w:szCs w:val="21"/>
              </w:rPr>
              <w:t>备注</w:t>
            </w:r>
          </w:p>
        </w:tc>
      </w:tr>
      <w:tr w14:paraId="706D12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0A0AA846">
            <w:pPr>
              <w:widowControl/>
              <w:jc w:val="center"/>
              <w:rPr>
                <w:szCs w:val="21"/>
              </w:rPr>
            </w:pPr>
            <w:r>
              <w:rPr>
                <w:szCs w:val="21"/>
              </w:rPr>
              <w:t>1</w:t>
            </w:r>
          </w:p>
        </w:tc>
        <w:tc>
          <w:tcPr>
            <w:tcW w:w="2012" w:type="dxa"/>
            <w:tcBorders>
              <w:tl2br w:val="nil"/>
              <w:tr2bl w:val="nil"/>
            </w:tcBorders>
            <w:vAlign w:val="center"/>
          </w:tcPr>
          <w:p w14:paraId="0D5BA70C">
            <w:pPr>
              <w:widowControl/>
              <w:jc w:val="center"/>
              <w:rPr>
                <w:szCs w:val="21"/>
              </w:rPr>
            </w:pPr>
            <w:r>
              <w:rPr>
                <w:szCs w:val="21"/>
                <w:lang w:val="zh-CN"/>
              </w:rPr>
              <w:t>依帕列净</w:t>
            </w:r>
          </w:p>
        </w:tc>
        <w:tc>
          <w:tcPr>
            <w:tcW w:w="1368" w:type="dxa"/>
            <w:tcBorders>
              <w:tl2br w:val="nil"/>
              <w:tr2bl w:val="nil"/>
            </w:tcBorders>
            <w:vAlign w:val="center"/>
          </w:tcPr>
          <w:p w14:paraId="5D7E2A5C">
            <w:pPr>
              <w:widowControl/>
              <w:jc w:val="center"/>
              <w:rPr>
                <w:szCs w:val="21"/>
              </w:rPr>
            </w:pPr>
            <w:r>
              <w:rPr>
                <w:szCs w:val="21"/>
              </w:rPr>
              <w:t>75t/a</w:t>
            </w:r>
          </w:p>
        </w:tc>
        <w:tc>
          <w:tcPr>
            <w:tcW w:w="2723" w:type="dxa"/>
            <w:tcBorders>
              <w:tl2br w:val="nil"/>
              <w:tr2bl w:val="nil"/>
            </w:tcBorders>
            <w:vAlign w:val="center"/>
          </w:tcPr>
          <w:p w14:paraId="4B4B5702">
            <w:pPr>
              <w:widowControl/>
              <w:jc w:val="center"/>
              <w:rPr>
                <w:szCs w:val="21"/>
              </w:rPr>
            </w:pPr>
            <w:r>
              <w:rPr>
                <w:szCs w:val="21"/>
              </w:rPr>
              <w:t>否</w:t>
            </w:r>
          </w:p>
        </w:tc>
        <w:tc>
          <w:tcPr>
            <w:tcW w:w="1553" w:type="dxa"/>
            <w:tcBorders>
              <w:tl2br w:val="nil"/>
              <w:tr2bl w:val="nil"/>
            </w:tcBorders>
            <w:vAlign w:val="center"/>
          </w:tcPr>
          <w:p w14:paraId="53501B49">
            <w:pPr>
              <w:widowControl/>
              <w:jc w:val="center"/>
              <w:rPr>
                <w:szCs w:val="21"/>
              </w:rPr>
            </w:pPr>
            <w:r>
              <w:rPr>
                <w:szCs w:val="21"/>
              </w:rPr>
              <w:t>/</w:t>
            </w:r>
          </w:p>
        </w:tc>
        <w:tc>
          <w:tcPr>
            <w:tcW w:w="998" w:type="dxa"/>
            <w:tcBorders>
              <w:tl2br w:val="nil"/>
              <w:tr2bl w:val="nil"/>
            </w:tcBorders>
            <w:vAlign w:val="center"/>
          </w:tcPr>
          <w:p w14:paraId="16E4C7C7">
            <w:pPr>
              <w:widowControl/>
              <w:jc w:val="center"/>
              <w:rPr>
                <w:szCs w:val="21"/>
              </w:rPr>
            </w:pPr>
            <w:r>
              <w:rPr>
                <w:szCs w:val="21"/>
              </w:rPr>
              <w:t>产品</w:t>
            </w:r>
          </w:p>
        </w:tc>
      </w:tr>
      <w:tr w14:paraId="20EF48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48842ECC">
            <w:pPr>
              <w:widowControl/>
              <w:jc w:val="center"/>
              <w:rPr>
                <w:szCs w:val="21"/>
              </w:rPr>
            </w:pPr>
            <w:r>
              <w:rPr>
                <w:szCs w:val="21"/>
              </w:rPr>
              <w:t>2</w:t>
            </w:r>
          </w:p>
        </w:tc>
        <w:tc>
          <w:tcPr>
            <w:tcW w:w="2012" w:type="dxa"/>
            <w:tcBorders>
              <w:tl2br w:val="nil"/>
              <w:tr2bl w:val="nil"/>
            </w:tcBorders>
            <w:vAlign w:val="center"/>
          </w:tcPr>
          <w:p w14:paraId="18514FB8">
            <w:pPr>
              <w:widowControl/>
              <w:jc w:val="center"/>
              <w:rPr>
                <w:szCs w:val="21"/>
              </w:rPr>
            </w:pPr>
            <w:r>
              <w:rPr>
                <w:szCs w:val="21"/>
                <w:lang w:val="zh-CN"/>
              </w:rPr>
              <w:t>达格列净</w:t>
            </w:r>
          </w:p>
        </w:tc>
        <w:tc>
          <w:tcPr>
            <w:tcW w:w="1368" w:type="dxa"/>
            <w:tcBorders>
              <w:tl2br w:val="nil"/>
              <w:tr2bl w:val="nil"/>
            </w:tcBorders>
            <w:vAlign w:val="center"/>
          </w:tcPr>
          <w:p w14:paraId="00DC7EE7">
            <w:pPr>
              <w:widowControl/>
              <w:jc w:val="center"/>
              <w:rPr>
                <w:szCs w:val="21"/>
              </w:rPr>
            </w:pPr>
            <w:r>
              <w:rPr>
                <w:szCs w:val="21"/>
              </w:rPr>
              <w:t>75t/a</w:t>
            </w:r>
          </w:p>
        </w:tc>
        <w:tc>
          <w:tcPr>
            <w:tcW w:w="2723" w:type="dxa"/>
            <w:tcBorders>
              <w:tl2br w:val="nil"/>
              <w:tr2bl w:val="nil"/>
            </w:tcBorders>
            <w:vAlign w:val="center"/>
          </w:tcPr>
          <w:p w14:paraId="7BA024B2">
            <w:pPr>
              <w:widowControl/>
              <w:jc w:val="center"/>
              <w:rPr>
                <w:szCs w:val="21"/>
              </w:rPr>
            </w:pPr>
            <w:r>
              <w:rPr>
                <w:szCs w:val="21"/>
              </w:rPr>
              <w:t>否</w:t>
            </w:r>
          </w:p>
        </w:tc>
        <w:tc>
          <w:tcPr>
            <w:tcW w:w="1553" w:type="dxa"/>
            <w:tcBorders>
              <w:tl2br w:val="nil"/>
              <w:tr2bl w:val="nil"/>
            </w:tcBorders>
            <w:vAlign w:val="center"/>
          </w:tcPr>
          <w:p w14:paraId="37AF6465">
            <w:pPr>
              <w:widowControl/>
              <w:jc w:val="center"/>
              <w:rPr>
                <w:szCs w:val="21"/>
              </w:rPr>
            </w:pPr>
            <w:r>
              <w:rPr>
                <w:szCs w:val="21"/>
              </w:rPr>
              <w:t>/</w:t>
            </w:r>
          </w:p>
        </w:tc>
        <w:tc>
          <w:tcPr>
            <w:tcW w:w="998" w:type="dxa"/>
            <w:tcBorders>
              <w:tl2br w:val="nil"/>
              <w:tr2bl w:val="nil"/>
            </w:tcBorders>
            <w:vAlign w:val="center"/>
          </w:tcPr>
          <w:p w14:paraId="5D575B1F">
            <w:pPr>
              <w:widowControl/>
              <w:jc w:val="center"/>
              <w:rPr>
                <w:szCs w:val="21"/>
              </w:rPr>
            </w:pPr>
            <w:r>
              <w:rPr>
                <w:szCs w:val="21"/>
              </w:rPr>
              <w:t>产品</w:t>
            </w:r>
          </w:p>
        </w:tc>
      </w:tr>
      <w:tr w14:paraId="1DEF24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1A0F0650">
            <w:pPr>
              <w:widowControl/>
              <w:jc w:val="center"/>
              <w:rPr>
                <w:szCs w:val="21"/>
              </w:rPr>
            </w:pPr>
            <w:r>
              <w:rPr>
                <w:szCs w:val="21"/>
              </w:rPr>
              <w:t>3</w:t>
            </w:r>
          </w:p>
        </w:tc>
        <w:tc>
          <w:tcPr>
            <w:tcW w:w="2012" w:type="dxa"/>
            <w:tcBorders>
              <w:tl2br w:val="nil"/>
              <w:tr2bl w:val="nil"/>
            </w:tcBorders>
            <w:vAlign w:val="center"/>
          </w:tcPr>
          <w:p w14:paraId="6B372EB0">
            <w:pPr>
              <w:widowControl/>
              <w:jc w:val="center"/>
              <w:rPr>
                <w:szCs w:val="21"/>
              </w:rPr>
            </w:pPr>
            <w:r>
              <w:rPr>
                <w:szCs w:val="21"/>
                <w:lang w:val="zh-CN"/>
              </w:rPr>
              <w:t>卡格列净</w:t>
            </w:r>
          </w:p>
        </w:tc>
        <w:tc>
          <w:tcPr>
            <w:tcW w:w="1368" w:type="dxa"/>
            <w:tcBorders>
              <w:tl2br w:val="nil"/>
              <w:tr2bl w:val="nil"/>
            </w:tcBorders>
            <w:vAlign w:val="center"/>
          </w:tcPr>
          <w:p w14:paraId="0F1EB3DA">
            <w:pPr>
              <w:widowControl/>
              <w:jc w:val="center"/>
              <w:rPr>
                <w:szCs w:val="21"/>
              </w:rPr>
            </w:pPr>
            <w:r>
              <w:rPr>
                <w:szCs w:val="21"/>
              </w:rPr>
              <w:t>60t/a</w:t>
            </w:r>
          </w:p>
        </w:tc>
        <w:tc>
          <w:tcPr>
            <w:tcW w:w="2723" w:type="dxa"/>
            <w:tcBorders>
              <w:tl2br w:val="nil"/>
              <w:tr2bl w:val="nil"/>
            </w:tcBorders>
            <w:vAlign w:val="center"/>
          </w:tcPr>
          <w:p w14:paraId="28C72B63">
            <w:pPr>
              <w:widowControl/>
              <w:jc w:val="center"/>
              <w:rPr>
                <w:szCs w:val="21"/>
              </w:rPr>
            </w:pPr>
            <w:r>
              <w:rPr>
                <w:szCs w:val="21"/>
              </w:rPr>
              <w:t>否</w:t>
            </w:r>
          </w:p>
        </w:tc>
        <w:tc>
          <w:tcPr>
            <w:tcW w:w="1553" w:type="dxa"/>
            <w:tcBorders>
              <w:tl2br w:val="nil"/>
              <w:tr2bl w:val="nil"/>
            </w:tcBorders>
            <w:vAlign w:val="center"/>
          </w:tcPr>
          <w:p w14:paraId="2458C5EF">
            <w:pPr>
              <w:widowControl/>
              <w:jc w:val="center"/>
              <w:rPr>
                <w:szCs w:val="21"/>
              </w:rPr>
            </w:pPr>
            <w:r>
              <w:rPr>
                <w:szCs w:val="21"/>
              </w:rPr>
              <w:t>/</w:t>
            </w:r>
          </w:p>
        </w:tc>
        <w:tc>
          <w:tcPr>
            <w:tcW w:w="998" w:type="dxa"/>
            <w:tcBorders>
              <w:tl2br w:val="nil"/>
              <w:tr2bl w:val="nil"/>
            </w:tcBorders>
            <w:vAlign w:val="center"/>
          </w:tcPr>
          <w:p w14:paraId="398A43DF">
            <w:pPr>
              <w:widowControl/>
              <w:jc w:val="center"/>
              <w:rPr>
                <w:szCs w:val="21"/>
              </w:rPr>
            </w:pPr>
            <w:r>
              <w:rPr>
                <w:szCs w:val="21"/>
              </w:rPr>
              <w:t>产品</w:t>
            </w:r>
          </w:p>
        </w:tc>
      </w:tr>
      <w:tr w14:paraId="5B7B1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4E3E6F83">
            <w:pPr>
              <w:widowControl/>
              <w:jc w:val="center"/>
              <w:rPr>
                <w:szCs w:val="21"/>
              </w:rPr>
            </w:pPr>
            <w:r>
              <w:rPr>
                <w:szCs w:val="21"/>
              </w:rPr>
              <w:t>4</w:t>
            </w:r>
          </w:p>
        </w:tc>
        <w:tc>
          <w:tcPr>
            <w:tcW w:w="2012" w:type="dxa"/>
            <w:tcBorders>
              <w:tl2br w:val="nil"/>
              <w:tr2bl w:val="nil"/>
            </w:tcBorders>
            <w:vAlign w:val="center"/>
          </w:tcPr>
          <w:p w14:paraId="16DA49F3">
            <w:pPr>
              <w:widowControl/>
              <w:jc w:val="center"/>
              <w:rPr>
                <w:szCs w:val="21"/>
              </w:rPr>
            </w:pPr>
            <w:r>
              <w:rPr>
                <w:szCs w:val="21"/>
                <w:lang w:val="zh-CN"/>
              </w:rPr>
              <w:t>利伐沙班</w:t>
            </w:r>
          </w:p>
        </w:tc>
        <w:tc>
          <w:tcPr>
            <w:tcW w:w="1368" w:type="dxa"/>
            <w:tcBorders>
              <w:tl2br w:val="nil"/>
              <w:tr2bl w:val="nil"/>
            </w:tcBorders>
            <w:vAlign w:val="center"/>
          </w:tcPr>
          <w:p w14:paraId="2BAEB5C4">
            <w:pPr>
              <w:widowControl/>
              <w:jc w:val="center"/>
              <w:rPr>
                <w:szCs w:val="21"/>
              </w:rPr>
            </w:pPr>
            <w:r>
              <w:rPr>
                <w:szCs w:val="21"/>
              </w:rPr>
              <w:t>20t/a</w:t>
            </w:r>
          </w:p>
        </w:tc>
        <w:tc>
          <w:tcPr>
            <w:tcW w:w="2723" w:type="dxa"/>
            <w:tcBorders>
              <w:tl2br w:val="nil"/>
              <w:tr2bl w:val="nil"/>
            </w:tcBorders>
            <w:vAlign w:val="center"/>
          </w:tcPr>
          <w:p w14:paraId="7E19D0C3">
            <w:pPr>
              <w:widowControl/>
              <w:jc w:val="center"/>
              <w:rPr>
                <w:szCs w:val="21"/>
              </w:rPr>
            </w:pPr>
            <w:r>
              <w:rPr>
                <w:szCs w:val="21"/>
              </w:rPr>
              <w:t>否</w:t>
            </w:r>
          </w:p>
        </w:tc>
        <w:tc>
          <w:tcPr>
            <w:tcW w:w="1553" w:type="dxa"/>
            <w:tcBorders>
              <w:tl2br w:val="nil"/>
              <w:tr2bl w:val="nil"/>
            </w:tcBorders>
            <w:vAlign w:val="center"/>
          </w:tcPr>
          <w:p w14:paraId="63674E22">
            <w:pPr>
              <w:widowControl/>
              <w:jc w:val="center"/>
              <w:rPr>
                <w:szCs w:val="21"/>
              </w:rPr>
            </w:pPr>
            <w:r>
              <w:rPr>
                <w:szCs w:val="21"/>
              </w:rPr>
              <w:t>/</w:t>
            </w:r>
          </w:p>
        </w:tc>
        <w:tc>
          <w:tcPr>
            <w:tcW w:w="998" w:type="dxa"/>
            <w:tcBorders>
              <w:tl2br w:val="nil"/>
              <w:tr2bl w:val="nil"/>
            </w:tcBorders>
            <w:vAlign w:val="center"/>
          </w:tcPr>
          <w:p w14:paraId="5B2C8805">
            <w:pPr>
              <w:widowControl/>
              <w:jc w:val="center"/>
              <w:rPr>
                <w:szCs w:val="21"/>
              </w:rPr>
            </w:pPr>
            <w:r>
              <w:rPr>
                <w:szCs w:val="21"/>
              </w:rPr>
              <w:t>产品</w:t>
            </w:r>
          </w:p>
        </w:tc>
      </w:tr>
      <w:tr w14:paraId="68384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1F31A7E9">
            <w:pPr>
              <w:widowControl/>
              <w:jc w:val="center"/>
              <w:rPr>
                <w:szCs w:val="21"/>
              </w:rPr>
            </w:pPr>
            <w:r>
              <w:rPr>
                <w:szCs w:val="21"/>
              </w:rPr>
              <w:t>5</w:t>
            </w:r>
          </w:p>
        </w:tc>
        <w:tc>
          <w:tcPr>
            <w:tcW w:w="2012" w:type="dxa"/>
            <w:tcBorders>
              <w:tl2br w:val="nil"/>
              <w:tr2bl w:val="nil"/>
            </w:tcBorders>
            <w:vAlign w:val="center"/>
          </w:tcPr>
          <w:p w14:paraId="26BFD62D">
            <w:pPr>
              <w:widowControl/>
              <w:jc w:val="center"/>
              <w:rPr>
                <w:szCs w:val="21"/>
                <w:lang w:val="zh-CN"/>
              </w:rPr>
            </w:pPr>
            <w:r>
              <w:rPr>
                <w:szCs w:val="21"/>
                <w:lang w:val="zh-CN"/>
              </w:rPr>
              <w:t>瑞格列奈</w:t>
            </w:r>
          </w:p>
        </w:tc>
        <w:tc>
          <w:tcPr>
            <w:tcW w:w="1368" w:type="dxa"/>
            <w:tcBorders>
              <w:tl2br w:val="nil"/>
              <w:tr2bl w:val="nil"/>
            </w:tcBorders>
            <w:vAlign w:val="center"/>
          </w:tcPr>
          <w:p w14:paraId="70F135CD">
            <w:pPr>
              <w:widowControl/>
              <w:jc w:val="center"/>
              <w:rPr>
                <w:szCs w:val="21"/>
              </w:rPr>
            </w:pPr>
            <w:r>
              <w:rPr>
                <w:szCs w:val="21"/>
              </w:rPr>
              <w:t>4t/a</w:t>
            </w:r>
          </w:p>
        </w:tc>
        <w:tc>
          <w:tcPr>
            <w:tcW w:w="2723" w:type="dxa"/>
            <w:tcBorders>
              <w:tl2br w:val="nil"/>
              <w:tr2bl w:val="nil"/>
            </w:tcBorders>
            <w:vAlign w:val="center"/>
          </w:tcPr>
          <w:p w14:paraId="5F65D0A0">
            <w:pPr>
              <w:widowControl/>
              <w:jc w:val="center"/>
              <w:rPr>
                <w:szCs w:val="21"/>
              </w:rPr>
            </w:pPr>
            <w:r>
              <w:rPr>
                <w:szCs w:val="21"/>
              </w:rPr>
              <w:t>否</w:t>
            </w:r>
          </w:p>
        </w:tc>
        <w:tc>
          <w:tcPr>
            <w:tcW w:w="1553" w:type="dxa"/>
            <w:tcBorders>
              <w:tl2br w:val="nil"/>
              <w:tr2bl w:val="nil"/>
            </w:tcBorders>
            <w:vAlign w:val="center"/>
          </w:tcPr>
          <w:p w14:paraId="494BD015">
            <w:pPr>
              <w:widowControl/>
              <w:jc w:val="center"/>
              <w:rPr>
                <w:szCs w:val="21"/>
              </w:rPr>
            </w:pPr>
            <w:r>
              <w:rPr>
                <w:szCs w:val="21"/>
              </w:rPr>
              <w:t>/</w:t>
            </w:r>
          </w:p>
        </w:tc>
        <w:tc>
          <w:tcPr>
            <w:tcW w:w="998" w:type="dxa"/>
            <w:tcBorders>
              <w:tl2br w:val="nil"/>
              <w:tr2bl w:val="nil"/>
            </w:tcBorders>
            <w:vAlign w:val="center"/>
          </w:tcPr>
          <w:p w14:paraId="2541A94B">
            <w:pPr>
              <w:widowControl/>
              <w:jc w:val="center"/>
              <w:rPr>
                <w:szCs w:val="21"/>
              </w:rPr>
            </w:pPr>
            <w:r>
              <w:rPr>
                <w:szCs w:val="21"/>
              </w:rPr>
              <w:t>产品</w:t>
            </w:r>
          </w:p>
        </w:tc>
      </w:tr>
      <w:tr w14:paraId="4A294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57" w:type="dxa"/>
            <w:left w:w="108" w:type="dxa"/>
            <w:bottom w:w="57" w:type="dxa"/>
            <w:right w:w="108" w:type="dxa"/>
          </w:tblCellMar>
        </w:tblPrEx>
        <w:trPr>
          <w:trHeight w:val="340" w:hRule="atLeast"/>
          <w:jc w:val="center"/>
        </w:trPr>
        <w:tc>
          <w:tcPr>
            <w:tcW w:w="715" w:type="dxa"/>
            <w:tcBorders>
              <w:tl2br w:val="nil"/>
              <w:tr2bl w:val="nil"/>
            </w:tcBorders>
            <w:vAlign w:val="center"/>
          </w:tcPr>
          <w:p w14:paraId="1CCDC7C9">
            <w:pPr>
              <w:widowControl/>
              <w:jc w:val="center"/>
              <w:rPr>
                <w:szCs w:val="21"/>
              </w:rPr>
            </w:pPr>
            <w:r>
              <w:rPr>
                <w:szCs w:val="21"/>
              </w:rPr>
              <w:t>6</w:t>
            </w:r>
          </w:p>
        </w:tc>
        <w:tc>
          <w:tcPr>
            <w:tcW w:w="2012" w:type="dxa"/>
            <w:tcBorders>
              <w:tl2br w:val="nil"/>
              <w:tr2bl w:val="nil"/>
            </w:tcBorders>
            <w:vAlign w:val="center"/>
          </w:tcPr>
          <w:p w14:paraId="517413B6">
            <w:pPr>
              <w:widowControl/>
              <w:jc w:val="center"/>
              <w:rPr>
                <w:szCs w:val="21"/>
                <w:lang w:val="zh-CN"/>
              </w:rPr>
            </w:pPr>
            <w:r>
              <w:rPr>
                <w:szCs w:val="21"/>
                <w:lang w:val="zh-CN"/>
              </w:rPr>
              <w:t>巴瑞替尼</w:t>
            </w:r>
          </w:p>
        </w:tc>
        <w:tc>
          <w:tcPr>
            <w:tcW w:w="1368" w:type="dxa"/>
            <w:tcBorders>
              <w:tl2br w:val="nil"/>
              <w:tr2bl w:val="nil"/>
            </w:tcBorders>
            <w:vAlign w:val="center"/>
          </w:tcPr>
          <w:p w14:paraId="451DCF4D">
            <w:pPr>
              <w:widowControl/>
              <w:jc w:val="center"/>
              <w:rPr>
                <w:szCs w:val="21"/>
              </w:rPr>
            </w:pPr>
            <w:r>
              <w:rPr>
                <w:szCs w:val="21"/>
              </w:rPr>
              <w:t>20t/a</w:t>
            </w:r>
          </w:p>
        </w:tc>
        <w:tc>
          <w:tcPr>
            <w:tcW w:w="2723" w:type="dxa"/>
            <w:tcBorders>
              <w:tl2br w:val="nil"/>
              <w:tr2bl w:val="nil"/>
            </w:tcBorders>
            <w:vAlign w:val="center"/>
          </w:tcPr>
          <w:p w14:paraId="74351B71">
            <w:pPr>
              <w:widowControl/>
              <w:jc w:val="center"/>
              <w:rPr>
                <w:szCs w:val="21"/>
              </w:rPr>
            </w:pPr>
            <w:r>
              <w:rPr>
                <w:szCs w:val="21"/>
              </w:rPr>
              <w:t>否</w:t>
            </w:r>
          </w:p>
        </w:tc>
        <w:tc>
          <w:tcPr>
            <w:tcW w:w="1553" w:type="dxa"/>
            <w:tcBorders>
              <w:tl2br w:val="nil"/>
              <w:tr2bl w:val="nil"/>
            </w:tcBorders>
            <w:vAlign w:val="center"/>
          </w:tcPr>
          <w:p w14:paraId="2232224C">
            <w:pPr>
              <w:widowControl/>
              <w:jc w:val="center"/>
              <w:rPr>
                <w:szCs w:val="21"/>
              </w:rPr>
            </w:pPr>
            <w:r>
              <w:rPr>
                <w:szCs w:val="21"/>
              </w:rPr>
              <w:t>/</w:t>
            </w:r>
          </w:p>
        </w:tc>
        <w:tc>
          <w:tcPr>
            <w:tcW w:w="998" w:type="dxa"/>
            <w:tcBorders>
              <w:tl2br w:val="nil"/>
              <w:tr2bl w:val="nil"/>
            </w:tcBorders>
            <w:vAlign w:val="center"/>
          </w:tcPr>
          <w:p w14:paraId="4D8A83F0">
            <w:pPr>
              <w:widowControl/>
              <w:jc w:val="center"/>
              <w:rPr>
                <w:szCs w:val="21"/>
              </w:rPr>
            </w:pPr>
            <w:r>
              <w:rPr>
                <w:szCs w:val="21"/>
              </w:rPr>
              <w:t>产品</w:t>
            </w:r>
          </w:p>
        </w:tc>
      </w:tr>
    </w:tbl>
    <w:p w14:paraId="77F57D6D"/>
    <w:p w14:paraId="3F566F1B">
      <w:pPr>
        <w:pStyle w:val="5"/>
        <w:spacing w:beforeLines="50" w:afterLines="50" w:line="360" w:lineRule="auto"/>
        <w:rPr>
          <w:kern w:val="2"/>
          <w:sz w:val="24"/>
          <w:szCs w:val="24"/>
        </w:rPr>
      </w:pPr>
      <w:r>
        <w:rPr>
          <w:kern w:val="2"/>
          <w:sz w:val="24"/>
          <w:szCs w:val="24"/>
        </w:rPr>
        <w:t>项目总投资</w:t>
      </w:r>
    </w:p>
    <w:p w14:paraId="490910B8">
      <w:pPr>
        <w:autoSpaceDE w:val="0"/>
        <w:autoSpaceDN w:val="0"/>
        <w:spacing w:line="360" w:lineRule="auto"/>
        <w:ind w:firstLine="480" w:firstLineChars="200"/>
        <w:rPr>
          <w:sz w:val="24"/>
          <w:szCs w:val="24"/>
          <w:lang w:val="zh-CN"/>
        </w:rPr>
      </w:pPr>
      <w:r>
        <w:rPr>
          <w:sz w:val="24"/>
          <w:szCs w:val="24"/>
          <w:lang w:val="zh-CN"/>
        </w:rPr>
        <w:t>项目一期总投资</w:t>
      </w:r>
      <w:r>
        <w:rPr>
          <w:sz w:val="24"/>
          <w:szCs w:val="24"/>
        </w:rPr>
        <w:t>170</w:t>
      </w:r>
      <w:r>
        <w:rPr>
          <w:sz w:val="24"/>
          <w:szCs w:val="24"/>
          <w:lang w:val="zh-CN"/>
        </w:rPr>
        <w:t>00万元人民币。</w:t>
      </w:r>
    </w:p>
    <w:p w14:paraId="2ABE9AA8">
      <w:pPr>
        <w:pStyle w:val="4"/>
        <w:spacing w:afterLines="100"/>
        <w:rPr>
          <w:rFonts w:ascii="Times New Roman" w:hAnsi="Times New Roman"/>
          <w:sz w:val="28"/>
          <w:szCs w:val="28"/>
        </w:rPr>
      </w:pPr>
      <w:bookmarkStart w:id="62" w:name="_Toc15517"/>
      <w:r>
        <w:rPr>
          <w:rFonts w:ascii="Times New Roman" w:hAnsi="Times New Roman"/>
          <w:sz w:val="24"/>
          <w:szCs w:val="24"/>
        </w:rPr>
        <w:t>重点项目</w:t>
      </w:r>
      <w:r>
        <w:rPr>
          <w:rFonts w:hint="eastAsia" w:ascii="Times New Roman" w:hAnsi="Times New Roman"/>
          <w:sz w:val="24"/>
          <w:szCs w:val="24"/>
        </w:rPr>
        <w:t>2</w:t>
      </w:r>
      <w:r>
        <w:rPr>
          <w:rFonts w:ascii="Times New Roman" w:hAnsi="Times New Roman"/>
          <w:sz w:val="24"/>
          <w:szCs w:val="24"/>
        </w:rPr>
        <w:t>：</w:t>
      </w:r>
      <w:r>
        <w:rPr>
          <w:rFonts w:hint="eastAsia" w:ascii="Times New Roman" w:hAnsi="Times New Roman"/>
          <w:sz w:val="28"/>
          <w:szCs w:val="28"/>
        </w:rPr>
        <w:t>安徽联创生物医药股份有限公司年产130吨医药原料项目</w:t>
      </w:r>
      <w:bookmarkEnd w:id="62"/>
    </w:p>
    <w:p w14:paraId="5F13BF0D">
      <w:pPr>
        <w:adjustRightInd w:val="0"/>
        <w:spacing w:line="360" w:lineRule="auto"/>
        <w:ind w:right="238" w:firstLine="480" w:firstLineChars="200"/>
        <w:rPr>
          <w:rFonts w:cs="宋体"/>
          <w:kern w:val="0"/>
          <w:sz w:val="24"/>
          <w:szCs w:val="24"/>
        </w:rPr>
      </w:pPr>
      <w:r>
        <w:rPr>
          <w:rFonts w:hint="eastAsia" w:cs="宋体"/>
          <w:kern w:val="0"/>
          <w:sz w:val="24"/>
          <w:szCs w:val="24"/>
        </w:rPr>
        <w:t>项目名称：年产130吨医药原料项目；</w:t>
      </w:r>
    </w:p>
    <w:p w14:paraId="6CF1E978">
      <w:pPr>
        <w:adjustRightInd w:val="0"/>
        <w:spacing w:line="360" w:lineRule="auto"/>
        <w:ind w:right="238" w:firstLine="480" w:firstLineChars="200"/>
        <w:rPr>
          <w:rFonts w:cs="宋体"/>
          <w:kern w:val="0"/>
          <w:sz w:val="24"/>
          <w:szCs w:val="24"/>
        </w:rPr>
      </w:pPr>
      <w:r>
        <w:rPr>
          <w:rFonts w:hint="eastAsia" w:cs="宋体"/>
          <w:kern w:val="0"/>
          <w:sz w:val="24"/>
          <w:szCs w:val="24"/>
        </w:rPr>
        <w:t>建设单位：安徽联创生物医药股份有限公司；</w:t>
      </w:r>
    </w:p>
    <w:p w14:paraId="43E42D71">
      <w:pPr>
        <w:adjustRightInd w:val="0"/>
        <w:spacing w:line="360" w:lineRule="auto"/>
        <w:ind w:right="238" w:firstLine="480" w:firstLineChars="200"/>
        <w:rPr>
          <w:rFonts w:cs="宋体"/>
          <w:kern w:val="0"/>
          <w:sz w:val="24"/>
          <w:szCs w:val="24"/>
        </w:rPr>
      </w:pPr>
      <w:r>
        <w:rPr>
          <w:rFonts w:hint="eastAsia" w:cs="宋体"/>
          <w:kern w:val="0"/>
          <w:sz w:val="24"/>
          <w:szCs w:val="24"/>
        </w:rPr>
        <w:t>主要建设内容及规模：引进标准化成套生产线设备，新建原料药生产车间及仓储、质控、环保、消防、道路及绿化等配套设施。项目规划总占地80-110亩，其中一期约50亩。项目全部建成达产后，年产新型糖尿病及抗肿瘤原料药130吨。</w:t>
      </w:r>
    </w:p>
    <w:p w14:paraId="2EC787E4">
      <w:pPr>
        <w:adjustRightInd w:val="0"/>
        <w:spacing w:line="360" w:lineRule="auto"/>
        <w:ind w:right="238" w:firstLine="480" w:firstLineChars="200"/>
        <w:rPr>
          <w:rFonts w:cs="宋体"/>
          <w:kern w:val="0"/>
          <w:sz w:val="24"/>
          <w:szCs w:val="24"/>
        </w:rPr>
      </w:pPr>
      <w:r>
        <w:rPr>
          <w:rFonts w:hint="eastAsia" w:cs="宋体"/>
          <w:kern w:val="0"/>
          <w:sz w:val="24"/>
          <w:szCs w:val="24"/>
        </w:rPr>
        <w:t xml:space="preserve">建设期：项目建设期为5年，2021-2026年，其中一期计划2021年初破土动工，2022年6月底前完工，2022年底实现投产运营；二期规划于2023年启动。                                                        </w:t>
      </w:r>
    </w:p>
    <w:p w14:paraId="0347938A">
      <w:pPr>
        <w:adjustRightInd w:val="0"/>
        <w:spacing w:line="360" w:lineRule="auto"/>
        <w:ind w:right="238" w:firstLine="480" w:firstLineChars="200"/>
        <w:rPr>
          <w:rFonts w:cs="宋体"/>
          <w:kern w:val="0"/>
          <w:sz w:val="24"/>
          <w:szCs w:val="24"/>
        </w:rPr>
      </w:pPr>
      <w:r>
        <w:rPr>
          <w:rFonts w:hint="eastAsia" w:cs="宋体"/>
          <w:kern w:val="0"/>
          <w:sz w:val="24"/>
          <w:szCs w:val="24"/>
        </w:rPr>
        <w:t>项目投资计划：项目初步估算总投资2亿元（含土地，下同），其中一期投资8000万元，用于设备投入4000万元。</w:t>
      </w:r>
    </w:p>
    <w:p w14:paraId="186BD389">
      <w:pPr>
        <w:adjustRightInd w:val="0"/>
        <w:spacing w:line="360" w:lineRule="auto"/>
        <w:ind w:right="238" w:firstLine="480" w:firstLineChars="200"/>
        <w:rPr>
          <w:rFonts w:cs="宋体"/>
          <w:kern w:val="0"/>
          <w:sz w:val="24"/>
          <w:szCs w:val="24"/>
        </w:rPr>
      </w:pPr>
      <w:r>
        <w:rPr>
          <w:rFonts w:hint="eastAsia" w:cs="宋体"/>
          <w:kern w:val="0"/>
          <w:sz w:val="24"/>
          <w:szCs w:val="24"/>
        </w:rPr>
        <w:t>预期效益：2022年投产当年完成产值8000万元，上交税收500万元；2023年完成产值1.28亿元，上交税收800万元；2024年完成产值1.6亿元，上交税收1000万元。项目全部建成达产后，预计年可实现产值8亿元，上交税收不低于4000万元。</w:t>
      </w:r>
    </w:p>
    <w:p w14:paraId="40B2481E">
      <w:pPr>
        <w:pStyle w:val="4"/>
        <w:spacing w:afterLines="100"/>
        <w:rPr>
          <w:rFonts w:ascii="Times New Roman" w:hAnsi="Times New Roman"/>
          <w:sz w:val="28"/>
          <w:szCs w:val="28"/>
        </w:rPr>
      </w:pPr>
      <w:bookmarkStart w:id="63" w:name="_Toc14808"/>
      <w:r>
        <w:rPr>
          <w:rFonts w:ascii="Times New Roman" w:hAnsi="Times New Roman"/>
          <w:sz w:val="24"/>
          <w:szCs w:val="24"/>
        </w:rPr>
        <w:t>重点项目</w:t>
      </w:r>
      <w:r>
        <w:rPr>
          <w:rFonts w:hint="eastAsia" w:ascii="Times New Roman" w:hAnsi="Times New Roman"/>
          <w:sz w:val="24"/>
          <w:szCs w:val="24"/>
        </w:rPr>
        <w:t>3</w:t>
      </w:r>
      <w:r>
        <w:rPr>
          <w:rFonts w:ascii="Times New Roman" w:hAnsi="Times New Roman"/>
          <w:sz w:val="24"/>
          <w:szCs w:val="24"/>
        </w:rPr>
        <w:t>：</w:t>
      </w:r>
      <w:r>
        <w:rPr>
          <w:rFonts w:hint="eastAsia" w:ascii="Times New Roman" w:hAnsi="Times New Roman"/>
          <w:sz w:val="28"/>
          <w:szCs w:val="28"/>
        </w:rPr>
        <w:t>苏州锦源精细化工有限责任公司年产2400吨三苯基膦系列产品生产线项目</w:t>
      </w:r>
      <w:bookmarkEnd w:id="63"/>
    </w:p>
    <w:p w14:paraId="7ACAFDEC">
      <w:pPr>
        <w:adjustRightInd w:val="0"/>
        <w:spacing w:line="360" w:lineRule="auto"/>
        <w:ind w:right="238" w:firstLine="480" w:firstLineChars="200"/>
        <w:rPr>
          <w:rFonts w:cs="宋体"/>
          <w:kern w:val="0"/>
          <w:sz w:val="24"/>
          <w:szCs w:val="24"/>
        </w:rPr>
      </w:pPr>
      <w:r>
        <w:rPr>
          <w:rFonts w:hint="eastAsia" w:cs="宋体"/>
          <w:kern w:val="0"/>
          <w:sz w:val="24"/>
          <w:szCs w:val="24"/>
        </w:rPr>
        <w:t>一、项目名称</w:t>
      </w:r>
    </w:p>
    <w:p w14:paraId="5282E70C">
      <w:pPr>
        <w:adjustRightInd w:val="0"/>
        <w:spacing w:line="360" w:lineRule="auto"/>
        <w:ind w:right="238" w:firstLine="480" w:firstLineChars="200"/>
        <w:rPr>
          <w:rFonts w:cs="宋体"/>
          <w:kern w:val="0"/>
          <w:sz w:val="24"/>
          <w:szCs w:val="24"/>
        </w:rPr>
      </w:pPr>
      <w:r>
        <w:rPr>
          <w:rFonts w:hint="eastAsia" w:cs="宋体"/>
          <w:kern w:val="0"/>
          <w:sz w:val="24"/>
          <w:szCs w:val="24"/>
        </w:rPr>
        <w:t>年产2400吨三苯基膦系列产品（抗生素原料药）生产线</w:t>
      </w:r>
    </w:p>
    <w:p w14:paraId="49C7B2A7">
      <w:pPr>
        <w:adjustRightInd w:val="0"/>
        <w:spacing w:line="360" w:lineRule="auto"/>
        <w:ind w:right="238" w:firstLine="480" w:firstLineChars="200"/>
        <w:rPr>
          <w:rFonts w:cs="宋体"/>
          <w:kern w:val="0"/>
          <w:sz w:val="24"/>
          <w:szCs w:val="24"/>
        </w:rPr>
      </w:pPr>
      <w:r>
        <w:rPr>
          <w:rFonts w:hint="eastAsia" w:cs="宋体"/>
          <w:kern w:val="0"/>
          <w:sz w:val="24"/>
          <w:szCs w:val="24"/>
        </w:rPr>
        <w:t>二、项目建设单位</w:t>
      </w:r>
    </w:p>
    <w:p w14:paraId="41E17FB9">
      <w:pPr>
        <w:adjustRightInd w:val="0"/>
        <w:spacing w:line="360" w:lineRule="auto"/>
        <w:ind w:right="238" w:firstLine="480" w:firstLineChars="200"/>
        <w:rPr>
          <w:rFonts w:cs="宋体"/>
          <w:kern w:val="0"/>
          <w:sz w:val="24"/>
          <w:szCs w:val="24"/>
        </w:rPr>
      </w:pPr>
      <w:r>
        <w:rPr>
          <w:rFonts w:hint="eastAsia" w:cs="宋体"/>
          <w:kern w:val="0"/>
          <w:sz w:val="24"/>
          <w:szCs w:val="24"/>
        </w:rPr>
        <w:t>苏州锦源精细化工有限责任公司</w:t>
      </w:r>
    </w:p>
    <w:p w14:paraId="2D31E42A">
      <w:pPr>
        <w:adjustRightInd w:val="0"/>
        <w:spacing w:line="360" w:lineRule="auto"/>
        <w:ind w:right="238" w:firstLine="480" w:firstLineChars="200"/>
        <w:rPr>
          <w:rFonts w:cs="宋体"/>
          <w:kern w:val="0"/>
          <w:sz w:val="24"/>
          <w:szCs w:val="24"/>
        </w:rPr>
      </w:pPr>
      <w:r>
        <w:rPr>
          <w:rFonts w:hint="eastAsia" w:cs="宋体"/>
          <w:kern w:val="0"/>
          <w:sz w:val="24"/>
          <w:szCs w:val="24"/>
        </w:rPr>
        <w:t>三、项目选址</w:t>
      </w:r>
    </w:p>
    <w:p w14:paraId="0CE4A7B5">
      <w:pPr>
        <w:adjustRightInd w:val="0"/>
        <w:spacing w:line="360" w:lineRule="auto"/>
        <w:ind w:right="238" w:firstLine="480" w:firstLineChars="200"/>
        <w:rPr>
          <w:rFonts w:cs="宋体"/>
          <w:kern w:val="0"/>
          <w:sz w:val="24"/>
          <w:szCs w:val="24"/>
        </w:rPr>
      </w:pPr>
      <w:r>
        <w:rPr>
          <w:rFonts w:hint="eastAsia" w:cs="宋体"/>
          <w:kern w:val="0"/>
          <w:sz w:val="24"/>
          <w:szCs w:val="24"/>
        </w:rPr>
        <w:t>位于淮南经济技术开发区化工集中区内。项目将严格按照国家规范要求进行选址设计，安全防护距离及卫生防护距离符合现行规范要求。</w:t>
      </w:r>
    </w:p>
    <w:p w14:paraId="4B0FBB57">
      <w:pPr>
        <w:adjustRightInd w:val="0"/>
        <w:spacing w:line="360" w:lineRule="auto"/>
        <w:ind w:right="238" w:firstLine="480" w:firstLineChars="200"/>
        <w:rPr>
          <w:rFonts w:cs="宋体"/>
          <w:kern w:val="0"/>
          <w:sz w:val="24"/>
          <w:szCs w:val="24"/>
        </w:rPr>
      </w:pPr>
      <w:r>
        <w:rPr>
          <w:rFonts w:hint="eastAsia" w:cs="宋体"/>
          <w:kern w:val="0"/>
          <w:sz w:val="24"/>
          <w:szCs w:val="24"/>
        </w:rPr>
        <w:t>四、项目用地规模</w:t>
      </w:r>
    </w:p>
    <w:p w14:paraId="53D3A295">
      <w:pPr>
        <w:adjustRightInd w:val="0"/>
        <w:spacing w:line="360" w:lineRule="auto"/>
        <w:ind w:right="238" w:firstLine="480" w:firstLineChars="200"/>
        <w:rPr>
          <w:rFonts w:cs="宋体"/>
          <w:kern w:val="0"/>
          <w:sz w:val="24"/>
          <w:szCs w:val="24"/>
        </w:rPr>
      </w:pPr>
      <w:r>
        <w:rPr>
          <w:rFonts w:hint="eastAsia" w:cs="宋体"/>
          <w:kern w:val="0"/>
          <w:sz w:val="24"/>
          <w:szCs w:val="24"/>
        </w:rPr>
        <w:t>项目总用地面积40000平方米（折合约60亩）。</w:t>
      </w:r>
    </w:p>
    <w:p w14:paraId="374A8E64">
      <w:pPr>
        <w:adjustRightInd w:val="0"/>
        <w:spacing w:line="360" w:lineRule="auto"/>
        <w:ind w:right="238" w:firstLine="480" w:firstLineChars="200"/>
        <w:rPr>
          <w:rFonts w:cs="宋体"/>
          <w:kern w:val="0"/>
          <w:sz w:val="24"/>
          <w:szCs w:val="24"/>
        </w:rPr>
      </w:pPr>
      <w:r>
        <w:rPr>
          <w:rFonts w:hint="eastAsia" w:cs="宋体"/>
          <w:kern w:val="0"/>
          <w:sz w:val="24"/>
          <w:szCs w:val="24"/>
        </w:rPr>
        <w:t>五、项目建设必要性</w:t>
      </w:r>
    </w:p>
    <w:p w14:paraId="10C75B79">
      <w:pPr>
        <w:adjustRightInd w:val="0"/>
        <w:spacing w:line="360" w:lineRule="auto"/>
        <w:ind w:right="238" w:firstLine="480" w:firstLineChars="200"/>
        <w:rPr>
          <w:rFonts w:cs="宋体"/>
          <w:kern w:val="0"/>
          <w:sz w:val="24"/>
          <w:szCs w:val="24"/>
        </w:rPr>
      </w:pPr>
      <w:r>
        <w:rPr>
          <w:rFonts w:hint="eastAsia" w:cs="宋体"/>
          <w:kern w:val="0"/>
          <w:sz w:val="24"/>
          <w:szCs w:val="24"/>
        </w:rPr>
        <w:t>三苯基膦产品是一种重要的化学中间体，广泛应用于石油化工医药、橡胶、油漆、树脂等领域。目前国内规模生产的企业不多，全国年生产量远不能满足国内每年需求且国际需求量逐年上升的趋势。我公司新建三苯基膦产品镁法生产工艺路线在产品质量和环境保护等方面均己达国际先进水平，因此项目的建设将有利地促进淮南经济技术开发区的建设和发展，加强东部与中心城区工业一体化的沟通与联系，特别在增加就业岗位培训精细化工人才、增加地方财税收入、出口创汇等主面，具有很重要的现实意义。</w:t>
      </w:r>
    </w:p>
    <w:p w14:paraId="7EF8B30B">
      <w:pPr>
        <w:adjustRightInd w:val="0"/>
        <w:spacing w:line="360" w:lineRule="auto"/>
        <w:ind w:right="238" w:firstLine="480" w:firstLineChars="200"/>
        <w:rPr>
          <w:rFonts w:cs="宋体"/>
          <w:kern w:val="0"/>
          <w:sz w:val="24"/>
          <w:szCs w:val="24"/>
        </w:rPr>
      </w:pPr>
      <w:r>
        <w:rPr>
          <w:rFonts w:hint="eastAsia" w:cs="宋体"/>
          <w:kern w:val="0"/>
          <w:sz w:val="24"/>
          <w:szCs w:val="24"/>
        </w:rPr>
        <w:t>六、项目总投资及资金构成</w:t>
      </w:r>
    </w:p>
    <w:p w14:paraId="25C9CAEA">
      <w:pPr>
        <w:adjustRightInd w:val="0"/>
        <w:spacing w:line="360" w:lineRule="auto"/>
        <w:ind w:right="238" w:firstLine="480" w:firstLineChars="200"/>
        <w:rPr>
          <w:rFonts w:cs="宋体"/>
          <w:kern w:val="0"/>
          <w:sz w:val="24"/>
          <w:szCs w:val="24"/>
        </w:rPr>
      </w:pPr>
      <w:r>
        <w:rPr>
          <w:rFonts w:hint="eastAsia" w:cs="宋体"/>
          <w:kern w:val="0"/>
          <w:sz w:val="24"/>
          <w:szCs w:val="24"/>
        </w:rPr>
        <w:t>项目预计总投资2亿元，其中一期投资1.3亿元，二期投资7000万元。</w:t>
      </w:r>
    </w:p>
    <w:p w14:paraId="648B6698">
      <w:pPr>
        <w:adjustRightInd w:val="0"/>
        <w:spacing w:line="360" w:lineRule="auto"/>
        <w:ind w:right="238" w:firstLine="480" w:firstLineChars="200"/>
        <w:rPr>
          <w:rFonts w:cs="宋体"/>
          <w:kern w:val="0"/>
          <w:sz w:val="24"/>
          <w:szCs w:val="24"/>
        </w:rPr>
      </w:pPr>
      <w:r>
        <w:rPr>
          <w:rFonts w:hint="eastAsia" w:cs="宋体"/>
          <w:kern w:val="0"/>
          <w:sz w:val="24"/>
          <w:szCs w:val="24"/>
        </w:rPr>
        <w:t>一期投资情况（1.3亿）：（1）固定资产投资7000万元，其中：设备投资3500万，房屋、土建投资2300万元，土地费用投资1200万元；（2）流动资金6000万元。</w:t>
      </w:r>
    </w:p>
    <w:p w14:paraId="3A367D59">
      <w:pPr>
        <w:adjustRightInd w:val="0"/>
        <w:spacing w:line="360" w:lineRule="auto"/>
        <w:ind w:right="238" w:firstLine="480" w:firstLineChars="200"/>
        <w:rPr>
          <w:rFonts w:cs="宋体"/>
          <w:kern w:val="0"/>
          <w:sz w:val="24"/>
          <w:szCs w:val="24"/>
        </w:rPr>
      </w:pPr>
      <w:r>
        <w:rPr>
          <w:rFonts w:hint="eastAsia" w:cs="宋体"/>
          <w:kern w:val="0"/>
          <w:sz w:val="24"/>
          <w:szCs w:val="24"/>
        </w:rPr>
        <w:t>二期投资情况（7000万）：（1）固定资产投资3700万元，其中：设备投资2600万，房屋、土建投资1100万元，（2）流动资金3300万元。</w:t>
      </w:r>
    </w:p>
    <w:p w14:paraId="392B4649">
      <w:pPr>
        <w:adjustRightInd w:val="0"/>
        <w:spacing w:line="360" w:lineRule="auto"/>
        <w:ind w:right="238" w:firstLine="480" w:firstLineChars="200"/>
        <w:rPr>
          <w:rFonts w:cs="宋体"/>
          <w:kern w:val="0"/>
          <w:sz w:val="24"/>
          <w:szCs w:val="24"/>
        </w:rPr>
      </w:pPr>
      <w:r>
        <w:rPr>
          <w:rFonts w:hint="eastAsia" w:cs="宋体"/>
          <w:kern w:val="0"/>
          <w:sz w:val="24"/>
          <w:szCs w:val="24"/>
        </w:rPr>
        <w:t>利税2000万元。</w:t>
      </w:r>
    </w:p>
    <w:p w14:paraId="59776476">
      <w:pPr>
        <w:adjustRightInd w:val="0"/>
        <w:spacing w:line="360" w:lineRule="auto"/>
        <w:ind w:right="238" w:firstLine="480" w:firstLineChars="200"/>
        <w:rPr>
          <w:rFonts w:cs="宋体"/>
          <w:kern w:val="0"/>
          <w:sz w:val="24"/>
          <w:szCs w:val="24"/>
        </w:rPr>
      </w:pPr>
      <w:r>
        <w:rPr>
          <w:rFonts w:hint="eastAsia" w:cs="宋体"/>
          <w:kern w:val="0"/>
          <w:sz w:val="24"/>
          <w:szCs w:val="24"/>
        </w:rPr>
        <w:t>七、资金筹措</w:t>
      </w:r>
    </w:p>
    <w:p w14:paraId="6B0C62D1">
      <w:pPr>
        <w:adjustRightInd w:val="0"/>
        <w:spacing w:line="360" w:lineRule="auto"/>
        <w:ind w:right="238" w:firstLine="480" w:firstLineChars="200"/>
        <w:rPr>
          <w:rFonts w:cs="宋体"/>
          <w:kern w:val="0"/>
          <w:sz w:val="24"/>
          <w:szCs w:val="24"/>
        </w:rPr>
      </w:pPr>
      <w:r>
        <w:rPr>
          <w:rFonts w:hint="eastAsia" w:cs="宋体"/>
          <w:kern w:val="0"/>
          <w:sz w:val="24"/>
          <w:szCs w:val="24"/>
        </w:rPr>
        <w:t>企业自筹。</w:t>
      </w:r>
    </w:p>
    <w:p w14:paraId="02D24791">
      <w:pPr>
        <w:adjustRightInd w:val="0"/>
        <w:spacing w:line="360" w:lineRule="auto"/>
        <w:ind w:right="238" w:firstLine="480" w:firstLineChars="200"/>
        <w:rPr>
          <w:rFonts w:cs="宋体"/>
          <w:kern w:val="0"/>
          <w:sz w:val="24"/>
          <w:szCs w:val="24"/>
        </w:rPr>
      </w:pPr>
      <w:r>
        <w:rPr>
          <w:rFonts w:hint="eastAsia" w:cs="宋体"/>
          <w:kern w:val="0"/>
          <w:sz w:val="24"/>
          <w:szCs w:val="24"/>
        </w:rPr>
        <w:t>八、项目预期经济效益规划目标</w:t>
      </w:r>
    </w:p>
    <w:p w14:paraId="279B396D">
      <w:pPr>
        <w:adjustRightInd w:val="0"/>
        <w:spacing w:line="360" w:lineRule="auto"/>
        <w:ind w:right="238" w:firstLine="480" w:firstLineChars="200"/>
        <w:rPr>
          <w:rFonts w:cs="宋体"/>
          <w:kern w:val="0"/>
          <w:sz w:val="24"/>
          <w:szCs w:val="24"/>
        </w:rPr>
      </w:pPr>
      <w:r>
        <w:rPr>
          <w:rFonts w:hint="eastAsia" w:cs="宋体"/>
          <w:kern w:val="0"/>
          <w:sz w:val="24"/>
          <w:szCs w:val="24"/>
        </w:rPr>
        <w:t>（一）一期投产后</w:t>
      </w:r>
    </w:p>
    <w:p w14:paraId="5D425589">
      <w:pPr>
        <w:adjustRightInd w:val="0"/>
        <w:spacing w:line="360" w:lineRule="auto"/>
        <w:ind w:right="238" w:firstLine="480" w:firstLineChars="200"/>
        <w:rPr>
          <w:rFonts w:cs="宋体"/>
          <w:kern w:val="0"/>
          <w:sz w:val="24"/>
          <w:szCs w:val="24"/>
        </w:rPr>
      </w:pPr>
      <w:r>
        <w:rPr>
          <w:rFonts w:hint="eastAsia" w:cs="宋体"/>
          <w:kern w:val="0"/>
          <w:sz w:val="24"/>
          <w:szCs w:val="24"/>
        </w:rPr>
        <w:t>第一年实现营业收入约6000万元，纳税总额约400万。</w:t>
      </w:r>
    </w:p>
    <w:p w14:paraId="218A42CB">
      <w:pPr>
        <w:adjustRightInd w:val="0"/>
        <w:spacing w:line="360" w:lineRule="auto"/>
        <w:ind w:right="238" w:firstLine="480" w:firstLineChars="200"/>
        <w:rPr>
          <w:rFonts w:cs="宋体"/>
          <w:kern w:val="0"/>
          <w:sz w:val="24"/>
          <w:szCs w:val="24"/>
        </w:rPr>
      </w:pPr>
      <w:r>
        <w:rPr>
          <w:rFonts w:hint="eastAsia" w:cs="宋体"/>
          <w:kern w:val="0"/>
          <w:sz w:val="24"/>
          <w:szCs w:val="24"/>
        </w:rPr>
        <w:t>第二年实现营业收入约8000万元，纳税总额约 550万元。</w:t>
      </w:r>
    </w:p>
    <w:p w14:paraId="49482EA2">
      <w:pPr>
        <w:adjustRightInd w:val="0"/>
        <w:spacing w:line="360" w:lineRule="auto"/>
        <w:ind w:right="238" w:firstLine="480" w:firstLineChars="200"/>
        <w:rPr>
          <w:rFonts w:cs="宋体"/>
          <w:kern w:val="0"/>
          <w:sz w:val="24"/>
          <w:szCs w:val="24"/>
        </w:rPr>
      </w:pPr>
      <w:r>
        <w:rPr>
          <w:rFonts w:hint="eastAsia" w:cs="宋体"/>
          <w:kern w:val="0"/>
          <w:sz w:val="24"/>
          <w:szCs w:val="24"/>
        </w:rPr>
        <w:t>第三年实现营业收入约1亿，纳税总额约750万元。</w:t>
      </w:r>
    </w:p>
    <w:p w14:paraId="5DBB0BEA">
      <w:pPr>
        <w:adjustRightInd w:val="0"/>
        <w:spacing w:line="360" w:lineRule="auto"/>
        <w:ind w:right="238" w:firstLine="480" w:firstLineChars="200"/>
        <w:rPr>
          <w:rFonts w:cs="宋体"/>
          <w:kern w:val="0"/>
          <w:sz w:val="24"/>
          <w:szCs w:val="24"/>
        </w:rPr>
      </w:pPr>
      <w:r>
        <w:rPr>
          <w:rFonts w:hint="eastAsia" w:cs="宋体"/>
          <w:kern w:val="0"/>
          <w:sz w:val="24"/>
          <w:szCs w:val="24"/>
        </w:rPr>
        <w:t>（二）二期投产后</w:t>
      </w:r>
    </w:p>
    <w:p w14:paraId="3FF74B01">
      <w:pPr>
        <w:adjustRightInd w:val="0"/>
        <w:spacing w:line="360" w:lineRule="auto"/>
        <w:ind w:right="238" w:firstLine="480" w:firstLineChars="200"/>
        <w:rPr>
          <w:rFonts w:cs="宋体"/>
          <w:kern w:val="0"/>
          <w:sz w:val="24"/>
          <w:szCs w:val="24"/>
        </w:rPr>
      </w:pPr>
      <w:r>
        <w:rPr>
          <w:rFonts w:hint="eastAsia" w:cs="宋体"/>
          <w:kern w:val="0"/>
          <w:sz w:val="24"/>
          <w:szCs w:val="24"/>
        </w:rPr>
        <w:t>实现营业收入约2亿元，纳税总额约1000万。</w:t>
      </w:r>
    </w:p>
    <w:p w14:paraId="5D6029E7">
      <w:pPr>
        <w:adjustRightInd w:val="0"/>
        <w:spacing w:line="360" w:lineRule="auto"/>
        <w:ind w:right="238" w:firstLine="480" w:firstLineChars="200"/>
        <w:rPr>
          <w:rFonts w:cs="宋体"/>
          <w:kern w:val="0"/>
          <w:sz w:val="24"/>
          <w:szCs w:val="24"/>
        </w:rPr>
      </w:pPr>
      <w:r>
        <w:rPr>
          <w:rFonts w:hint="eastAsia" w:cs="宋体"/>
          <w:kern w:val="0"/>
          <w:sz w:val="24"/>
          <w:szCs w:val="24"/>
        </w:rPr>
        <w:t>九、进度规划</w:t>
      </w:r>
    </w:p>
    <w:p w14:paraId="38189FF7">
      <w:pPr>
        <w:adjustRightInd w:val="0"/>
        <w:spacing w:line="360" w:lineRule="auto"/>
        <w:ind w:right="238" w:firstLine="480" w:firstLineChars="200"/>
        <w:rPr>
          <w:rFonts w:cs="宋体"/>
          <w:kern w:val="0"/>
          <w:sz w:val="24"/>
          <w:szCs w:val="24"/>
        </w:rPr>
      </w:pPr>
      <w:r>
        <w:rPr>
          <w:rFonts w:hint="eastAsia" w:cs="宋体"/>
          <w:kern w:val="0"/>
          <w:sz w:val="24"/>
          <w:szCs w:val="24"/>
        </w:rPr>
        <w:t xml:space="preserve">  项目建设分两期建设，建设内容为：年产2400吨三苯基膦系列产品（抗生素原料药）生产线。</w:t>
      </w:r>
    </w:p>
    <w:p w14:paraId="6BA33054">
      <w:pPr>
        <w:adjustRightInd w:val="0"/>
        <w:spacing w:line="360" w:lineRule="auto"/>
        <w:ind w:right="238" w:firstLine="480" w:firstLineChars="200"/>
        <w:rPr>
          <w:rFonts w:cs="宋体"/>
          <w:kern w:val="0"/>
          <w:sz w:val="24"/>
          <w:szCs w:val="24"/>
        </w:rPr>
      </w:pPr>
      <w:r>
        <w:rPr>
          <w:rFonts w:hint="eastAsia" w:cs="宋体"/>
          <w:kern w:val="0"/>
          <w:sz w:val="24"/>
          <w:szCs w:val="24"/>
        </w:rPr>
        <w:t>一期建设期限为：从取得土地指标、规划、土地证后开始，建设期2年。</w:t>
      </w:r>
    </w:p>
    <w:p w14:paraId="217CC747">
      <w:pPr>
        <w:adjustRightInd w:val="0"/>
        <w:spacing w:line="360" w:lineRule="auto"/>
        <w:ind w:right="238" w:firstLine="480" w:firstLineChars="200"/>
        <w:rPr>
          <w:rFonts w:cs="宋体"/>
          <w:kern w:val="0"/>
          <w:sz w:val="24"/>
          <w:szCs w:val="24"/>
        </w:rPr>
      </w:pPr>
      <w:r>
        <w:rPr>
          <w:rFonts w:hint="eastAsia" w:cs="宋体"/>
          <w:kern w:val="0"/>
          <w:sz w:val="24"/>
          <w:szCs w:val="24"/>
        </w:rPr>
        <w:t>一期建设期限为：一期投产1年后开始建设，建设期1年。</w:t>
      </w:r>
    </w:p>
    <w:p w14:paraId="3E7EAF32">
      <w:pPr>
        <w:adjustRightInd w:val="0"/>
        <w:spacing w:line="360" w:lineRule="auto"/>
        <w:ind w:right="238" w:firstLine="480" w:firstLineChars="200"/>
        <w:rPr>
          <w:rFonts w:cs="宋体"/>
          <w:kern w:val="0"/>
          <w:sz w:val="24"/>
          <w:szCs w:val="24"/>
        </w:rPr>
      </w:pPr>
      <w:r>
        <w:rPr>
          <w:rFonts w:hint="eastAsia" w:cs="宋体"/>
          <w:kern w:val="0"/>
          <w:sz w:val="24"/>
          <w:szCs w:val="24"/>
        </w:rPr>
        <w:t>十、项目评价</w:t>
      </w:r>
    </w:p>
    <w:p w14:paraId="12A8A358">
      <w:pPr>
        <w:adjustRightInd w:val="0"/>
        <w:spacing w:line="360" w:lineRule="auto"/>
        <w:ind w:right="238" w:firstLine="480" w:firstLineChars="200"/>
        <w:rPr>
          <w:rFonts w:cs="宋体"/>
          <w:kern w:val="0"/>
          <w:sz w:val="24"/>
          <w:szCs w:val="24"/>
        </w:rPr>
      </w:pPr>
      <w:r>
        <w:rPr>
          <w:rFonts w:hint="eastAsia" w:cs="宋体"/>
          <w:kern w:val="0"/>
          <w:sz w:val="24"/>
          <w:szCs w:val="24"/>
        </w:rPr>
        <w:t>1、本项目的生产设备自动化程度较高，关键工艺设备处于国内先进水平，有效节约了人力资源，降低了生产成本。</w:t>
      </w:r>
    </w:p>
    <w:p w14:paraId="3385075E">
      <w:pPr>
        <w:adjustRightInd w:val="0"/>
        <w:spacing w:line="360" w:lineRule="auto"/>
        <w:ind w:right="238" w:firstLine="480" w:firstLineChars="200"/>
        <w:rPr>
          <w:rFonts w:cs="宋体"/>
          <w:kern w:val="0"/>
          <w:sz w:val="24"/>
          <w:szCs w:val="24"/>
        </w:rPr>
      </w:pPr>
      <w:r>
        <w:rPr>
          <w:rFonts w:hint="eastAsia" w:cs="宋体"/>
          <w:kern w:val="0"/>
          <w:sz w:val="24"/>
          <w:szCs w:val="24"/>
        </w:rPr>
        <w:t>2、本项目各项污染治理得当，经有效处置后污染源排放符合国家相关环保规范要求，不会造成环境污染；项目安全风险较小，设置了仪表自控系统、安全仪表系统及相应的安全防控措施。项目建成投运后能够实现安全、环保生产。</w:t>
      </w:r>
    </w:p>
    <w:p w14:paraId="49F85E28">
      <w:pPr>
        <w:adjustRightInd w:val="0"/>
        <w:spacing w:line="360" w:lineRule="auto"/>
        <w:ind w:right="238" w:firstLine="480" w:firstLineChars="200"/>
        <w:rPr>
          <w:rFonts w:cs="宋体"/>
          <w:kern w:val="0"/>
          <w:sz w:val="24"/>
          <w:szCs w:val="24"/>
        </w:rPr>
      </w:pPr>
      <w:r>
        <w:rPr>
          <w:rFonts w:hint="eastAsia" w:cs="宋体"/>
          <w:kern w:val="0"/>
          <w:sz w:val="24"/>
          <w:szCs w:val="24"/>
        </w:rPr>
        <w:t>3、苏州锦源精细化工有限责任公司为适应国内外市场需求，拟建“年产2400吨三苯基膦系列产品（抗生素原料药）生产线项目”，本期工程项目的建设能够有力促进淮南经济技术开发区化工集中区经济发展，为社会提供部分就业职位，具有较好的社会效益和经济效益，达产年纳税总额1800万元，可以促进淮南经济技术开发区化工集中区经济的繁荣发展和社会稳定，为地方财政收入做出积极的贡献。</w:t>
      </w:r>
    </w:p>
    <w:p w14:paraId="028E2266">
      <w:pPr>
        <w:adjustRightInd w:val="0"/>
        <w:spacing w:line="360" w:lineRule="auto"/>
        <w:ind w:right="238" w:firstLine="480" w:firstLineChars="200"/>
        <w:rPr>
          <w:rFonts w:cs="宋体"/>
          <w:kern w:val="0"/>
          <w:sz w:val="24"/>
          <w:szCs w:val="24"/>
        </w:rPr>
      </w:pPr>
      <w:r>
        <w:rPr>
          <w:rFonts w:hint="eastAsia" w:cs="宋体"/>
          <w:kern w:val="0"/>
          <w:sz w:val="24"/>
          <w:szCs w:val="24"/>
        </w:rPr>
        <w:t>4、本项目符合国家产业发展政策和规划要求，符合淮南经济技术开发区化工集中区行业布局和结构调整政策；项目的建设对促进淮南经济技术开发区化工集中区产业结构、技术结构、组织结构、产品结构的调整优化有着积极的推动意义。</w:t>
      </w:r>
    </w:p>
    <w:p w14:paraId="3FC1FEF6">
      <w:pPr>
        <w:pStyle w:val="4"/>
        <w:spacing w:afterLines="100"/>
        <w:rPr>
          <w:rFonts w:ascii="Times New Roman" w:hAnsi="Times New Roman"/>
          <w:sz w:val="28"/>
          <w:szCs w:val="28"/>
        </w:rPr>
      </w:pPr>
      <w:bookmarkStart w:id="64" w:name="_Toc29737"/>
      <w:r>
        <w:rPr>
          <w:rFonts w:ascii="Times New Roman" w:hAnsi="Times New Roman"/>
          <w:sz w:val="24"/>
          <w:szCs w:val="24"/>
        </w:rPr>
        <w:t>重点项目</w:t>
      </w:r>
      <w:r>
        <w:rPr>
          <w:rFonts w:hint="eastAsia" w:ascii="Times New Roman" w:hAnsi="Times New Roman"/>
          <w:sz w:val="24"/>
          <w:szCs w:val="24"/>
        </w:rPr>
        <w:t>4</w:t>
      </w:r>
      <w:r>
        <w:rPr>
          <w:rFonts w:ascii="Times New Roman" w:hAnsi="Times New Roman"/>
          <w:sz w:val="24"/>
          <w:szCs w:val="24"/>
        </w:rPr>
        <w:t>：</w:t>
      </w:r>
      <w:r>
        <w:rPr>
          <w:rFonts w:hint="eastAsia" w:ascii="Times New Roman" w:hAnsi="Times New Roman"/>
          <w:sz w:val="28"/>
          <w:szCs w:val="28"/>
        </w:rPr>
        <w:t>安徽联创制药有限公司高端原料药生产基地项目</w:t>
      </w:r>
      <w:bookmarkEnd w:id="64"/>
    </w:p>
    <w:p w14:paraId="41671C73">
      <w:pPr>
        <w:adjustRightInd w:val="0"/>
        <w:spacing w:line="360" w:lineRule="auto"/>
        <w:ind w:right="238" w:firstLine="480" w:firstLineChars="200"/>
        <w:rPr>
          <w:rFonts w:cs="宋体"/>
          <w:kern w:val="0"/>
          <w:sz w:val="24"/>
          <w:szCs w:val="24"/>
        </w:rPr>
      </w:pPr>
      <w:r>
        <w:rPr>
          <w:rFonts w:hint="eastAsia" w:cs="宋体"/>
          <w:kern w:val="0"/>
          <w:sz w:val="24"/>
          <w:szCs w:val="24"/>
        </w:rPr>
        <w:t>一、项目名称</w:t>
      </w:r>
    </w:p>
    <w:p w14:paraId="3364B185">
      <w:pPr>
        <w:adjustRightInd w:val="0"/>
        <w:spacing w:line="360" w:lineRule="auto"/>
        <w:ind w:right="238" w:firstLine="480" w:firstLineChars="200"/>
        <w:rPr>
          <w:rFonts w:cs="宋体"/>
          <w:kern w:val="0"/>
          <w:sz w:val="24"/>
          <w:szCs w:val="24"/>
        </w:rPr>
      </w:pPr>
      <w:r>
        <w:rPr>
          <w:rFonts w:hint="eastAsia" w:cs="宋体"/>
          <w:kern w:val="0"/>
          <w:sz w:val="24"/>
          <w:szCs w:val="24"/>
        </w:rPr>
        <w:t>高端原料药生产基地</w:t>
      </w:r>
    </w:p>
    <w:p w14:paraId="55F479BB">
      <w:pPr>
        <w:adjustRightInd w:val="0"/>
        <w:spacing w:line="360" w:lineRule="auto"/>
        <w:ind w:right="238" w:firstLine="480" w:firstLineChars="200"/>
        <w:rPr>
          <w:rFonts w:cs="宋体"/>
          <w:kern w:val="0"/>
          <w:sz w:val="24"/>
          <w:szCs w:val="24"/>
        </w:rPr>
      </w:pPr>
      <w:r>
        <w:rPr>
          <w:rFonts w:hint="eastAsia" w:cs="宋体"/>
          <w:kern w:val="0"/>
          <w:sz w:val="24"/>
          <w:szCs w:val="24"/>
        </w:rPr>
        <w:t>二、项目建设单位</w:t>
      </w:r>
    </w:p>
    <w:p w14:paraId="5F39C520">
      <w:pPr>
        <w:adjustRightInd w:val="0"/>
        <w:spacing w:line="360" w:lineRule="auto"/>
        <w:ind w:right="238" w:firstLine="480" w:firstLineChars="200"/>
        <w:rPr>
          <w:rFonts w:cs="宋体"/>
          <w:kern w:val="0"/>
          <w:sz w:val="24"/>
          <w:szCs w:val="24"/>
        </w:rPr>
      </w:pPr>
      <w:r>
        <w:rPr>
          <w:rFonts w:hint="eastAsia" w:cs="宋体"/>
          <w:kern w:val="0"/>
          <w:sz w:val="24"/>
          <w:szCs w:val="24"/>
        </w:rPr>
        <w:t>安徽联创制药有限公司</w:t>
      </w:r>
    </w:p>
    <w:p w14:paraId="39D5384B">
      <w:pPr>
        <w:adjustRightInd w:val="0"/>
        <w:spacing w:line="360" w:lineRule="auto"/>
        <w:ind w:right="238" w:firstLine="480" w:firstLineChars="200"/>
        <w:rPr>
          <w:rFonts w:cs="宋体"/>
          <w:kern w:val="0"/>
          <w:sz w:val="24"/>
          <w:szCs w:val="24"/>
        </w:rPr>
      </w:pPr>
      <w:r>
        <w:rPr>
          <w:rFonts w:hint="eastAsia" w:cs="宋体"/>
          <w:kern w:val="0"/>
          <w:sz w:val="24"/>
          <w:szCs w:val="24"/>
        </w:rPr>
        <w:t>三、项目选址</w:t>
      </w:r>
    </w:p>
    <w:p w14:paraId="52C8E7FA">
      <w:pPr>
        <w:adjustRightInd w:val="0"/>
        <w:spacing w:line="360" w:lineRule="auto"/>
        <w:ind w:right="238" w:firstLine="480" w:firstLineChars="200"/>
        <w:rPr>
          <w:rFonts w:cs="宋体"/>
          <w:kern w:val="0"/>
          <w:sz w:val="24"/>
          <w:szCs w:val="24"/>
        </w:rPr>
      </w:pPr>
      <w:r>
        <w:rPr>
          <w:rFonts w:hint="eastAsia" w:cs="宋体"/>
          <w:kern w:val="0"/>
          <w:sz w:val="24"/>
          <w:szCs w:val="24"/>
        </w:rPr>
        <w:t>位于淮南经济技术开发区化工集中区内。项目将严格按照国家规范要求进行选址设计，安全防护距离及卫生防护距离符合现行规范要求。</w:t>
      </w:r>
    </w:p>
    <w:p w14:paraId="46C7684A">
      <w:pPr>
        <w:adjustRightInd w:val="0"/>
        <w:spacing w:line="360" w:lineRule="auto"/>
        <w:ind w:right="238" w:firstLine="480" w:firstLineChars="200"/>
        <w:rPr>
          <w:rFonts w:cs="宋体"/>
          <w:kern w:val="0"/>
          <w:sz w:val="24"/>
          <w:szCs w:val="24"/>
        </w:rPr>
      </w:pPr>
      <w:r>
        <w:rPr>
          <w:rFonts w:hint="eastAsia" w:cs="宋体"/>
          <w:kern w:val="0"/>
          <w:sz w:val="24"/>
          <w:szCs w:val="24"/>
        </w:rPr>
        <w:t>四、项目用地规模</w:t>
      </w:r>
    </w:p>
    <w:p w14:paraId="67FF74C8">
      <w:pPr>
        <w:adjustRightInd w:val="0"/>
        <w:spacing w:line="360" w:lineRule="auto"/>
        <w:ind w:right="238" w:firstLine="480" w:firstLineChars="200"/>
        <w:rPr>
          <w:rFonts w:cs="宋体"/>
          <w:kern w:val="0"/>
          <w:sz w:val="24"/>
          <w:szCs w:val="24"/>
        </w:rPr>
      </w:pPr>
      <w:r>
        <w:rPr>
          <w:rFonts w:hint="eastAsia" w:cs="宋体"/>
          <w:kern w:val="0"/>
          <w:sz w:val="24"/>
          <w:szCs w:val="24"/>
        </w:rPr>
        <w:t>项目总用地面积50亩，投资约1.5亿元，主要新建新型糖尿病及抗肿瘤原料药生产线及配套设施。</w:t>
      </w:r>
    </w:p>
    <w:p w14:paraId="459F387B">
      <w:pPr>
        <w:adjustRightInd w:val="0"/>
        <w:spacing w:line="360" w:lineRule="auto"/>
        <w:ind w:right="238" w:firstLine="480" w:firstLineChars="200"/>
        <w:rPr>
          <w:rFonts w:cs="宋体"/>
          <w:kern w:val="0"/>
          <w:sz w:val="24"/>
          <w:szCs w:val="24"/>
        </w:rPr>
      </w:pPr>
      <w:r>
        <w:rPr>
          <w:rFonts w:hint="eastAsia" w:cs="宋体"/>
          <w:kern w:val="0"/>
          <w:sz w:val="24"/>
          <w:szCs w:val="24"/>
        </w:rPr>
        <w:t>五、建设期、项目预期经济效益规划目标</w:t>
      </w:r>
    </w:p>
    <w:p w14:paraId="01877536">
      <w:pPr>
        <w:pStyle w:val="12"/>
      </w:pPr>
      <w:r>
        <w:rPr>
          <w:rFonts w:hint="eastAsia" w:cs="宋体"/>
          <w:kern w:val="0"/>
          <w:sz w:val="24"/>
          <w:szCs w:val="24"/>
        </w:rPr>
        <w:t>建设期：2年。实现销售额3亿元，年均纳税200万元。</w:t>
      </w:r>
    </w:p>
    <w:p w14:paraId="23E9BF37">
      <w:pPr>
        <w:pStyle w:val="5"/>
        <w:numPr>
          <w:ilvl w:val="2"/>
          <w:numId w:val="5"/>
        </w:numPr>
        <w:ind w:firstLine="0"/>
        <w:rPr>
          <w:kern w:val="2"/>
          <w:sz w:val="24"/>
          <w:szCs w:val="22"/>
        </w:rPr>
      </w:pPr>
      <w:r>
        <w:rPr>
          <w:kern w:val="2"/>
          <w:sz w:val="24"/>
          <w:szCs w:val="22"/>
        </w:rPr>
        <w:t>按循环经济理念实施的综合利用产业链</w:t>
      </w:r>
    </w:p>
    <w:p w14:paraId="5167B2F8">
      <w:pPr>
        <w:spacing w:line="360" w:lineRule="auto"/>
        <w:ind w:firstLine="480" w:firstLineChars="200"/>
        <w:rPr>
          <w:kern w:val="0"/>
          <w:sz w:val="24"/>
          <w:szCs w:val="24"/>
        </w:rPr>
      </w:pPr>
      <w:r>
        <w:rPr>
          <w:kern w:val="0"/>
          <w:sz w:val="24"/>
          <w:szCs w:val="24"/>
        </w:rPr>
        <w:t>该产业链主要是利用工艺生产装置产生的各类废弃物，送到其它装置进行综合利用，实现环保效益和经济效益的统一。根据化工行业“三废”排放特点，按照循环经济及资源再利用的要求，达到“低污染、低消耗、高产出、高效益”的循环经济目标，推进废弃物的资源化综合利用，建设绿色环保的化工园区。</w:t>
      </w:r>
    </w:p>
    <w:p w14:paraId="04492FB5">
      <w:pPr>
        <w:pStyle w:val="4"/>
        <w:numPr>
          <w:ilvl w:val="1"/>
          <w:numId w:val="2"/>
        </w:numPr>
        <w:ind w:firstLine="0"/>
        <w:rPr>
          <w:rFonts w:ascii="Times New Roman" w:hAnsi="Times New Roman"/>
          <w:sz w:val="24"/>
          <w:szCs w:val="24"/>
        </w:rPr>
      </w:pPr>
      <w:bookmarkStart w:id="65" w:name="_Toc30920"/>
      <w:r>
        <w:rPr>
          <w:rFonts w:ascii="Times New Roman" w:hAnsi="Times New Roman"/>
          <w:sz w:val="24"/>
          <w:szCs w:val="24"/>
        </w:rPr>
        <w:t>产业布局</w:t>
      </w:r>
      <w:bookmarkEnd w:id="65"/>
    </w:p>
    <w:p w14:paraId="5A78A087">
      <w:pPr>
        <w:pStyle w:val="14"/>
        <w:spacing w:line="364" w:lineRule="auto"/>
        <w:ind w:right="917" w:firstLine="480"/>
        <w:rPr>
          <w:spacing w:val="-31"/>
        </w:rPr>
      </w:pPr>
      <w:r>
        <w:t>园区拥有医药核心企业及产业关联企业36家，主要依托中国医药集团国瑞药业、安徽山河药辅、韩国绿十字等龙头企业。国瑞药业冻干工艺技术处于全国领先水平，产能位于国内前5位；安徽山河药辅是全国最大的固体制剂辅料生产企业，有两个产品产销规模亚洲第一。</w:t>
      </w:r>
    </w:p>
    <w:p w14:paraId="37AB0AAA">
      <w:pPr>
        <w:pStyle w:val="14"/>
        <w:spacing w:line="364" w:lineRule="auto"/>
        <w:ind w:right="917" w:firstLine="0" w:firstLineChars="0"/>
        <w:jc w:val="center"/>
        <w:rPr>
          <w:spacing w:val="-31"/>
        </w:rPr>
      </w:pPr>
    </w:p>
    <w:p w14:paraId="0C68219E">
      <w:pPr>
        <w:pStyle w:val="14"/>
        <w:spacing w:line="364" w:lineRule="auto"/>
        <w:ind w:right="917" w:firstLine="0" w:firstLineChars="0"/>
        <w:jc w:val="center"/>
        <w:rPr>
          <w:spacing w:val="-31"/>
        </w:rPr>
      </w:pPr>
    </w:p>
    <w:p w14:paraId="3244562C">
      <w:pPr>
        <w:pStyle w:val="14"/>
        <w:spacing w:line="364" w:lineRule="auto"/>
        <w:ind w:right="917" w:firstLine="0" w:firstLineChars="0"/>
        <w:jc w:val="center"/>
        <w:rPr>
          <w:spacing w:val="-31"/>
        </w:rPr>
      </w:pPr>
    </w:p>
    <w:p w14:paraId="42950B94">
      <w:pPr>
        <w:pStyle w:val="14"/>
        <w:spacing w:line="364" w:lineRule="auto"/>
        <w:ind w:right="917" w:firstLine="0" w:firstLineChars="0"/>
        <w:jc w:val="center"/>
        <w:rPr>
          <w:spacing w:val="-31"/>
        </w:rPr>
      </w:pPr>
    </w:p>
    <w:p w14:paraId="3D14F01A">
      <w:pPr>
        <w:pStyle w:val="14"/>
        <w:spacing w:line="364" w:lineRule="auto"/>
        <w:ind w:right="917" w:firstLine="0" w:firstLineChars="0"/>
        <w:jc w:val="center"/>
      </w:pPr>
      <w:r>
        <w:drawing>
          <wp:anchor distT="0" distB="0" distL="0" distR="0" simplePos="0" relativeHeight="251660288" behindDoc="1" locked="0" layoutInCell="1" allowOverlap="1">
            <wp:simplePos x="0" y="0"/>
            <wp:positionH relativeFrom="page">
              <wp:posOffset>1162050</wp:posOffset>
            </wp:positionH>
            <wp:positionV relativeFrom="paragraph">
              <wp:posOffset>243205</wp:posOffset>
            </wp:positionV>
            <wp:extent cx="4370070" cy="3208020"/>
            <wp:effectExtent l="0" t="0" r="11430" b="1143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1" cstate="print"/>
                    <a:stretch>
                      <a:fillRect/>
                    </a:stretch>
                  </pic:blipFill>
                  <pic:spPr>
                    <a:xfrm>
                      <a:off x="0" y="0"/>
                      <a:ext cx="4370070" cy="3208020"/>
                    </a:xfrm>
                    <a:prstGeom prst="rect">
                      <a:avLst/>
                    </a:prstGeom>
                  </pic:spPr>
                </pic:pic>
              </a:graphicData>
            </a:graphic>
          </wp:anchor>
        </w:drawing>
      </w:r>
      <w:r>
        <w:rPr>
          <w:spacing w:val="-31"/>
        </w:rPr>
        <w:t xml:space="preserve">图 </w:t>
      </w:r>
      <w:r>
        <w:rPr>
          <w:rFonts w:eastAsia="宋体"/>
        </w:rPr>
        <w:t>3.3</w:t>
      </w:r>
      <w:r>
        <w:rPr>
          <w:rFonts w:eastAsia="Arial"/>
        </w:rPr>
        <w:t>-1</w:t>
      </w:r>
      <w:r>
        <w:t>淮南市产业空间布局情况</w:t>
      </w:r>
    </w:p>
    <w:p w14:paraId="6BDE7146">
      <w:pPr>
        <w:pStyle w:val="14"/>
        <w:spacing w:line="364" w:lineRule="auto"/>
        <w:ind w:right="917" w:firstLine="480"/>
      </w:pPr>
    </w:p>
    <w:p w14:paraId="460445C7">
      <w:pPr>
        <w:pStyle w:val="14"/>
        <w:spacing w:line="364" w:lineRule="auto"/>
        <w:ind w:right="917" w:firstLine="480"/>
      </w:pPr>
    </w:p>
    <w:p w14:paraId="4E85BDBD">
      <w:pPr>
        <w:pStyle w:val="14"/>
        <w:spacing w:line="364" w:lineRule="auto"/>
        <w:ind w:right="917" w:firstLine="480"/>
      </w:pPr>
    </w:p>
    <w:p w14:paraId="2D3239BC">
      <w:pPr>
        <w:pStyle w:val="14"/>
        <w:spacing w:line="364" w:lineRule="auto"/>
        <w:ind w:right="917" w:firstLine="480"/>
      </w:pPr>
    </w:p>
    <w:p w14:paraId="771B6196">
      <w:pPr>
        <w:pStyle w:val="12"/>
        <w:ind w:firstLine="0"/>
      </w:pPr>
    </w:p>
    <w:p w14:paraId="297D68FE"/>
    <w:p w14:paraId="42A9095A"/>
    <w:p w14:paraId="17FDF1BC"/>
    <w:p w14:paraId="2C3B980B"/>
    <w:p w14:paraId="2BFDF07A"/>
    <w:p w14:paraId="60322101">
      <w:pPr>
        <w:pStyle w:val="14"/>
        <w:spacing w:line="364" w:lineRule="auto"/>
        <w:ind w:right="917" w:firstLine="0" w:firstLineChars="0"/>
        <w:rPr>
          <w:spacing w:val="-31"/>
        </w:rPr>
      </w:pPr>
    </w:p>
    <w:p w14:paraId="4434F3D5">
      <w:pPr>
        <w:pStyle w:val="14"/>
        <w:spacing w:line="364" w:lineRule="auto"/>
        <w:ind w:right="917" w:firstLine="0" w:firstLineChars="0"/>
        <w:jc w:val="center"/>
      </w:pPr>
      <w:r>
        <w:rPr>
          <w:spacing w:val="-31"/>
        </w:rPr>
        <w:t xml:space="preserve">图 </w:t>
      </w:r>
      <w:r>
        <w:rPr>
          <w:rFonts w:eastAsia="宋体"/>
        </w:rPr>
        <w:t>3.3</w:t>
      </w:r>
      <w:r>
        <w:rPr>
          <w:rFonts w:eastAsia="Arial"/>
        </w:rPr>
        <w:t>-</w:t>
      </w:r>
      <w:r>
        <w:rPr>
          <w:rFonts w:eastAsia="宋体"/>
        </w:rPr>
        <w:t>2</w:t>
      </w:r>
      <w:r>
        <w:t>淮南市产业空间布局情况</w:t>
      </w:r>
    </w:p>
    <w:p w14:paraId="35415B98">
      <w:r>
        <w:rPr>
          <w:sz w:val="20"/>
        </w:rPr>
        <w:drawing>
          <wp:inline distT="0" distB="0" distL="0" distR="0">
            <wp:extent cx="4682490" cy="3797935"/>
            <wp:effectExtent l="0" t="0" r="3810" b="12065"/>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2" cstate="print"/>
                    <a:stretch>
                      <a:fillRect/>
                    </a:stretch>
                  </pic:blipFill>
                  <pic:spPr>
                    <a:xfrm>
                      <a:off x="0" y="0"/>
                      <a:ext cx="4682490" cy="3797935"/>
                    </a:xfrm>
                    <a:prstGeom prst="rect">
                      <a:avLst/>
                    </a:prstGeom>
                  </pic:spPr>
                </pic:pic>
              </a:graphicData>
            </a:graphic>
          </wp:inline>
        </w:drawing>
      </w:r>
    </w:p>
    <w:p w14:paraId="61E0FDAC">
      <w:pPr>
        <w:pStyle w:val="4"/>
        <w:numPr>
          <w:ilvl w:val="1"/>
          <w:numId w:val="2"/>
        </w:numPr>
        <w:ind w:firstLine="0"/>
        <w:rPr>
          <w:rFonts w:ascii="Times New Roman" w:hAnsi="Times New Roman"/>
          <w:sz w:val="24"/>
          <w:szCs w:val="24"/>
        </w:rPr>
      </w:pPr>
      <w:bookmarkStart w:id="66" w:name="_Toc30009"/>
      <w:r>
        <w:rPr>
          <w:rFonts w:ascii="Times New Roman" w:hAnsi="Times New Roman"/>
          <w:sz w:val="24"/>
          <w:szCs w:val="24"/>
        </w:rPr>
        <w:t>企业准入和退出机制</w:t>
      </w:r>
      <w:bookmarkEnd w:id="66"/>
    </w:p>
    <w:p w14:paraId="74B3E73D">
      <w:pPr>
        <w:pStyle w:val="14"/>
        <w:snapToGrid/>
        <w:spacing w:after="0" w:line="360" w:lineRule="auto"/>
        <w:ind w:firstLine="480"/>
      </w:pPr>
      <w:r>
        <w:t>化工园区的项目准入符合《化工园区产业发展指引》和“禁限控”目录要求，有利于形成相对完整的“上中下游”产业链和主导产业，实现化工园区内资源的有效配置和充分利用</w:t>
      </w:r>
      <w:r>
        <w:rPr>
          <w:rFonts w:hint="eastAsia"/>
        </w:rPr>
        <w:t>。</w:t>
      </w:r>
    </w:p>
    <w:p w14:paraId="61901FE0">
      <w:pPr>
        <w:pStyle w:val="14"/>
        <w:snapToGrid/>
        <w:spacing w:after="0" w:line="360" w:lineRule="auto"/>
        <w:ind w:firstLine="480"/>
      </w:pPr>
      <w:r>
        <w:t>淮南经济技术开发区经贸局制定化工园区企业准入和退出机制，主要包括：新建化工项目必须进入化工园区或设区市人民政府确认的化工园区，原则上不再核准新上设备投资额低于5000万元的小型化工企业。建立小型化工企业退出机制，对危险程度高、能耗高、效益差、生产工艺和装备技术落后、涉及“两重点一重大”(重点监管危险化工工艺和重点监管危险化学品、重大危险源)，以及生产安全没有保障的小型化工企业，要列出名单，制定相应的政策措施，促使其有序退出，逐步调整化工产业结构，减少化工企业数量，提高企业素质和安全管理水平，实现本质安全。</w:t>
      </w:r>
    </w:p>
    <w:p w14:paraId="20174B07">
      <w:pPr>
        <w:pStyle w:val="45"/>
        <w:spacing w:line="360" w:lineRule="auto"/>
        <w:ind w:firstLine="480"/>
        <w:rPr>
          <w:rFonts w:eastAsia="新宋体"/>
          <w:sz w:val="24"/>
        </w:rPr>
      </w:pPr>
      <w:r>
        <w:rPr>
          <w:rFonts w:eastAsia="新宋体"/>
          <w:sz w:val="24"/>
        </w:rPr>
        <w:t>园区重点发展医药化工产业，制定不符合园区主导产业的企业退园机制，对于不符合环保、安全、能耗等要求的企业依法依规关停退出，不断完善园区产业结构。2025年前暂不能退出园区的企业限制产能、实施技术改造及升级转型；</w:t>
      </w:r>
    </w:p>
    <w:p w14:paraId="7DE3C64B">
      <w:pPr>
        <w:pStyle w:val="55"/>
        <w:spacing w:line="360" w:lineRule="auto"/>
        <w:ind w:firstLine="480"/>
        <w:rPr>
          <w:rFonts w:eastAsia="新宋体"/>
          <w:sz w:val="24"/>
        </w:rPr>
      </w:pPr>
      <w:r>
        <w:rPr>
          <w:rFonts w:eastAsia="新宋体"/>
          <w:sz w:val="24"/>
        </w:rPr>
        <w:t>通过相关手续对区内低税收企业及停工破产企业进行土地收储或收回，以促进现有企业产业升级改造，实现“腾笼换鸟”。</w:t>
      </w:r>
    </w:p>
    <w:p w14:paraId="68E54D07">
      <w:pPr>
        <w:pStyle w:val="53"/>
        <w:ind w:firstLine="480"/>
      </w:pPr>
      <w:r>
        <w:rPr>
          <w:rFonts w:hint="eastAsia"/>
        </w:rPr>
        <w:t>化工项目采用的生产工艺技术应当来源合法、成熟可靠。从国外或省外引入的医药化工项目与原企业生产工艺技术发生重大变化的，以及国内首次使用的化工工艺，应当通过我省组织的安全可靠性论证。国内首次使用的化工工艺论证不通过的项目，禁止建设。</w:t>
      </w:r>
    </w:p>
    <w:p w14:paraId="0D0F2ABC">
      <w:pPr>
        <w:pStyle w:val="53"/>
        <w:ind w:firstLine="480"/>
      </w:pPr>
      <w:r>
        <w:rPr>
          <w:rFonts w:hint="eastAsia"/>
        </w:rPr>
        <w:t>对涉及重点监管危险化工工艺和金属有机物合成反应的间歇、半间歇反应的精细化工建设项目，应在项目立项前完成反应安全风险评估；其中涉及氯化、氟化、重氮化、过氧化反应的，应完成生产工艺全流程反应安全风险评估。禁止建设经安全风险评估确定为工艺危险度4级以上的项目。</w:t>
      </w:r>
    </w:p>
    <w:p w14:paraId="1CA0FCB3">
      <w:pPr>
        <w:pStyle w:val="53"/>
        <w:ind w:firstLine="480"/>
      </w:pPr>
      <w:r>
        <w:rPr>
          <w:rFonts w:hint="eastAsia"/>
        </w:rPr>
        <w:t>化工项目生产装置和储存设施必须装备自动化控制系统，设置符合要求的安全仪表系统、可燃有毒气体检测报警系统、视频监控系统。涉及硝化、氯化、氟化、重氮化、过氧化工艺装置的上下游配套装置，必须具备全流程自动化控制。</w:t>
      </w:r>
    </w:p>
    <w:p w14:paraId="554A7618">
      <w:pPr>
        <w:spacing w:line="360" w:lineRule="auto"/>
        <w:ind w:firstLine="480" w:firstLineChars="200"/>
        <w:jc w:val="left"/>
        <w:rPr>
          <w:sz w:val="24"/>
        </w:rPr>
      </w:pPr>
      <w:r>
        <w:rPr>
          <w:rFonts w:hint="eastAsia" w:eastAsia="新宋体"/>
          <w:sz w:val="24"/>
        </w:rPr>
        <w:t>具体见《淮南经开化工园区产业发展指引》和《</w:t>
      </w:r>
      <w:r>
        <w:rPr>
          <w:rFonts w:eastAsia="新宋体"/>
          <w:sz w:val="24"/>
        </w:rPr>
        <w:t>淮南经开化工园区</w:t>
      </w:r>
      <w:r>
        <w:rPr>
          <w:rFonts w:hint="eastAsia" w:eastAsia="新宋体"/>
          <w:sz w:val="24"/>
        </w:rPr>
        <w:t>禁止、限制和控制危险化学品目录（试行）。</w:t>
      </w:r>
    </w:p>
    <w:p w14:paraId="2958EE5D">
      <w:pPr>
        <w:spacing w:line="360" w:lineRule="auto"/>
        <w:ind w:firstLine="480" w:firstLineChars="200"/>
        <w:jc w:val="left"/>
        <w:rPr>
          <w:sz w:val="24"/>
        </w:rPr>
      </w:pPr>
      <w:r>
        <w:rPr>
          <w:rFonts w:hint="eastAsia" w:eastAsia="新宋体"/>
          <w:sz w:val="24"/>
        </w:rPr>
        <w:t>》</w:t>
      </w:r>
    </w:p>
    <w:p w14:paraId="6C72022C">
      <w:r>
        <w:br w:type="page"/>
      </w:r>
    </w:p>
    <w:p w14:paraId="49D013EB">
      <w:pPr>
        <w:pStyle w:val="3"/>
        <w:numPr>
          <w:ilvl w:val="0"/>
          <w:numId w:val="2"/>
        </w:numPr>
      </w:pPr>
      <w:bookmarkStart w:id="67" w:name="_Toc1628639"/>
      <w:bookmarkStart w:id="68" w:name="_Toc13961"/>
      <w:bookmarkStart w:id="69" w:name="_Toc369270773"/>
      <w:r>
        <w:t>建设条件分析</w:t>
      </w:r>
      <w:bookmarkEnd w:id="67"/>
      <w:bookmarkEnd w:id="68"/>
      <w:bookmarkEnd w:id="69"/>
    </w:p>
    <w:p w14:paraId="6E2AB426">
      <w:pPr>
        <w:pStyle w:val="4"/>
        <w:numPr>
          <w:ilvl w:val="1"/>
          <w:numId w:val="2"/>
        </w:numPr>
        <w:ind w:firstLine="0"/>
        <w:rPr>
          <w:rFonts w:ascii="Times New Roman" w:hAnsi="Times New Roman"/>
          <w:sz w:val="24"/>
          <w:szCs w:val="24"/>
        </w:rPr>
      </w:pPr>
      <w:bookmarkStart w:id="70" w:name="_Toc24923"/>
      <w:bookmarkStart w:id="71" w:name="_Toc1628640"/>
      <w:r>
        <w:rPr>
          <w:rFonts w:ascii="Times New Roman" w:hAnsi="Times New Roman"/>
          <w:sz w:val="24"/>
          <w:szCs w:val="24"/>
        </w:rPr>
        <w:t>自然条件</w:t>
      </w:r>
      <w:bookmarkEnd w:id="70"/>
      <w:bookmarkEnd w:id="71"/>
    </w:p>
    <w:p w14:paraId="35510AD1">
      <w:pPr>
        <w:spacing w:line="360" w:lineRule="auto"/>
        <w:ind w:firstLine="480" w:firstLineChars="200"/>
        <w:rPr>
          <w:sz w:val="24"/>
          <w:szCs w:val="24"/>
          <w:lang w:val="zh-CN"/>
        </w:rPr>
      </w:pPr>
      <w:r>
        <w:rPr>
          <w:sz w:val="24"/>
          <w:szCs w:val="24"/>
          <w:lang w:val="zh-CN"/>
        </w:rPr>
        <w:t>1.</w:t>
      </w:r>
      <w:r>
        <w:rPr>
          <w:sz w:val="24"/>
          <w:szCs w:val="24"/>
          <w:lang w:val="zh-CN"/>
        </w:rPr>
        <w:tab/>
      </w:r>
      <w:r>
        <w:rPr>
          <w:sz w:val="24"/>
          <w:szCs w:val="24"/>
          <w:lang w:val="zh-CN"/>
        </w:rPr>
        <w:t>地理位置</w:t>
      </w:r>
    </w:p>
    <w:p w14:paraId="5AFB4836">
      <w:pPr>
        <w:spacing w:line="360" w:lineRule="auto"/>
        <w:ind w:firstLine="480" w:firstLineChars="200"/>
        <w:rPr>
          <w:sz w:val="24"/>
          <w:szCs w:val="24"/>
          <w:lang w:val="zh-CN"/>
        </w:rPr>
      </w:pPr>
      <w:r>
        <w:rPr>
          <w:sz w:val="24"/>
          <w:szCs w:val="24"/>
          <w:lang w:val="zh-CN"/>
        </w:rPr>
        <w:t>淮南市境位于淮河中游，安徽省中部偏北，东与</w:t>
      </w:r>
      <w:r>
        <w:fldChar w:fldCharType="begin"/>
      </w:r>
      <w:r>
        <w:instrText xml:space="preserve"> HYPERLINK "http://baike.haosou.com/doc/1335292.html" \t "_blank" </w:instrText>
      </w:r>
      <w:r>
        <w:fldChar w:fldCharType="separate"/>
      </w:r>
      <w:r>
        <w:rPr>
          <w:sz w:val="24"/>
          <w:szCs w:val="24"/>
          <w:lang w:val="zh-CN"/>
        </w:rPr>
        <w:t>滁州市</w:t>
      </w:r>
      <w:r>
        <w:rPr>
          <w:sz w:val="24"/>
          <w:szCs w:val="24"/>
          <w:lang w:val="zh-CN"/>
        </w:rPr>
        <w:fldChar w:fldCharType="end"/>
      </w:r>
      <w:r>
        <w:rPr>
          <w:sz w:val="24"/>
          <w:szCs w:val="24"/>
          <w:lang w:val="zh-CN"/>
        </w:rPr>
        <w:t>属凤阳、</w:t>
      </w:r>
      <w:r>
        <w:fldChar w:fldCharType="begin"/>
      </w:r>
      <w:r>
        <w:instrText xml:space="preserve"> HYPERLINK "http://baike.haosou.com/doc/5421014.html" \t "_blank" </w:instrText>
      </w:r>
      <w:r>
        <w:fldChar w:fldCharType="separate"/>
      </w:r>
      <w:r>
        <w:rPr>
          <w:sz w:val="24"/>
          <w:szCs w:val="24"/>
          <w:lang w:val="zh-CN"/>
        </w:rPr>
        <w:t>定远县</w:t>
      </w:r>
      <w:r>
        <w:rPr>
          <w:sz w:val="24"/>
          <w:szCs w:val="24"/>
          <w:lang w:val="zh-CN"/>
        </w:rPr>
        <w:fldChar w:fldCharType="end"/>
      </w:r>
      <w:r>
        <w:rPr>
          <w:sz w:val="24"/>
          <w:szCs w:val="24"/>
          <w:lang w:val="zh-CN"/>
        </w:rPr>
        <w:t>毗邻，南与合肥市属长丰县接壤，西南与</w:t>
      </w:r>
      <w:r>
        <w:fldChar w:fldCharType="begin"/>
      </w:r>
      <w:r>
        <w:instrText xml:space="preserve"> HYPERLINK "http://baike.haosou.com/doc/4704648.html" \t "_blank" </w:instrText>
      </w:r>
      <w:r>
        <w:fldChar w:fldCharType="separate"/>
      </w:r>
      <w:r>
        <w:rPr>
          <w:sz w:val="24"/>
          <w:szCs w:val="24"/>
          <w:lang w:val="zh-CN"/>
        </w:rPr>
        <w:t>六安市</w:t>
      </w:r>
      <w:r>
        <w:rPr>
          <w:sz w:val="24"/>
          <w:szCs w:val="24"/>
          <w:lang w:val="zh-CN"/>
        </w:rPr>
        <w:fldChar w:fldCharType="end"/>
      </w:r>
      <w:r>
        <w:rPr>
          <w:sz w:val="24"/>
          <w:szCs w:val="24"/>
          <w:lang w:val="zh-CN"/>
        </w:rPr>
        <w:t>属寿县、霍邱县相连，西及西北与阜阳市属</w:t>
      </w:r>
      <w:r>
        <w:fldChar w:fldCharType="begin"/>
      </w:r>
      <w:r>
        <w:instrText xml:space="preserve"> HYPERLINK "http://baike.haosou.com/doc/4414760.html" \t "_blank" </w:instrText>
      </w:r>
      <w:r>
        <w:fldChar w:fldCharType="separate"/>
      </w:r>
      <w:r>
        <w:rPr>
          <w:sz w:val="24"/>
          <w:szCs w:val="24"/>
          <w:lang w:val="zh-CN"/>
        </w:rPr>
        <w:t>颍上县</w:t>
      </w:r>
      <w:r>
        <w:rPr>
          <w:sz w:val="24"/>
          <w:szCs w:val="24"/>
          <w:lang w:val="zh-CN"/>
        </w:rPr>
        <w:fldChar w:fldCharType="end"/>
      </w:r>
      <w:r>
        <w:rPr>
          <w:sz w:val="24"/>
          <w:szCs w:val="24"/>
          <w:lang w:val="zh-CN"/>
        </w:rPr>
        <w:t>，</w:t>
      </w:r>
      <w:r>
        <w:fldChar w:fldCharType="begin"/>
      </w:r>
      <w:r>
        <w:instrText xml:space="preserve"> HYPERLINK "http://baike.haosou.com/doc/3932697.html" \t "_blank" </w:instrText>
      </w:r>
      <w:r>
        <w:fldChar w:fldCharType="separate"/>
      </w:r>
      <w:r>
        <w:rPr>
          <w:sz w:val="24"/>
          <w:szCs w:val="24"/>
          <w:lang w:val="zh-CN"/>
        </w:rPr>
        <w:t>亳州市</w:t>
      </w:r>
      <w:r>
        <w:rPr>
          <w:sz w:val="24"/>
          <w:szCs w:val="24"/>
          <w:lang w:val="zh-CN"/>
        </w:rPr>
        <w:fldChar w:fldCharType="end"/>
      </w:r>
      <w:r>
        <w:rPr>
          <w:sz w:val="24"/>
          <w:szCs w:val="24"/>
          <w:lang w:val="zh-CN"/>
        </w:rPr>
        <w:t>属利辛、蒙城县交界，东北与</w:t>
      </w:r>
      <w:r>
        <w:fldChar w:fldCharType="begin"/>
      </w:r>
      <w:r>
        <w:instrText xml:space="preserve"> HYPERLINK "http://baike.haosou.com/doc/1594405.html" \t "_blank" </w:instrText>
      </w:r>
      <w:r>
        <w:fldChar w:fldCharType="separate"/>
      </w:r>
      <w:r>
        <w:rPr>
          <w:sz w:val="24"/>
          <w:szCs w:val="24"/>
          <w:lang w:val="zh-CN"/>
        </w:rPr>
        <w:t>蚌埠市</w:t>
      </w:r>
      <w:r>
        <w:rPr>
          <w:sz w:val="24"/>
          <w:szCs w:val="24"/>
          <w:lang w:val="zh-CN"/>
        </w:rPr>
        <w:fldChar w:fldCharType="end"/>
      </w:r>
      <w:r>
        <w:rPr>
          <w:sz w:val="24"/>
          <w:szCs w:val="24"/>
          <w:lang w:val="zh-CN"/>
        </w:rPr>
        <w:t>属怀远县相交，东与滁州市属凤阳、定远县搭界。</w:t>
      </w:r>
    </w:p>
    <w:p w14:paraId="1F4F7016">
      <w:pPr>
        <w:spacing w:line="360" w:lineRule="auto"/>
        <w:ind w:firstLine="480" w:firstLineChars="200"/>
        <w:rPr>
          <w:sz w:val="24"/>
          <w:szCs w:val="24"/>
          <w:lang w:val="zh-CN"/>
        </w:rPr>
      </w:pPr>
      <w:r>
        <w:rPr>
          <w:sz w:val="24"/>
          <w:szCs w:val="24"/>
          <w:lang w:val="zh-CN"/>
        </w:rPr>
        <w:t>开发区位于市区东部，西接主城区，东濒高塘湖，南临舜耕山，北靠淮河岸，座落于青山绿水之间。</w:t>
      </w:r>
      <w:r>
        <w:rPr>
          <w:sz w:val="24"/>
          <w:szCs w:val="24"/>
        </w:rPr>
        <w:t>开发区居于市区东部交通枢纽，合肥至徐州、淮南至蚌埠、淮南至滁州三条高速公路在此交汇，并与合肥至阜阳高速公路沟通。北京至福州、商丘至杭州高速铁路在淮南接轨，高铁淮南东站建于开发区规划区域东南，可直达北京、上海、天津等直辖市和南京、合肥、杭州、福州、郑州、西安、成都等省会城市。千里淮河被誉为中国的白银水道，千吨巨轮通江达海。开发区位于淮南市东部新城区中心，滨湖新区开发、城乡一体化综合改革试验、皖北交通枢纽建设有机融合，形成开发区独特的区域位置优势。开发区依托淮南市的煤、电、化产业优势、人才优势和交通优势，结合开发区的投资导向，经过多年开发建设，目前已形成医药、纺织服装、机械制造、电子电器、轻工食品、化工等六大产业聚集区。现有的生物医药工业园位于开发区的北区。</w:t>
      </w:r>
    </w:p>
    <w:p w14:paraId="23DC30D3">
      <w:pPr>
        <w:spacing w:line="360" w:lineRule="auto"/>
        <w:ind w:firstLine="480" w:firstLineChars="200"/>
        <w:rPr>
          <w:i/>
          <w:sz w:val="24"/>
          <w:szCs w:val="24"/>
          <w:lang w:val="zh-CN"/>
        </w:rPr>
      </w:pPr>
      <w:r>
        <w:rPr>
          <w:sz w:val="24"/>
          <w:szCs w:val="24"/>
          <w:lang w:val="zh-CN"/>
        </w:rPr>
        <w:t>2、气象条件</w:t>
      </w:r>
    </w:p>
    <w:p w14:paraId="3262C238">
      <w:pPr>
        <w:spacing w:line="360" w:lineRule="auto"/>
        <w:ind w:firstLine="480" w:firstLineChars="200"/>
        <w:rPr>
          <w:sz w:val="24"/>
          <w:szCs w:val="24"/>
          <w:lang w:val="zh-CN"/>
        </w:rPr>
      </w:pPr>
      <w:r>
        <w:rPr>
          <w:sz w:val="24"/>
          <w:szCs w:val="24"/>
          <w:lang w:val="zh-CN"/>
        </w:rPr>
        <w:t xml:space="preserve"> (a) 气温</w:t>
      </w:r>
    </w:p>
    <w:p w14:paraId="4B7EB03B">
      <w:pPr>
        <w:spacing w:line="360" w:lineRule="auto"/>
        <w:ind w:firstLine="480" w:firstLineChars="200"/>
        <w:rPr>
          <w:sz w:val="24"/>
          <w:szCs w:val="24"/>
          <w:lang w:val="zh-CN"/>
        </w:rPr>
      </w:pPr>
      <w:r>
        <w:rPr>
          <w:sz w:val="24"/>
          <w:szCs w:val="24"/>
          <w:lang w:val="zh-CN"/>
        </w:rPr>
        <w:t>极端最高温度                      41.2℃</w:t>
      </w:r>
    </w:p>
    <w:p w14:paraId="7660CB77">
      <w:pPr>
        <w:spacing w:line="360" w:lineRule="auto"/>
        <w:ind w:firstLine="480" w:firstLineChars="200"/>
        <w:rPr>
          <w:sz w:val="24"/>
          <w:szCs w:val="24"/>
          <w:lang w:val="zh-CN"/>
        </w:rPr>
      </w:pPr>
      <w:r>
        <w:rPr>
          <w:sz w:val="24"/>
          <w:szCs w:val="24"/>
          <w:lang w:val="zh-CN"/>
        </w:rPr>
        <w:t>极端最低温度                      -14.6℃</w:t>
      </w:r>
    </w:p>
    <w:p w14:paraId="4CAF7ECF">
      <w:pPr>
        <w:spacing w:line="360" w:lineRule="auto"/>
        <w:ind w:firstLine="480" w:firstLineChars="200"/>
        <w:rPr>
          <w:sz w:val="24"/>
          <w:szCs w:val="24"/>
          <w:lang w:val="zh-CN"/>
        </w:rPr>
      </w:pPr>
      <w:r>
        <w:rPr>
          <w:sz w:val="24"/>
          <w:szCs w:val="24"/>
          <w:lang w:val="zh-CN"/>
        </w:rPr>
        <w:t>最高月平均气温7月                34.9 ℃</w:t>
      </w:r>
    </w:p>
    <w:p w14:paraId="3D99C1D1">
      <w:pPr>
        <w:spacing w:line="360" w:lineRule="auto"/>
        <w:ind w:firstLine="480" w:firstLineChars="200"/>
        <w:rPr>
          <w:sz w:val="24"/>
          <w:szCs w:val="24"/>
          <w:lang w:val="zh-CN"/>
        </w:rPr>
      </w:pPr>
      <w:r>
        <w:rPr>
          <w:sz w:val="24"/>
          <w:szCs w:val="24"/>
          <w:lang w:val="zh-CN"/>
        </w:rPr>
        <w:t>最低月平均气温1月                2.3℃</w:t>
      </w:r>
    </w:p>
    <w:p w14:paraId="4E3B384E">
      <w:pPr>
        <w:spacing w:line="360" w:lineRule="auto"/>
        <w:ind w:firstLine="480" w:firstLineChars="200"/>
        <w:rPr>
          <w:sz w:val="24"/>
          <w:szCs w:val="24"/>
          <w:lang w:val="zh-CN"/>
        </w:rPr>
      </w:pPr>
      <w:r>
        <w:rPr>
          <w:sz w:val="24"/>
          <w:szCs w:val="24"/>
          <w:lang w:val="zh-CN"/>
        </w:rPr>
        <w:t>年平均温度                        14.34℃</w:t>
      </w:r>
    </w:p>
    <w:p w14:paraId="07E0958B">
      <w:pPr>
        <w:spacing w:line="360" w:lineRule="auto"/>
        <w:ind w:firstLine="480" w:firstLineChars="200"/>
        <w:rPr>
          <w:sz w:val="24"/>
          <w:szCs w:val="24"/>
          <w:lang w:val="zh-CN"/>
        </w:rPr>
      </w:pPr>
      <w:r>
        <w:rPr>
          <w:sz w:val="24"/>
          <w:szCs w:val="24"/>
          <w:lang w:val="zh-CN"/>
        </w:rPr>
        <w:t>(b)气压</w:t>
      </w:r>
    </w:p>
    <w:p w14:paraId="514266AD">
      <w:pPr>
        <w:spacing w:line="360" w:lineRule="auto"/>
        <w:ind w:firstLine="480" w:firstLineChars="200"/>
        <w:rPr>
          <w:sz w:val="24"/>
          <w:szCs w:val="24"/>
          <w:lang w:val="zh-CN"/>
        </w:rPr>
      </w:pPr>
      <w:r>
        <w:rPr>
          <w:sz w:val="24"/>
          <w:szCs w:val="24"/>
          <w:lang w:val="zh-CN"/>
        </w:rPr>
        <w:t>年平均气压                        101.3kPa</w:t>
      </w:r>
    </w:p>
    <w:p w14:paraId="4875D5A4">
      <w:pPr>
        <w:spacing w:line="360" w:lineRule="auto"/>
        <w:ind w:firstLine="480" w:firstLineChars="200"/>
        <w:rPr>
          <w:sz w:val="24"/>
          <w:szCs w:val="24"/>
          <w:lang w:val="zh-CN"/>
        </w:rPr>
      </w:pPr>
      <w:r>
        <w:rPr>
          <w:sz w:val="24"/>
          <w:szCs w:val="24"/>
          <w:lang w:val="zh-CN"/>
        </w:rPr>
        <w:t xml:space="preserve">冬季平均气压                      102.27kPa </w:t>
      </w:r>
    </w:p>
    <w:p w14:paraId="4DC96DF4">
      <w:pPr>
        <w:spacing w:line="360" w:lineRule="auto"/>
        <w:ind w:firstLine="480" w:firstLineChars="200"/>
        <w:rPr>
          <w:sz w:val="24"/>
          <w:szCs w:val="24"/>
          <w:lang w:val="zh-CN"/>
        </w:rPr>
      </w:pPr>
      <w:r>
        <w:rPr>
          <w:sz w:val="24"/>
          <w:szCs w:val="24"/>
          <w:lang w:val="zh-CN"/>
        </w:rPr>
        <w:t>夏季气压                          100.11kPa</w:t>
      </w:r>
    </w:p>
    <w:p w14:paraId="1FB87B83">
      <w:pPr>
        <w:spacing w:line="360" w:lineRule="auto"/>
        <w:ind w:firstLine="480" w:firstLineChars="200"/>
        <w:rPr>
          <w:sz w:val="24"/>
          <w:szCs w:val="24"/>
          <w:lang w:val="zh-CN"/>
        </w:rPr>
      </w:pPr>
      <w:r>
        <w:rPr>
          <w:sz w:val="24"/>
          <w:szCs w:val="24"/>
          <w:lang w:val="zh-CN"/>
        </w:rPr>
        <w:t>(c)湿度</w:t>
      </w:r>
    </w:p>
    <w:p w14:paraId="70EED55A">
      <w:pPr>
        <w:spacing w:line="360" w:lineRule="auto"/>
        <w:ind w:firstLine="480" w:firstLineChars="200"/>
        <w:rPr>
          <w:sz w:val="24"/>
          <w:szCs w:val="24"/>
          <w:lang w:val="zh-CN"/>
        </w:rPr>
      </w:pPr>
      <w:r>
        <w:rPr>
          <w:sz w:val="24"/>
          <w:szCs w:val="24"/>
          <w:lang w:val="zh-CN"/>
        </w:rPr>
        <w:t>冬季平均相对湿度                  71.3%</w:t>
      </w:r>
    </w:p>
    <w:p w14:paraId="38212F58">
      <w:pPr>
        <w:spacing w:line="360" w:lineRule="auto"/>
        <w:ind w:firstLine="480" w:firstLineChars="200"/>
        <w:rPr>
          <w:sz w:val="24"/>
          <w:szCs w:val="24"/>
          <w:lang w:val="zh-CN"/>
        </w:rPr>
      </w:pPr>
      <w:r>
        <w:rPr>
          <w:sz w:val="24"/>
          <w:szCs w:val="24"/>
          <w:lang w:val="zh-CN"/>
        </w:rPr>
        <w:t>夏季平均相对湿度                  76.3%</w:t>
      </w:r>
    </w:p>
    <w:p w14:paraId="353AB02A">
      <w:pPr>
        <w:spacing w:line="360" w:lineRule="auto"/>
        <w:ind w:firstLine="480" w:firstLineChars="200"/>
        <w:rPr>
          <w:sz w:val="24"/>
          <w:szCs w:val="24"/>
          <w:lang w:val="zh-CN"/>
        </w:rPr>
      </w:pPr>
      <w:r>
        <w:rPr>
          <w:sz w:val="24"/>
          <w:szCs w:val="24"/>
          <w:lang w:val="zh-CN"/>
        </w:rPr>
        <w:t>年平均相对湿度                    74%</w:t>
      </w:r>
    </w:p>
    <w:p w14:paraId="09B06596">
      <w:pPr>
        <w:spacing w:line="360" w:lineRule="auto"/>
        <w:ind w:firstLine="480" w:firstLineChars="200"/>
        <w:rPr>
          <w:sz w:val="24"/>
          <w:szCs w:val="24"/>
          <w:lang w:val="zh-CN"/>
        </w:rPr>
      </w:pPr>
      <w:r>
        <w:rPr>
          <w:sz w:val="24"/>
          <w:szCs w:val="24"/>
          <w:lang w:val="zh-CN"/>
        </w:rPr>
        <w:t>14时年平均相对湿度                56%</w:t>
      </w:r>
    </w:p>
    <w:p w14:paraId="30B878A0">
      <w:pPr>
        <w:spacing w:line="360" w:lineRule="auto"/>
        <w:ind w:firstLine="480" w:firstLineChars="200"/>
        <w:rPr>
          <w:sz w:val="24"/>
          <w:szCs w:val="24"/>
          <w:lang w:val="zh-CN"/>
        </w:rPr>
      </w:pPr>
      <w:r>
        <w:rPr>
          <w:sz w:val="24"/>
          <w:szCs w:val="24"/>
          <w:lang w:val="zh-CN"/>
        </w:rPr>
        <w:t>(d)风</w:t>
      </w:r>
    </w:p>
    <w:p w14:paraId="08CD5B53">
      <w:pPr>
        <w:spacing w:line="360" w:lineRule="auto"/>
        <w:ind w:firstLine="480" w:firstLineChars="200"/>
        <w:rPr>
          <w:sz w:val="24"/>
          <w:szCs w:val="24"/>
          <w:lang w:val="zh-CN"/>
        </w:rPr>
      </w:pPr>
      <w:r>
        <w:rPr>
          <w:sz w:val="24"/>
          <w:szCs w:val="24"/>
          <w:lang w:val="zh-CN"/>
        </w:rPr>
        <w:t>年主导风向                        SE</w:t>
      </w:r>
    </w:p>
    <w:p w14:paraId="0EBA9FDE">
      <w:pPr>
        <w:spacing w:line="360" w:lineRule="auto"/>
        <w:ind w:firstLine="480" w:firstLineChars="200"/>
        <w:rPr>
          <w:sz w:val="24"/>
          <w:szCs w:val="24"/>
          <w:lang w:val="zh-CN"/>
        </w:rPr>
      </w:pPr>
      <w:r>
        <w:rPr>
          <w:sz w:val="24"/>
          <w:szCs w:val="24"/>
          <w:lang w:val="zh-CN"/>
        </w:rPr>
        <w:t>夏季主导风向                      SE</w:t>
      </w:r>
    </w:p>
    <w:p w14:paraId="64DC4822">
      <w:pPr>
        <w:spacing w:line="360" w:lineRule="auto"/>
        <w:ind w:firstLine="480" w:firstLineChars="200"/>
        <w:rPr>
          <w:sz w:val="24"/>
          <w:szCs w:val="24"/>
          <w:lang w:val="zh-CN"/>
        </w:rPr>
      </w:pPr>
      <w:r>
        <w:rPr>
          <w:sz w:val="24"/>
          <w:szCs w:val="24"/>
          <w:lang w:val="zh-CN"/>
        </w:rPr>
        <w:t>冬季主导风向                      SE</w:t>
      </w:r>
    </w:p>
    <w:p w14:paraId="1840416E">
      <w:pPr>
        <w:spacing w:line="360" w:lineRule="auto"/>
        <w:ind w:firstLine="480" w:firstLineChars="200"/>
        <w:rPr>
          <w:sz w:val="24"/>
          <w:szCs w:val="24"/>
          <w:lang w:val="zh-CN"/>
        </w:rPr>
      </w:pPr>
      <w:r>
        <w:rPr>
          <w:sz w:val="24"/>
          <w:szCs w:val="24"/>
          <w:lang w:val="zh-CN"/>
        </w:rPr>
        <w:t>年平均风速                        2.6~3m/S</w:t>
      </w:r>
    </w:p>
    <w:p w14:paraId="16F0DEF9">
      <w:pPr>
        <w:spacing w:line="360" w:lineRule="auto"/>
        <w:ind w:firstLine="480" w:firstLineChars="200"/>
        <w:rPr>
          <w:sz w:val="24"/>
          <w:szCs w:val="24"/>
          <w:lang w:val="zh-CN"/>
        </w:rPr>
      </w:pPr>
      <w:r>
        <w:rPr>
          <w:sz w:val="24"/>
          <w:szCs w:val="24"/>
          <w:lang w:val="zh-CN"/>
        </w:rPr>
        <w:t>基本风压值（10m 处）              400N/m2</w:t>
      </w:r>
    </w:p>
    <w:p w14:paraId="16B71F6F">
      <w:pPr>
        <w:spacing w:line="360" w:lineRule="auto"/>
        <w:ind w:firstLine="480" w:firstLineChars="200"/>
        <w:rPr>
          <w:sz w:val="24"/>
          <w:szCs w:val="24"/>
          <w:lang w:val="zh-CN"/>
        </w:rPr>
      </w:pPr>
      <w:r>
        <w:rPr>
          <w:sz w:val="24"/>
          <w:szCs w:val="24"/>
          <w:lang w:val="zh-CN"/>
        </w:rPr>
        <w:t>(e)雪</w:t>
      </w:r>
    </w:p>
    <w:p w14:paraId="758C4BC8">
      <w:pPr>
        <w:spacing w:line="360" w:lineRule="auto"/>
        <w:ind w:firstLine="480" w:firstLineChars="200"/>
        <w:rPr>
          <w:sz w:val="24"/>
          <w:szCs w:val="24"/>
          <w:lang w:val="zh-CN"/>
        </w:rPr>
      </w:pPr>
      <w:r>
        <w:rPr>
          <w:sz w:val="24"/>
          <w:szCs w:val="24"/>
          <w:lang w:val="zh-CN"/>
        </w:rPr>
        <w:t>最大积雪深度                       300mm</w:t>
      </w:r>
    </w:p>
    <w:p w14:paraId="0FF51076">
      <w:pPr>
        <w:spacing w:line="360" w:lineRule="auto"/>
        <w:ind w:firstLine="480" w:firstLineChars="200"/>
        <w:rPr>
          <w:sz w:val="24"/>
          <w:szCs w:val="24"/>
          <w:lang w:val="zh-CN"/>
        </w:rPr>
      </w:pPr>
      <w:r>
        <w:rPr>
          <w:sz w:val="24"/>
          <w:szCs w:val="24"/>
          <w:lang w:val="zh-CN"/>
        </w:rPr>
        <w:t>雪荷载                            400N/m2</w:t>
      </w:r>
    </w:p>
    <w:p w14:paraId="2493A6EF">
      <w:pPr>
        <w:spacing w:line="360" w:lineRule="auto"/>
        <w:ind w:firstLine="480" w:firstLineChars="200"/>
        <w:rPr>
          <w:sz w:val="24"/>
          <w:szCs w:val="24"/>
          <w:lang w:val="zh-CN"/>
        </w:rPr>
      </w:pPr>
      <w:r>
        <w:rPr>
          <w:sz w:val="24"/>
          <w:szCs w:val="24"/>
          <w:lang w:val="zh-CN"/>
        </w:rPr>
        <w:t>最大冻土厚度                      0.5m</w:t>
      </w:r>
    </w:p>
    <w:p w14:paraId="3F8A5A00">
      <w:pPr>
        <w:spacing w:line="360" w:lineRule="auto"/>
        <w:ind w:firstLine="480" w:firstLineChars="200"/>
        <w:rPr>
          <w:sz w:val="24"/>
          <w:szCs w:val="24"/>
          <w:lang w:val="zh-CN"/>
        </w:rPr>
      </w:pPr>
      <w:r>
        <w:rPr>
          <w:sz w:val="24"/>
          <w:szCs w:val="24"/>
          <w:lang w:val="zh-CN"/>
        </w:rPr>
        <w:t>(f)降雨量</w:t>
      </w:r>
    </w:p>
    <w:p w14:paraId="1C09DCA4">
      <w:pPr>
        <w:spacing w:line="360" w:lineRule="auto"/>
        <w:ind w:firstLine="480" w:firstLineChars="200"/>
        <w:rPr>
          <w:sz w:val="24"/>
          <w:szCs w:val="24"/>
          <w:lang w:val="zh-CN"/>
        </w:rPr>
      </w:pPr>
      <w:r>
        <w:rPr>
          <w:sz w:val="24"/>
          <w:szCs w:val="24"/>
          <w:lang w:val="zh-CN"/>
        </w:rPr>
        <w:t>年最大降雨量                      1428.3mm</w:t>
      </w:r>
    </w:p>
    <w:p w14:paraId="14E25E12">
      <w:pPr>
        <w:spacing w:line="360" w:lineRule="auto"/>
        <w:ind w:firstLine="480" w:firstLineChars="200"/>
        <w:rPr>
          <w:sz w:val="24"/>
          <w:szCs w:val="24"/>
          <w:lang w:val="zh-CN"/>
        </w:rPr>
      </w:pPr>
      <w:r>
        <w:rPr>
          <w:sz w:val="24"/>
          <w:szCs w:val="24"/>
          <w:lang w:val="zh-CN"/>
        </w:rPr>
        <w:t>一日最大降雨量                    130.4mm</w:t>
      </w:r>
    </w:p>
    <w:p w14:paraId="2D2E17B1">
      <w:pPr>
        <w:spacing w:line="360" w:lineRule="auto"/>
        <w:ind w:firstLine="480" w:firstLineChars="200"/>
        <w:rPr>
          <w:sz w:val="24"/>
          <w:szCs w:val="24"/>
          <w:lang w:val="zh-CN"/>
        </w:rPr>
      </w:pPr>
      <w:r>
        <w:rPr>
          <w:sz w:val="24"/>
          <w:szCs w:val="24"/>
          <w:lang w:val="zh-CN"/>
        </w:rPr>
        <w:t>最大月降雨量                      521.2mm</w:t>
      </w:r>
    </w:p>
    <w:p w14:paraId="57683CBB">
      <w:pPr>
        <w:spacing w:line="360" w:lineRule="auto"/>
        <w:ind w:firstLine="480" w:firstLineChars="200"/>
        <w:rPr>
          <w:sz w:val="24"/>
          <w:szCs w:val="24"/>
          <w:lang w:val="zh-CN"/>
        </w:rPr>
      </w:pPr>
      <w:r>
        <w:rPr>
          <w:sz w:val="24"/>
          <w:szCs w:val="24"/>
          <w:lang w:val="zh-CN"/>
        </w:rPr>
        <w:t>年平均降雨量                      910.5mm</w:t>
      </w:r>
    </w:p>
    <w:p w14:paraId="108071D6">
      <w:pPr>
        <w:spacing w:line="360" w:lineRule="auto"/>
        <w:ind w:firstLine="480" w:firstLineChars="200"/>
        <w:rPr>
          <w:sz w:val="24"/>
          <w:szCs w:val="24"/>
          <w:lang w:val="zh-CN"/>
        </w:rPr>
      </w:pPr>
      <w:r>
        <w:rPr>
          <w:sz w:val="24"/>
          <w:szCs w:val="24"/>
          <w:lang w:val="zh-CN"/>
        </w:rPr>
        <w:t>年最小降雨量                      646.0mm</w:t>
      </w:r>
    </w:p>
    <w:p w14:paraId="3CDD3BBF">
      <w:pPr>
        <w:spacing w:line="360" w:lineRule="auto"/>
        <w:ind w:firstLine="480" w:firstLineChars="200"/>
        <w:rPr>
          <w:sz w:val="24"/>
          <w:szCs w:val="24"/>
          <w:lang w:val="zh-CN"/>
        </w:rPr>
      </w:pPr>
      <w:r>
        <w:rPr>
          <w:sz w:val="24"/>
          <w:szCs w:val="24"/>
          <w:lang w:val="zh-CN"/>
        </w:rPr>
        <w:t>年平均降雨天数                    130.4天</w:t>
      </w:r>
    </w:p>
    <w:p w14:paraId="7A56A2CF">
      <w:pPr>
        <w:spacing w:line="360" w:lineRule="auto"/>
        <w:ind w:firstLine="480" w:firstLineChars="200"/>
        <w:rPr>
          <w:sz w:val="24"/>
          <w:szCs w:val="24"/>
          <w:lang w:val="zh-CN"/>
        </w:rPr>
      </w:pPr>
      <w:r>
        <w:rPr>
          <w:sz w:val="24"/>
          <w:szCs w:val="24"/>
          <w:lang w:val="zh-CN"/>
        </w:rPr>
        <w:t>(g)雷暴雨日数</w:t>
      </w:r>
    </w:p>
    <w:p w14:paraId="2589912C">
      <w:pPr>
        <w:spacing w:line="360" w:lineRule="auto"/>
        <w:ind w:firstLine="480" w:firstLineChars="200"/>
        <w:rPr>
          <w:sz w:val="24"/>
          <w:szCs w:val="24"/>
          <w:lang w:val="zh-CN"/>
        </w:rPr>
      </w:pPr>
      <w:r>
        <w:rPr>
          <w:sz w:val="24"/>
          <w:szCs w:val="24"/>
          <w:lang w:val="zh-CN"/>
        </w:rPr>
        <w:t>年平均雷暴日数                   30天</w:t>
      </w:r>
    </w:p>
    <w:p w14:paraId="63577828">
      <w:pPr>
        <w:spacing w:line="360" w:lineRule="auto"/>
        <w:ind w:firstLine="480" w:firstLineChars="200"/>
        <w:outlineLvl w:val="2"/>
        <w:rPr>
          <w:bCs/>
          <w:sz w:val="24"/>
          <w:szCs w:val="24"/>
        </w:rPr>
      </w:pPr>
      <w:r>
        <w:rPr>
          <w:bCs/>
          <w:sz w:val="24"/>
          <w:szCs w:val="24"/>
        </w:rPr>
        <w:t>3 交通条件</w:t>
      </w:r>
    </w:p>
    <w:p w14:paraId="2A188064">
      <w:pPr>
        <w:spacing w:line="360" w:lineRule="auto"/>
        <w:ind w:firstLine="480" w:firstLineChars="200"/>
        <w:rPr>
          <w:sz w:val="24"/>
          <w:szCs w:val="24"/>
          <w:lang w:val="zh-CN"/>
        </w:rPr>
      </w:pPr>
      <w:r>
        <w:rPr>
          <w:sz w:val="24"/>
          <w:szCs w:val="24"/>
          <w:lang w:val="zh-CN"/>
        </w:rPr>
        <w:t>淮南市是合肥西北的门户城市，一直是全国重要铁路枢纽之一</w:t>
      </w:r>
      <w:r>
        <w:fldChar w:fldCharType="begin"/>
      </w:r>
      <w:r>
        <w:instrText xml:space="preserve"> HYPERLINK "http://wenwen.soso.com/z/Search.e?sp=S%E9%98%9C%E9%98%B3%E4%BA%A4%E9%80%9A&amp;ch=w.search.yjjlink&amp;cid=w.search.yjjlink" \t "_blank" </w:instrText>
      </w:r>
      <w:r>
        <w:fldChar w:fldCharType="separate"/>
      </w:r>
      <w:r>
        <w:rPr>
          <w:rStyle w:val="31"/>
          <w:color w:val="auto"/>
          <w:sz w:val="24"/>
          <w:szCs w:val="24"/>
          <w:u w:val="none"/>
          <w:lang w:val="zh-CN"/>
        </w:rPr>
        <w:t>，交通</w:t>
      </w:r>
      <w:r>
        <w:rPr>
          <w:rStyle w:val="31"/>
          <w:color w:val="auto"/>
          <w:sz w:val="24"/>
          <w:szCs w:val="24"/>
          <w:u w:val="none"/>
          <w:lang w:val="zh-CN"/>
        </w:rPr>
        <w:fldChar w:fldCharType="end"/>
      </w:r>
      <w:r>
        <w:rPr>
          <w:sz w:val="24"/>
          <w:szCs w:val="24"/>
          <w:lang w:val="zh-CN"/>
        </w:rPr>
        <w:t>便捷，四通八达。北京至福州、商丘至杭州高速铁路在淮南接轨，高铁淮南东站建于开发区规划区域东南，可直达北京、上海、天津等直辖市和南京、合肥、杭州、福州、郑州、西安、成都等省会城市。开发区居于市区东部交通枢纽，合淮工业走廊北端，距合肥市区60公里，合肥至徐州、淮南至蚌埠、淮南至滁州三条高速公路在此交汇，并与合肥至阜阳高速公路沟通，新洛九路穿过区内。千里淮河被誉为中国的白银水道，千吨巨轮通江达海。滨湖新区开发、城乡一体化综合改革试验、皖北交通枢纽建设有机融合，形成开发区独特的区域位置优势。</w:t>
      </w:r>
    </w:p>
    <w:p w14:paraId="659561B8">
      <w:pPr>
        <w:pStyle w:val="4"/>
        <w:numPr>
          <w:ilvl w:val="1"/>
          <w:numId w:val="2"/>
        </w:numPr>
        <w:ind w:firstLine="0"/>
        <w:rPr>
          <w:rFonts w:ascii="Times New Roman" w:hAnsi="Times New Roman"/>
          <w:sz w:val="24"/>
          <w:szCs w:val="24"/>
        </w:rPr>
      </w:pPr>
      <w:bookmarkStart w:id="72" w:name="_Toc7315"/>
      <w:bookmarkStart w:id="73" w:name="_Toc7726"/>
      <w:bookmarkStart w:id="74" w:name="_Toc1628641"/>
      <w:r>
        <w:rPr>
          <w:rFonts w:ascii="Times New Roman" w:hAnsi="Times New Roman"/>
          <w:sz w:val="24"/>
          <w:szCs w:val="24"/>
        </w:rPr>
        <w:t>辅助工程方案</w:t>
      </w:r>
      <w:bookmarkEnd w:id="72"/>
      <w:bookmarkEnd w:id="73"/>
      <w:bookmarkEnd w:id="74"/>
    </w:p>
    <w:p w14:paraId="08E66163">
      <w:pPr>
        <w:spacing w:line="360" w:lineRule="auto"/>
        <w:ind w:firstLine="480" w:firstLineChars="200"/>
        <w:rPr>
          <w:sz w:val="24"/>
          <w:szCs w:val="24"/>
          <w:lang w:val="zh-CN"/>
        </w:rPr>
      </w:pPr>
      <w:r>
        <w:rPr>
          <w:sz w:val="24"/>
          <w:szCs w:val="24"/>
          <w:lang w:val="zh-CN"/>
        </w:rPr>
        <w:t>项目用地及周边无文物古迹和矿产资源报道，地势相对开阔，项目建设土地利用合理，符合有效使用土地的要求。建设项目用地为开发区预留工业用地，征用、拆迁、补偿、安置等工作已由开发区完成，建设单位办理相关手续后便可使用。因此，项目建设不需要处理占用耕地、征地拆迁、移民安置等问题。</w:t>
      </w:r>
    </w:p>
    <w:p w14:paraId="1B227BF0">
      <w:pPr>
        <w:pStyle w:val="5"/>
        <w:numPr>
          <w:ilvl w:val="2"/>
          <w:numId w:val="5"/>
        </w:numPr>
        <w:ind w:firstLine="0"/>
        <w:rPr>
          <w:kern w:val="2"/>
          <w:sz w:val="24"/>
          <w:szCs w:val="22"/>
        </w:rPr>
      </w:pPr>
      <w:r>
        <w:rPr>
          <w:kern w:val="2"/>
          <w:sz w:val="24"/>
          <w:szCs w:val="22"/>
        </w:rPr>
        <w:t>供电</w:t>
      </w:r>
    </w:p>
    <w:p w14:paraId="4194CDFC">
      <w:pPr>
        <w:spacing w:line="360" w:lineRule="auto"/>
        <w:ind w:firstLine="480" w:firstLineChars="200"/>
        <w:rPr>
          <w:sz w:val="24"/>
          <w:szCs w:val="24"/>
        </w:rPr>
      </w:pPr>
      <w:r>
        <w:rPr>
          <w:sz w:val="24"/>
          <w:szCs w:val="24"/>
        </w:rPr>
        <w:t>淮南经济技术开发区有三座变电站，分别是</w:t>
      </w:r>
      <w:r>
        <w:rPr>
          <w:rFonts w:eastAsia="Times New Roman"/>
          <w:sz w:val="24"/>
          <w:szCs w:val="24"/>
        </w:rPr>
        <w:t>110KV</w:t>
      </w:r>
      <w:r>
        <w:rPr>
          <w:sz w:val="24"/>
          <w:szCs w:val="24"/>
        </w:rPr>
        <w:t>洛河变电站、</w:t>
      </w:r>
      <w:r>
        <w:rPr>
          <w:rFonts w:eastAsia="Times New Roman"/>
          <w:sz w:val="24"/>
          <w:szCs w:val="24"/>
        </w:rPr>
        <w:t>110KV</w:t>
      </w:r>
      <w:r>
        <w:rPr>
          <w:sz w:val="24"/>
          <w:szCs w:val="24"/>
        </w:rPr>
        <w:t>洛开变电站及</w:t>
      </w:r>
      <w:r>
        <w:rPr>
          <w:rFonts w:eastAsia="Times New Roman"/>
          <w:sz w:val="24"/>
          <w:szCs w:val="24"/>
        </w:rPr>
        <w:t>110KV</w:t>
      </w:r>
      <w:r>
        <w:rPr>
          <w:sz w:val="24"/>
          <w:szCs w:val="24"/>
        </w:rPr>
        <w:t>田东变电站，双电源及双回路供电可满足化工园区各企业用电需求，日供电能力为</w:t>
      </w:r>
      <w:r>
        <w:rPr>
          <w:rFonts w:eastAsia="Times New Roman"/>
          <w:sz w:val="24"/>
          <w:szCs w:val="24"/>
        </w:rPr>
        <w:t>4.3</w:t>
      </w:r>
      <w:r>
        <w:rPr>
          <w:sz w:val="24"/>
          <w:szCs w:val="24"/>
        </w:rPr>
        <w:t>万千伏安。</w:t>
      </w:r>
    </w:p>
    <w:p w14:paraId="27D3EF00">
      <w:pPr>
        <w:spacing w:line="360" w:lineRule="auto"/>
        <w:ind w:firstLine="480" w:firstLineChars="200"/>
        <w:rPr>
          <w:sz w:val="24"/>
          <w:szCs w:val="24"/>
        </w:rPr>
      </w:pPr>
      <w:r>
        <w:rPr>
          <w:kern w:val="21"/>
          <w:sz w:val="24"/>
          <w:szCs w:val="24"/>
        </w:rPr>
        <w:t>区块一</w:t>
      </w:r>
      <w:r>
        <w:rPr>
          <w:sz w:val="24"/>
          <w:szCs w:val="24"/>
        </w:rPr>
        <w:t>：德邦化工采用双电源、双回路供电方式来满足用电设备的一级和二级负荷供电，电源分别来自</w:t>
      </w:r>
      <w:r>
        <w:rPr>
          <w:rFonts w:eastAsia="Times New Roman"/>
          <w:sz w:val="24"/>
          <w:szCs w:val="24"/>
        </w:rPr>
        <w:t>110KV</w:t>
      </w:r>
      <w:r>
        <w:rPr>
          <w:sz w:val="24"/>
          <w:szCs w:val="24"/>
        </w:rPr>
        <w:t>洛河变电站</w:t>
      </w:r>
      <w:r>
        <w:rPr>
          <w:rFonts w:hint="eastAsia"/>
          <w:sz w:val="24"/>
          <w:szCs w:val="24"/>
        </w:rPr>
        <w:t>（</w:t>
      </w:r>
      <w:r>
        <w:rPr>
          <w:sz w:val="24"/>
          <w:szCs w:val="24"/>
        </w:rPr>
        <w:t>洛河变德邦化工110kV专线</w:t>
      </w:r>
      <w:r>
        <w:rPr>
          <w:rFonts w:hint="eastAsia"/>
          <w:sz w:val="24"/>
          <w:szCs w:val="24"/>
        </w:rPr>
        <w:t>）</w:t>
      </w:r>
      <w:r>
        <w:rPr>
          <w:sz w:val="24"/>
          <w:szCs w:val="24"/>
        </w:rPr>
        <w:t>和</w:t>
      </w:r>
      <w:r>
        <w:rPr>
          <w:rFonts w:eastAsia="Times New Roman"/>
          <w:sz w:val="24"/>
          <w:szCs w:val="24"/>
        </w:rPr>
        <w:t>110KV</w:t>
      </w:r>
      <w:r>
        <w:rPr>
          <w:sz w:val="24"/>
          <w:szCs w:val="24"/>
        </w:rPr>
        <w:t>田东变电站</w:t>
      </w:r>
      <w:r>
        <w:rPr>
          <w:rFonts w:hint="eastAsia"/>
          <w:sz w:val="24"/>
          <w:szCs w:val="24"/>
        </w:rPr>
        <w:t>（田东变10kV双回架空</w:t>
      </w:r>
      <w:r>
        <w:rPr>
          <w:sz w:val="24"/>
          <w:szCs w:val="24"/>
        </w:rPr>
        <w:t>线</w:t>
      </w:r>
      <w:r>
        <w:rPr>
          <w:rFonts w:hint="eastAsia"/>
          <w:sz w:val="24"/>
          <w:szCs w:val="24"/>
        </w:rPr>
        <w:t>）</w:t>
      </w:r>
      <w:r>
        <w:rPr>
          <w:sz w:val="24"/>
          <w:szCs w:val="24"/>
        </w:rPr>
        <w:t>，水卫士环保科技、恒诚制药采用单电源、双回路供电方式或柴油发电机组供电方式满足二级用电负荷。目前德邦化工常开容量为</w:t>
      </w:r>
      <w:r>
        <w:rPr>
          <w:rFonts w:eastAsia="Times New Roman"/>
          <w:sz w:val="24"/>
          <w:szCs w:val="24"/>
        </w:rPr>
        <w:t>43000KW</w:t>
      </w:r>
      <w:r>
        <w:rPr>
          <w:sz w:val="24"/>
          <w:szCs w:val="24"/>
        </w:rPr>
        <w:t>(保安常开容量</w:t>
      </w:r>
      <w:r>
        <w:rPr>
          <w:rFonts w:eastAsia="Times New Roman"/>
          <w:sz w:val="24"/>
          <w:szCs w:val="24"/>
        </w:rPr>
        <w:t>10000KW</w:t>
      </w:r>
      <w:r>
        <w:rPr>
          <w:sz w:val="24"/>
          <w:szCs w:val="24"/>
        </w:rPr>
        <w:t>)，恒诚制药常开容量</w:t>
      </w:r>
      <w:r>
        <w:rPr>
          <w:rFonts w:eastAsia="Times New Roman"/>
          <w:sz w:val="24"/>
          <w:szCs w:val="24"/>
        </w:rPr>
        <w:t>1285.6kW</w:t>
      </w:r>
      <w:r>
        <w:rPr>
          <w:sz w:val="24"/>
          <w:szCs w:val="24"/>
        </w:rPr>
        <w:t>，水卫士环保科技常开容量</w:t>
      </w:r>
      <w:r>
        <w:rPr>
          <w:rFonts w:eastAsia="Times New Roman"/>
          <w:sz w:val="24"/>
          <w:szCs w:val="24"/>
        </w:rPr>
        <w:t>450kW</w:t>
      </w:r>
      <w:r>
        <w:rPr>
          <w:sz w:val="24"/>
          <w:szCs w:val="24"/>
        </w:rPr>
        <w:t>；德邦化工变压器负荷为</w:t>
      </w:r>
      <w:r>
        <w:rPr>
          <w:rFonts w:eastAsia="Times New Roman"/>
          <w:sz w:val="24"/>
          <w:szCs w:val="24"/>
        </w:rPr>
        <w:t>12500KVA</w:t>
      </w:r>
      <w:r>
        <w:rPr>
          <w:sz w:val="24"/>
          <w:szCs w:val="24"/>
        </w:rPr>
        <w:t>，恒诚制药变压器负荷为</w:t>
      </w:r>
      <w:r>
        <w:rPr>
          <w:rFonts w:eastAsia="Times New Roman"/>
          <w:sz w:val="24"/>
          <w:szCs w:val="24"/>
        </w:rPr>
        <w:t>1500KVA</w:t>
      </w:r>
      <w:r>
        <w:rPr>
          <w:sz w:val="24"/>
          <w:szCs w:val="24"/>
        </w:rPr>
        <w:t xml:space="preserve">，水卫士环保科技变压器负荷为 </w:t>
      </w:r>
      <w:r>
        <w:rPr>
          <w:rFonts w:eastAsia="Times New Roman"/>
          <w:sz w:val="24"/>
          <w:szCs w:val="24"/>
        </w:rPr>
        <w:t>500KVA</w:t>
      </w:r>
      <w:r>
        <w:rPr>
          <w:sz w:val="24"/>
          <w:szCs w:val="24"/>
        </w:rPr>
        <w:t>。</w:t>
      </w:r>
    </w:p>
    <w:p w14:paraId="3F99354A">
      <w:pPr>
        <w:spacing w:line="360" w:lineRule="auto"/>
        <w:ind w:firstLine="480" w:firstLineChars="200"/>
        <w:rPr>
          <w:b/>
          <w:bCs/>
          <w:sz w:val="24"/>
          <w:szCs w:val="24"/>
          <w:lang w:val="zh-CN"/>
        </w:rPr>
      </w:pPr>
      <w:r>
        <w:rPr>
          <w:kern w:val="21"/>
          <w:sz w:val="24"/>
          <w:szCs w:val="24"/>
        </w:rPr>
        <w:t>区块二</w:t>
      </w:r>
      <w:r>
        <w:rPr>
          <w:sz w:val="24"/>
          <w:szCs w:val="24"/>
        </w:rPr>
        <w:t>：国瑞药业采用双电源、双回路供电方式来满足用电设备的二级负荷供电，电源分别来自</w:t>
      </w:r>
      <w:r>
        <w:rPr>
          <w:rFonts w:eastAsia="Times New Roman"/>
          <w:sz w:val="24"/>
          <w:szCs w:val="24"/>
        </w:rPr>
        <w:t>110KV</w:t>
      </w:r>
      <w:r>
        <w:rPr>
          <w:sz w:val="24"/>
          <w:szCs w:val="24"/>
        </w:rPr>
        <w:t>洛开变电站</w:t>
      </w:r>
      <w:r>
        <w:rPr>
          <w:rFonts w:hint="eastAsia"/>
          <w:sz w:val="24"/>
          <w:szCs w:val="24"/>
        </w:rPr>
        <w:t>（洛开变10kV双回架空</w:t>
      </w:r>
      <w:r>
        <w:rPr>
          <w:sz w:val="24"/>
          <w:szCs w:val="24"/>
        </w:rPr>
        <w:t>线</w:t>
      </w:r>
      <w:r>
        <w:rPr>
          <w:rFonts w:hint="eastAsia"/>
          <w:sz w:val="24"/>
          <w:szCs w:val="24"/>
        </w:rPr>
        <w:t>）</w:t>
      </w:r>
      <w:r>
        <w:rPr>
          <w:sz w:val="24"/>
          <w:szCs w:val="24"/>
        </w:rPr>
        <w:t>和</w:t>
      </w:r>
      <w:r>
        <w:rPr>
          <w:rFonts w:eastAsia="Times New Roman"/>
          <w:sz w:val="24"/>
          <w:szCs w:val="24"/>
        </w:rPr>
        <w:t>110KV</w:t>
      </w:r>
      <w:r>
        <w:rPr>
          <w:sz w:val="24"/>
          <w:szCs w:val="24"/>
        </w:rPr>
        <w:t>洛河变电站</w:t>
      </w:r>
      <w:r>
        <w:rPr>
          <w:rFonts w:hint="eastAsia"/>
          <w:sz w:val="24"/>
          <w:szCs w:val="24"/>
        </w:rPr>
        <w:t>（洛河变10kV双回架空</w:t>
      </w:r>
      <w:r>
        <w:rPr>
          <w:sz w:val="24"/>
          <w:szCs w:val="24"/>
        </w:rPr>
        <w:t>线</w:t>
      </w:r>
      <w:r>
        <w:rPr>
          <w:rFonts w:hint="eastAsia"/>
          <w:sz w:val="24"/>
          <w:szCs w:val="24"/>
        </w:rPr>
        <w:t>）</w:t>
      </w:r>
      <w:r>
        <w:rPr>
          <w:sz w:val="24"/>
          <w:szCs w:val="24"/>
        </w:rPr>
        <w:t>，国瑞药业设置</w:t>
      </w:r>
      <w:r>
        <w:rPr>
          <w:rFonts w:eastAsia="Times New Roman"/>
          <w:sz w:val="24"/>
          <w:szCs w:val="24"/>
        </w:rPr>
        <w:t>10KV</w:t>
      </w:r>
      <w:r>
        <w:rPr>
          <w:sz w:val="24"/>
          <w:szCs w:val="24"/>
        </w:rPr>
        <w:t>的变电站，并设置四台</w:t>
      </w:r>
      <w:r>
        <w:rPr>
          <w:rFonts w:eastAsia="Times New Roman"/>
          <w:sz w:val="24"/>
          <w:szCs w:val="24"/>
        </w:rPr>
        <w:t>1600KVA</w:t>
      </w:r>
      <w:r>
        <w:rPr>
          <w:sz w:val="24"/>
          <w:szCs w:val="24"/>
        </w:rPr>
        <w:t>干式变压器、两台</w:t>
      </w:r>
      <w:r>
        <w:rPr>
          <w:rFonts w:eastAsia="Times New Roman"/>
          <w:sz w:val="24"/>
          <w:szCs w:val="24"/>
        </w:rPr>
        <w:t>1250KVA</w:t>
      </w:r>
      <w:r>
        <w:rPr>
          <w:sz w:val="24"/>
          <w:szCs w:val="24"/>
        </w:rPr>
        <w:t>干式变压器、两台</w:t>
      </w:r>
      <w:r>
        <w:rPr>
          <w:rFonts w:eastAsia="Times New Roman"/>
          <w:sz w:val="24"/>
          <w:szCs w:val="24"/>
        </w:rPr>
        <w:t>800KVA</w:t>
      </w:r>
      <w:r>
        <w:rPr>
          <w:sz w:val="24"/>
          <w:szCs w:val="24"/>
        </w:rPr>
        <w:t>干式变压器，总用电需求</w:t>
      </w:r>
      <w:r>
        <w:rPr>
          <w:rFonts w:eastAsia="Times New Roman"/>
          <w:sz w:val="24"/>
          <w:szCs w:val="24"/>
        </w:rPr>
        <w:t>8800KVA</w:t>
      </w:r>
      <w:r>
        <w:rPr>
          <w:sz w:val="24"/>
          <w:szCs w:val="24"/>
        </w:rPr>
        <w:t>，总供电能力为</w:t>
      </w:r>
      <w:r>
        <w:rPr>
          <w:rFonts w:eastAsia="Times New Roman"/>
          <w:sz w:val="24"/>
          <w:szCs w:val="24"/>
        </w:rPr>
        <w:t>9600KVA</w:t>
      </w:r>
      <w:r>
        <w:rPr>
          <w:sz w:val="24"/>
          <w:szCs w:val="24"/>
        </w:rPr>
        <w:t>。</w:t>
      </w:r>
    </w:p>
    <w:p w14:paraId="369DF125">
      <w:pPr>
        <w:pStyle w:val="5"/>
        <w:numPr>
          <w:ilvl w:val="2"/>
          <w:numId w:val="5"/>
        </w:numPr>
        <w:ind w:firstLine="0"/>
        <w:rPr>
          <w:kern w:val="2"/>
          <w:sz w:val="24"/>
          <w:szCs w:val="22"/>
        </w:rPr>
      </w:pPr>
      <w:r>
        <w:rPr>
          <w:kern w:val="2"/>
          <w:sz w:val="24"/>
          <w:szCs w:val="22"/>
        </w:rPr>
        <w:t>供水</w:t>
      </w:r>
    </w:p>
    <w:p w14:paraId="3C12264C">
      <w:pPr>
        <w:spacing w:line="360" w:lineRule="auto"/>
        <w:ind w:firstLine="576" w:firstLineChars="200"/>
        <w:rPr>
          <w:sz w:val="24"/>
          <w:szCs w:val="24"/>
        </w:rPr>
      </w:pPr>
      <w:r>
        <w:rPr>
          <w:spacing w:val="24"/>
          <w:sz w:val="24"/>
          <w:szCs w:val="24"/>
        </w:rPr>
        <w:t>(</w:t>
      </w:r>
      <w:r>
        <w:rPr>
          <w:rFonts w:eastAsia="Times New Roman"/>
          <w:spacing w:val="21"/>
          <w:sz w:val="24"/>
          <w:szCs w:val="24"/>
        </w:rPr>
        <w:t>1</w:t>
      </w:r>
      <w:r>
        <w:rPr>
          <w:spacing w:val="21"/>
          <w:sz w:val="24"/>
          <w:szCs w:val="24"/>
        </w:rPr>
        <w:t>)水源</w:t>
      </w:r>
    </w:p>
    <w:p w14:paraId="1DF8B61E">
      <w:pPr>
        <w:spacing w:line="360" w:lineRule="auto"/>
        <w:ind w:firstLine="480" w:firstLineChars="200"/>
        <w:rPr>
          <w:kern w:val="21"/>
          <w:sz w:val="24"/>
          <w:szCs w:val="24"/>
        </w:rPr>
      </w:pPr>
      <w:r>
        <w:rPr>
          <w:kern w:val="21"/>
          <w:sz w:val="24"/>
          <w:szCs w:val="24"/>
        </w:rPr>
        <w:t>淮南经开化工园区供水主要由接市政一、三水厂环网供水主网提供，总供水能力为</w:t>
      </w:r>
      <w:r>
        <w:rPr>
          <w:rFonts w:eastAsia="Times New Roman"/>
          <w:kern w:val="21"/>
          <w:sz w:val="24"/>
          <w:szCs w:val="24"/>
        </w:rPr>
        <w:t>400000m</w:t>
      </w:r>
      <w:r>
        <w:rPr>
          <w:kern w:val="21"/>
          <w:sz w:val="24"/>
          <w:szCs w:val="24"/>
          <w:vertAlign w:val="superscript"/>
        </w:rPr>
        <w:t>3</w:t>
      </w:r>
      <w:r>
        <w:rPr>
          <w:rFonts w:eastAsia="Times New Roman"/>
          <w:kern w:val="21"/>
          <w:sz w:val="24"/>
          <w:szCs w:val="24"/>
        </w:rPr>
        <w:t>/d</w:t>
      </w:r>
      <w:r>
        <w:rPr>
          <w:kern w:val="21"/>
          <w:sz w:val="24"/>
          <w:szCs w:val="24"/>
        </w:rPr>
        <w:t>。</w:t>
      </w:r>
    </w:p>
    <w:p w14:paraId="12F3F3F5">
      <w:pPr>
        <w:spacing w:line="360" w:lineRule="auto"/>
        <w:ind w:firstLine="480" w:firstLineChars="200"/>
        <w:rPr>
          <w:kern w:val="21"/>
          <w:sz w:val="24"/>
          <w:szCs w:val="24"/>
        </w:rPr>
      </w:pPr>
      <w:r>
        <w:rPr>
          <w:kern w:val="21"/>
          <w:sz w:val="24"/>
          <w:szCs w:val="24"/>
        </w:rPr>
        <w:t>(2) 供水现状</w:t>
      </w:r>
    </w:p>
    <w:p w14:paraId="2F7F7B61">
      <w:pPr>
        <w:spacing w:line="360" w:lineRule="auto"/>
        <w:ind w:firstLine="480" w:firstLineChars="200"/>
        <w:rPr>
          <w:kern w:val="21"/>
          <w:sz w:val="24"/>
          <w:szCs w:val="24"/>
        </w:rPr>
      </w:pPr>
      <w:r>
        <w:rPr>
          <w:kern w:val="21"/>
          <w:sz w:val="24"/>
          <w:szCs w:val="24"/>
        </w:rPr>
        <w:t>区块一：用水来源为接市政一、三水厂环网供水主网，德邦化工用水量为</w:t>
      </w:r>
      <w:r>
        <w:rPr>
          <w:rFonts w:eastAsia="Times New Roman"/>
          <w:kern w:val="21"/>
          <w:sz w:val="24"/>
          <w:szCs w:val="24"/>
        </w:rPr>
        <w:t>300m</w:t>
      </w:r>
      <w:r>
        <w:rPr>
          <w:kern w:val="21"/>
          <w:sz w:val="24"/>
          <w:szCs w:val="24"/>
          <w:vertAlign w:val="superscript"/>
        </w:rPr>
        <w:t>3</w:t>
      </w:r>
      <w:r>
        <w:rPr>
          <w:rFonts w:eastAsia="Times New Roman"/>
          <w:kern w:val="21"/>
          <w:sz w:val="24"/>
          <w:szCs w:val="24"/>
        </w:rPr>
        <w:t>/h</w:t>
      </w:r>
      <w:r>
        <w:rPr>
          <w:kern w:val="21"/>
          <w:sz w:val="24"/>
          <w:szCs w:val="24"/>
        </w:rPr>
        <w:t>。恒诚制药和水卫士环保科水源来自淮南经济技术开发区供水管网，由田东路接</w:t>
      </w:r>
      <w:r>
        <w:rPr>
          <w:rFonts w:eastAsia="Times New Roman"/>
          <w:kern w:val="21"/>
          <w:sz w:val="24"/>
          <w:szCs w:val="24"/>
        </w:rPr>
        <w:t>DN200</w:t>
      </w:r>
      <w:r>
        <w:rPr>
          <w:kern w:val="21"/>
          <w:sz w:val="24"/>
          <w:szCs w:val="24"/>
        </w:rPr>
        <w:t>给水管道进厂区，恒诚制药用水量约为56m3/h水卫士环保科技处理用水量为12.5m3/h。</w:t>
      </w:r>
    </w:p>
    <w:p w14:paraId="34F01909">
      <w:pPr>
        <w:spacing w:line="360" w:lineRule="auto"/>
        <w:ind w:firstLine="480" w:firstLineChars="200"/>
        <w:rPr>
          <w:kern w:val="21"/>
          <w:sz w:val="24"/>
          <w:szCs w:val="24"/>
        </w:rPr>
      </w:pPr>
      <w:r>
        <w:rPr>
          <w:kern w:val="21"/>
          <w:sz w:val="24"/>
          <w:szCs w:val="24"/>
        </w:rPr>
        <w:t>区块二：供水主要由接市政一、三水厂环网供水主网提供</w:t>
      </w:r>
      <w:r>
        <w:rPr>
          <w:rFonts w:hint="eastAsia"/>
          <w:kern w:val="21"/>
          <w:sz w:val="24"/>
          <w:szCs w:val="24"/>
        </w:rPr>
        <w:t>，</w:t>
      </w:r>
      <w:r>
        <w:rPr>
          <w:kern w:val="21"/>
          <w:sz w:val="24"/>
          <w:szCs w:val="24"/>
        </w:rPr>
        <w:t>DN300供水管道</w:t>
      </w:r>
      <w:r>
        <w:rPr>
          <w:rFonts w:hint="eastAsia"/>
          <w:kern w:val="21"/>
          <w:sz w:val="24"/>
          <w:szCs w:val="24"/>
        </w:rPr>
        <w:t>。</w:t>
      </w:r>
    </w:p>
    <w:p w14:paraId="26BA0370">
      <w:pPr>
        <w:pStyle w:val="5"/>
        <w:numPr>
          <w:ilvl w:val="2"/>
          <w:numId w:val="5"/>
        </w:numPr>
        <w:ind w:firstLine="0"/>
        <w:rPr>
          <w:kern w:val="2"/>
          <w:sz w:val="24"/>
          <w:szCs w:val="22"/>
        </w:rPr>
      </w:pPr>
      <w:r>
        <w:rPr>
          <w:kern w:val="2"/>
          <w:sz w:val="24"/>
          <w:szCs w:val="22"/>
        </w:rPr>
        <w:t>供热</w:t>
      </w:r>
    </w:p>
    <w:p w14:paraId="5D23DB54">
      <w:pPr>
        <w:spacing w:line="360" w:lineRule="auto"/>
        <w:ind w:firstLine="480" w:firstLineChars="200"/>
        <w:rPr>
          <w:sz w:val="24"/>
          <w:szCs w:val="24"/>
        </w:rPr>
      </w:pPr>
      <w:r>
        <w:rPr>
          <w:sz w:val="24"/>
          <w:szCs w:val="24"/>
        </w:rPr>
        <w:t>目前淮南经济技术开发区内的蒸汽由田家庵电厂热力厂提供，蒸汽最大总供应能力</w:t>
      </w:r>
      <w:r>
        <w:rPr>
          <w:rFonts w:eastAsia="Times New Roman"/>
          <w:sz w:val="24"/>
          <w:szCs w:val="24"/>
        </w:rPr>
        <w:t>300t/h</w:t>
      </w:r>
      <w:r>
        <w:rPr>
          <w:sz w:val="24"/>
          <w:szCs w:val="24"/>
        </w:rPr>
        <w:t>，压力</w:t>
      </w:r>
      <w:r>
        <w:rPr>
          <w:rFonts w:eastAsia="Times New Roman"/>
          <w:sz w:val="24"/>
          <w:szCs w:val="24"/>
        </w:rPr>
        <w:t>1.0MPa(G)</w:t>
      </w:r>
      <w:r>
        <w:rPr>
          <w:sz w:val="24"/>
          <w:szCs w:val="24"/>
        </w:rPr>
        <w:t>，温度</w:t>
      </w:r>
      <w:r>
        <w:rPr>
          <w:rFonts w:eastAsia="Times New Roman"/>
          <w:sz w:val="24"/>
          <w:szCs w:val="24"/>
        </w:rPr>
        <w:t>250</w:t>
      </w:r>
      <w:r>
        <w:rPr>
          <w:sz w:val="24"/>
          <w:szCs w:val="24"/>
        </w:rPr>
        <w:t>℃。</w:t>
      </w:r>
    </w:p>
    <w:p w14:paraId="638E8643">
      <w:pPr>
        <w:spacing w:line="360" w:lineRule="auto"/>
        <w:ind w:firstLine="480" w:firstLineChars="200"/>
        <w:rPr>
          <w:sz w:val="24"/>
          <w:szCs w:val="24"/>
        </w:rPr>
      </w:pPr>
      <w:r>
        <w:rPr>
          <w:sz w:val="24"/>
          <w:szCs w:val="24"/>
        </w:rPr>
        <w:t>(</w:t>
      </w:r>
      <w:r>
        <w:rPr>
          <w:rFonts w:eastAsia="Times New Roman"/>
          <w:sz w:val="24"/>
          <w:szCs w:val="24"/>
        </w:rPr>
        <w:t>1</w:t>
      </w:r>
      <w:r>
        <w:rPr>
          <w:sz w:val="24"/>
          <w:szCs w:val="24"/>
        </w:rPr>
        <w:t>)供热现状</w:t>
      </w:r>
    </w:p>
    <w:p w14:paraId="519E121C">
      <w:pPr>
        <w:spacing w:line="360" w:lineRule="auto"/>
        <w:ind w:firstLine="480" w:firstLineChars="200"/>
        <w:rPr>
          <w:sz w:val="24"/>
          <w:szCs w:val="24"/>
        </w:rPr>
      </w:pPr>
      <w:r>
        <w:rPr>
          <w:kern w:val="0"/>
          <w:sz w:val="24"/>
          <w:szCs w:val="24"/>
        </w:rPr>
        <w:t>区块一</w:t>
      </w:r>
      <w:r>
        <w:rPr>
          <w:sz w:val="24"/>
          <w:szCs w:val="24"/>
        </w:rPr>
        <w:t>：引自田家庵电厂2*320MW热电联产机组DN600供热管道</w:t>
      </w:r>
      <w:r>
        <w:rPr>
          <w:rFonts w:hint="eastAsia"/>
          <w:sz w:val="24"/>
          <w:szCs w:val="24"/>
        </w:rPr>
        <w:t>，</w:t>
      </w:r>
      <w:r>
        <w:rPr>
          <w:sz w:val="24"/>
          <w:szCs w:val="24"/>
        </w:rPr>
        <w:t>德邦化工的蒸汽需求来源于自建的</w:t>
      </w:r>
      <w:r>
        <w:rPr>
          <w:rFonts w:eastAsia="Times New Roman"/>
          <w:sz w:val="24"/>
          <w:szCs w:val="24"/>
        </w:rPr>
        <w:t>75t/h</w:t>
      </w:r>
      <w:r>
        <w:rPr>
          <w:sz w:val="24"/>
          <w:szCs w:val="24"/>
        </w:rPr>
        <w:t>锅炉和田家庵电厂热力提供蒸汽，总需求量</w:t>
      </w:r>
      <w:r>
        <w:rPr>
          <w:rFonts w:eastAsia="Times New Roman"/>
          <w:sz w:val="24"/>
          <w:szCs w:val="24"/>
        </w:rPr>
        <w:t>130t/h</w:t>
      </w:r>
      <w:r>
        <w:rPr>
          <w:sz w:val="24"/>
          <w:szCs w:val="24"/>
        </w:rPr>
        <w:t>。恒诚制药、水卫士环保科技蒸汽由田家庵电厂热力厂、中润热电厂提供蒸汽，恒诚制药蒸汽用量为</w:t>
      </w:r>
      <w:r>
        <w:rPr>
          <w:rFonts w:eastAsia="Times New Roman"/>
          <w:sz w:val="24"/>
          <w:szCs w:val="24"/>
        </w:rPr>
        <w:t>0.6t/h</w:t>
      </w:r>
      <w:r>
        <w:rPr>
          <w:sz w:val="24"/>
          <w:szCs w:val="24"/>
        </w:rPr>
        <w:t>，水卫士环保科技蒸汽用量为</w:t>
      </w:r>
      <w:r>
        <w:rPr>
          <w:rFonts w:eastAsia="Times New Roman"/>
          <w:sz w:val="24"/>
          <w:szCs w:val="24"/>
        </w:rPr>
        <w:t>0.5t/h</w:t>
      </w:r>
      <w:r>
        <w:rPr>
          <w:sz w:val="24"/>
          <w:szCs w:val="24"/>
        </w:rPr>
        <w:t>。</w:t>
      </w:r>
    </w:p>
    <w:p w14:paraId="4B8458A7">
      <w:pPr>
        <w:spacing w:line="360" w:lineRule="auto"/>
        <w:ind w:firstLine="480" w:firstLineChars="200"/>
        <w:rPr>
          <w:sz w:val="24"/>
          <w:szCs w:val="24"/>
        </w:rPr>
      </w:pPr>
      <w:r>
        <w:rPr>
          <w:kern w:val="0"/>
          <w:sz w:val="24"/>
          <w:szCs w:val="24"/>
        </w:rPr>
        <w:t>区块二</w:t>
      </w:r>
      <w:r>
        <w:rPr>
          <w:sz w:val="24"/>
          <w:szCs w:val="24"/>
        </w:rPr>
        <w:t>：国瑞药业的蒸汽需求来源于田家庵电厂热力厂DN</w:t>
      </w:r>
      <w:r>
        <w:rPr>
          <w:rFonts w:hint="eastAsia"/>
          <w:sz w:val="24"/>
          <w:szCs w:val="24"/>
        </w:rPr>
        <w:t>5</w:t>
      </w:r>
      <w:r>
        <w:rPr>
          <w:sz w:val="24"/>
          <w:szCs w:val="24"/>
        </w:rPr>
        <w:t>00供热管道提供蒸汽，总需求</w:t>
      </w:r>
      <w:r>
        <w:rPr>
          <w:rFonts w:eastAsia="Times New Roman"/>
          <w:sz w:val="24"/>
          <w:szCs w:val="24"/>
        </w:rPr>
        <w:t>20.5t/h</w:t>
      </w:r>
      <w:r>
        <w:rPr>
          <w:sz w:val="24"/>
          <w:szCs w:val="24"/>
        </w:rPr>
        <w:t>，同时国瑞药业考虑到部分工艺生产不能停止蒸汽供应，作为备用热源，为保证关键岗位的用热负荷，在动力中心设置</w:t>
      </w:r>
      <w:r>
        <w:rPr>
          <w:rFonts w:eastAsia="Times New Roman"/>
          <w:sz w:val="24"/>
          <w:szCs w:val="24"/>
        </w:rPr>
        <w:t>10t/h</w:t>
      </w:r>
      <w:r>
        <w:rPr>
          <w:sz w:val="24"/>
          <w:szCs w:val="24"/>
        </w:rPr>
        <w:t>的燃气锅炉。</w:t>
      </w:r>
    </w:p>
    <w:p w14:paraId="271C22A2">
      <w:pPr>
        <w:pStyle w:val="5"/>
        <w:numPr>
          <w:ilvl w:val="2"/>
          <w:numId w:val="5"/>
        </w:numPr>
        <w:ind w:firstLine="0"/>
        <w:rPr>
          <w:kern w:val="2"/>
          <w:sz w:val="24"/>
          <w:szCs w:val="22"/>
        </w:rPr>
      </w:pPr>
      <w:r>
        <w:rPr>
          <w:kern w:val="2"/>
          <w:sz w:val="24"/>
          <w:szCs w:val="22"/>
        </w:rPr>
        <w:t>供气</w:t>
      </w:r>
    </w:p>
    <w:p w14:paraId="09CED830">
      <w:pPr>
        <w:spacing w:line="360" w:lineRule="auto"/>
        <w:ind w:firstLine="480" w:firstLineChars="200"/>
        <w:rPr>
          <w:sz w:val="24"/>
          <w:szCs w:val="24"/>
        </w:rPr>
      </w:pPr>
      <w:r>
        <w:rPr>
          <w:sz w:val="24"/>
          <w:szCs w:val="24"/>
        </w:rPr>
        <w:t>(</w:t>
      </w:r>
      <w:r>
        <w:rPr>
          <w:rFonts w:eastAsia="Times New Roman"/>
          <w:sz w:val="24"/>
          <w:szCs w:val="24"/>
        </w:rPr>
        <w:t>1</w:t>
      </w:r>
      <w:r>
        <w:rPr>
          <w:sz w:val="24"/>
          <w:szCs w:val="24"/>
        </w:rPr>
        <w:t>)供气现状</w:t>
      </w:r>
    </w:p>
    <w:p w14:paraId="7F7006A2">
      <w:pPr>
        <w:spacing w:line="360" w:lineRule="auto"/>
        <w:ind w:firstLine="480" w:firstLineChars="200"/>
        <w:rPr>
          <w:sz w:val="24"/>
          <w:szCs w:val="24"/>
        </w:rPr>
      </w:pPr>
      <w:r>
        <w:rPr>
          <w:kern w:val="21"/>
          <w:sz w:val="24"/>
          <w:szCs w:val="24"/>
        </w:rPr>
        <w:t>区块一</w:t>
      </w:r>
      <w:r>
        <w:rPr>
          <w:sz w:val="24"/>
          <w:szCs w:val="24"/>
        </w:rPr>
        <w:t>：德邦化工、恒诚制药、水卫士环保科技均不涉及使用天然气。各企业涉及使用的氮气、压缩空气以及其它工业气体以各企业自配制氮机、空压机、工业气瓶供气为主。</w:t>
      </w:r>
    </w:p>
    <w:p w14:paraId="1BFFDA1D">
      <w:pPr>
        <w:spacing w:line="360" w:lineRule="auto"/>
        <w:ind w:firstLine="480" w:firstLineChars="200"/>
        <w:rPr>
          <w:sz w:val="24"/>
          <w:szCs w:val="24"/>
        </w:rPr>
      </w:pPr>
      <w:r>
        <w:rPr>
          <w:kern w:val="21"/>
          <w:sz w:val="24"/>
          <w:szCs w:val="24"/>
        </w:rPr>
        <w:t>区块二</w:t>
      </w:r>
      <w:r>
        <w:rPr>
          <w:sz w:val="24"/>
          <w:szCs w:val="24"/>
        </w:rPr>
        <w:t>：国瑞药业涉及使用天然气(燃气锅炉)，由朝阳北路引</w:t>
      </w:r>
      <w:r>
        <w:rPr>
          <w:rFonts w:eastAsia="Times New Roman"/>
          <w:sz w:val="24"/>
          <w:szCs w:val="24"/>
        </w:rPr>
        <w:t>DN160</w:t>
      </w:r>
      <w:r>
        <w:rPr>
          <w:sz w:val="24"/>
          <w:szCs w:val="24"/>
        </w:rPr>
        <w:t>中压燃气管道，压力</w:t>
      </w:r>
      <w:r>
        <w:rPr>
          <w:rFonts w:eastAsia="Times New Roman"/>
          <w:sz w:val="24"/>
          <w:szCs w:val="24"/>
        </w:rPr>
        <w:t>0.4MPa</w:t>
      </w:r>
      <w:r>
        <w:rPr>
          <w:sz w:val="24"/>
          <w:szCs w:val="24"/>
        </w:rPr>
        <w:t>，至厂区内</w:t>
      </w:r>
      <w:r>
        <w:rPr>
          <w:rFonts w:eastAsia="Times New Roman"/>
          <w:sz w:val="24"/>
          <w:szCs w:val="24"/>
        </w:rPr>
        <w:t>DN100</w:t>
      </w:r>
      <w:r>
        <w:rPr>
          <w:sz w:val="24"/>
          <w:szCs w:val="24"/>
        </w:rPr>
        <w:t>低压燃气管道，压力</w:t>
      </w:r>
      <w:r>
        <w:rPr>
          <w:rFonts w:eastAsia="Times New Roman"/>
          <w:sz w:val="24"/>
          <w:szCs w:val="24"/>
        </w:rPr>
        <w:t>2000Pa</w:t>
      </w:r>
      <w:r>
        <w:rPr>
          <w:sz w:val="24"/>
          <w:szCs w:val="24"/>
        </w:rPr>
        <w:t>。</w:t>
      </w:r>
    </w:p>
    <w:p w14:paraId="53756873">
      <w:pPr>
        <w:pStyle w:val="5"/>
        <w:numPr>
          <w:ilvl w:val="2"/>
          <w:numId w:val="5"/>
        </w:numPr>
        <w:ind w:firstLine="0"/>
        <w:rPr>
          <w:kern w:val="2"/>
          <w:sz w:val="24"/>
          <w:szCs w:val="22"/>
        </w:rPr>
      </w:pPr>
      <w:r>
        <w:rPr>
          <w:kern w:val="2"/>
          <w:sz w:val="24"/>
          <w:szCs w:val="22"/>
        </w:rPr>
        <w:t>通信</w:t>
      </w:r>
    </w:p>
    <w:p w14:paraId="49F98C6D">
      <w:pPr>
        <w:spacing w:line="360" w:lineRule="auto"/>
        <w:ind w:firstLine="480" w:firstLineChars="200"/>
        <w:rPr>
          <w:sz w:val="24"/>
          <w:szCs w:val="24"/>
          <w:lang w:val="zh-CN"/>
        </w:rPr>
      </w:pPr>
      <w:r>
        <w:rPr>
          <w:sz w:val="24"/>
          <w:szCs w:val="24"/>
        </w:rPr>
        <w:t>化工园区通讯光缆规划自庆兴北路与洛九路西南角电信管理所引入，接入点为化工园区各企业办公楼。</w:t>
      </w:r>
    </w:p>
    <w:p w14:paraId="561E1DE1">
      <w:pPr>
        <w:pStyle w:val="5"/>
        <w:numPr>
          <w:ilvl w:val="2"/>
          <w:numId w:val="5"/>
        </w:numPr>
        <w:ind w:firstLine="0"/>
        <w:rPr>
          <w:kern w:val="2"/>
          <w:sz w:val="24"/>
          <w:szCs w:val="22"/>
        </w:rPr>
      </w:pPr>
      <w:r>
        <w:rPr>
          <w:kern w:val="2"/>
          <w:sz w:val="24"/>
          <w:szCs w:val="22"/>
        </w:rPr>
        <w:t>污水处理</w:t>
      </w:r>
    </w:p>
    <w:p w14:paraId="0ABB455E">
      <w:pPr>
        <w:spacing w:line="360" w:lineRule="auto"/>
        <w:ind w:firstLine="480" w:firstLineChars="200"/>
        <w:rPr>
          <w:sz w:val="24"/>
          <w:szCs w:val="24"/>
        </w:rPr>
      </w:pPr>
      <w:r>
        <w:rPr>
          <w:sz w:val="24"/>
          <w:szCs w:val="24"/>
        </w:rPr>
        <w:t>化工园区采用雨污分流的排水体制。</w:t>
      </w:r>
    </w:p>
    <w:p w14:paraId="4FB51C55">
      <w:pPr>
        <w:spacing w:line="360" w:lineRule="auto"/>
        <w:ind w:firstLine="480" w:firstLineChars="200"/>
        <w:rPr>
          <w:sz w:val="24"/>
          <w:szCs w:val="24"/>
        </w:rPr>
      </w:pPr>
      <w:r>
        <w:rPr>
          <w:sz w:val="24"/>
          <w:szCs w:val="24"/>
        </w:rPr>
        <w:t>(</w:t>
      </w:r>
      <w:r>
        <w:rPr>
          <w:rFonts w:eastAsia="Times New Roman"/>
          <w:sz w:val="24"/>
          <w:szCs w:val="24"/>
        </w:rPr>
        <w:t>1</w:t>
      </w:r>
      <w:r>
        <w:rPr>
          <w:sz w:val="24"/>
          <w:szCs w:val="24"/>
        </w:rPr>
        <w:t>)排水现状</w:t>
      </w:r>
    </w:p>
    <w:p w14:paraId="542EF8C0">
      <w:pPr>
        <w:spacing w:line="360" w:lineRule="auto"/>
        <w:ind w:firstLine="480" w:firstLineChars="200"/>
        <w:rPr>
          <w:sz w:val="24"/>
          <w:szCs w:val="24"/>
        </w:rPr>
      </w:pPr>
      <w:r>
        <w:rPr>
          <w:kern w:val="21"/>
          <w:sz w:val="24"/>
          <w:szCs w:val="24"/>
        </w:rPr>
        <w:t>淮南经济开发区</w:t>
      </w:r>
      <w:r>
        <w:rPr>
          <w:sz w:val="24"/>
          <w:szCs w:val="24"/>
        </w:rPr>
        <w:t>目前已建一座</w:t>
      </w:r>
      <w:r>
        <w:rPr>
          <w:rFonts w:eastAsia="Times New Roman"/>
          <w:sz w:val="24"/>
          <w:szCs w:val="24"/>
        </w:rPr>
        <w:t>1.0</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/d</w:t>
      </w:r>
      <w:r>
        <w:rPr>
          <w:sz w:val="24"/>
          <w:szCs w:val="24"/>
        </w:rPr>
        <w:t>工业污水处理厂。</w:t>
      </w:r>
    </w:p>
    <w:p w14:paraId="2E3EC4A6">
      <w:pPr>
        <w:spacing w:line="360" w:lineRule="auto"/>
        <w:ind w:firstLine="480" w:firstLineChars="200"/>
        <w:rPr>
          <w:sz w:val="24"/>
          <w:szCs w:val="24"/>
        </w:rPr>
      </w:pPr>
      <w:r>
        <w:rPr>
          <w:kern w:val="21"/>
          <w:sz w:val="24"/>
          <w:szCs w:val="24"/>
        </w:rPr>
        <w:t>区块一</w:t>
      </w:r>
      <w:r>
        <w:rPr>
          <w:sz w:val="24"/>
          <w:szCs w:val="24"/>
        </w:rPr>
        <w:t>：德邦化工污水排放量</w:t>
      </w:r>
      <w:r>
        <w:rPr>
          <w:rFonts w:eastAsia="Times New Roman"/>
          <w:sz w:val="24"/>
          <w:szCs w:val="24"/>
        </w:rPr>
        <w:t>2400m</w:t>
      </w:r>
      <w:r>
        <w:rPr>
          <w:rFonts w:eastAsia="Times New Roman"/>
          <w:sz w:val="24"/>
          <w:szCs w:val="24"/>
          <w:vertAlign w:val="superscript"/>
        </w:rPr>
        <w:t>3</w:t>
      </w:r>
      <w:r>
        <w:rPr>
          <w:rFonts w:eastAsia="Times New Roman"/>
          <w:sz w:val="24"/>
          <w:szCs w:val="24"/>
        </w:rPr>
        <w:t>/d</w:t>
      </w:r>
      <w:r>
        <w:rPr>
          <w:sz w:val="24"/>
          <w:szCs w:val="24"/>
        </w:rPr>
        <w:t>，恒诚制药污水排放量</w:t>
      </w:r>
      <w:r>
        <w:rPr>
          <w:rFonts w:eastAsia="Times New Roman"/>
          <w:sz w:val="24"/>
          <w:szCs w:val="24"/>
        </w:rPr>
        <w:t>43.8m</w:t>
      </w:r>
      <w:r>
        <w:rPr>
          <w:rFonts w:eastAsia="Times New Roman"/>
          <w:sz w:val="24"/>
          <w:szCs w:val="24"/>
          <w:vertAlign w:val="superscript"/>
        </w:rPr>
        <w:t>3</w:t>
      </w:r>
      <w:r>
        <w:rPr>
          <w:rFonts w:eastAsia="Times New Roman"/>
          <w:sz w:val="24"/>
          <w:szCs w:val="24"/>
        </w:rPr>
        <w:t>/d</w:t>
      </w:r>
      <w:r>
        <w:rPr>
          <w:sz w:val="24"/>
          <w:szCs w:val="24"/>
        </w:rPr>
        <w:t>，水卫士环保科技污水排放量</w:t>
      </w:r>
      <w:r>
        <w:rPr>
          <w:rFonts w:eastAsia="Times New Roman"/>
          <w:sz w:val="24"/>
          <w:szCs w:val="24"/>
        </w:rPr>
        <w:t>2.5m</w:t>
      </w:r>
      <w:r>
        <w:rPr>
          <w:rFonts w:eastAsia="Times New Roman"/>
          <w:sz w:val="24"/>
          <w:szCs w:val="24"/>
          <w:vertAlign w:val="superscript"/>
        </w:rPr>
        <w:t>3</w:t>
      </w:r>
      <w:r>
        <w:rPr>
          <w:rFonts w:eastAsia="Times New Roman"/>
          <w:sz w:val="24"/>
          <w:szCs w:val="24"/>
        </w:rPr>
        <w:t>/d</w:t>
      </w:r>
      <w:r>
        <w:rPr>
          <w:sz w:val="24"/>
          <w:szCs w:val="24"/>
        </w:rPr>
        <w:t>，以上三家企业经污水管网收集至各自污水处理设施处理达到《污水综合排放标准》(</w:t>
      </w:r>
      <w:r>
        <w:rPr>
          <w:rFonts w:eastAsia="Times New Roman"/>
          <w:sz w:val="24"/>
          <w:szCs w:val="24"/>
        </w:rPr>
        <w:t>GB8978-1996</w:t>
      </w:r>
      <w:r>
        <w:rPr>
          <w:sz w:val="24"/>
          <w:szCs w:val="24"/>
        </w:rPr>
        <w:t>)，排入开发区工业污水处理厂。</w:t>
      </w:r>
    </w:p>
    <w:p w14:paraId="4ADBEB8B">
      <w:pPr>
        <w:spacing w:line="360" w:lineRule="auto"/>
        <w:ind w:firstLine="480" w:firstLineChars="200"/>
        <w:rPr>
          <w:sz w:val="24"/>
          <w:szCs w:val="24"/>
        </w:rPr>
      </w:pPr>
      <w:r>
        <w:rPr>
          <w:kern w:val="21"/>
          <w:sz w:val="24"/>
          <w:szCs w:val="24"/>
        </w:rPr>
        <w:t>区块二</w:t>
      </w:r>
      <w:r>
        <w:rPr>
          <w:sz w:val="24"/>
          <w:szCs w:val="24"/>
        </w:rPr>
        <w:t>：在建污水处理站污水处理能力</w:t>
      </w:r>
      <w:r>
        <w:rPr>
          <w:rFonts w:eastAsia="Times New Roman"/>
          <w:sz w:val="24"/>
          <w:szCs w:val="24"/>
        </w:rPr>
        <w:t>3.0</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/d</w:t>
      </w:r>
      <w:r>
        <w:rPr>
          <w:sz w:val="24"/>
          <w:szCs w:val="24"/>
        </w:rPr>
        <w:t>。国瑞药业污水排放量</w:t>
      </w:r>
      <w:r>
        <w:rPr>
          <w:rFonts w:eastAsia="Times New Roman"/>
          <w:sz w:val="24"/>
          <w:szCs w:val="24"/>
        </w:rPr>
        <w:t>1032m</w:t>
      </w:r>
      <w:r>
        <w:rPr>
          <w:sz w:val="24"/>
          <w:szCs w:val="24"/>
        </w:rPr>
        <w:t>³</w:t>
      </w:r>
      <w:r>
        <w:rPr>
          <w:rFonts w:eastAsia="Times New Roman"/>
          <w:sz w:val="24"/>
          <w:szCs w:val="24"/>
        </w:rPr>
        <w:t>/d</w:t>
      </w:r>
      <w:r>
        <w:rPr>
          <w:sz w:val="24"/>
          <w:szCs w:val="24"/>
        </w:rPr>
        <w:t>，经污水管网收集后入污水处理站处理。</w:t>
      </w:r>
    </w:p>
    <w:p w14:paraId="7CF73E8F">
      <w:pPr>
        <w:spacing w:line="360" w:lineRule="auto"/>
        <w:ind w:firstLine="480" w:firstLineChars="200"/>
        <w:rPr>
          <w:sz w:val="24"/>
          <w:szCs w:val="24"/>
        </w:rPr>
      </w:pPr>
      <w:r>
        <w:rPr>
          <w:kern w:val="21"/>
          <w:sz w:val="24"/>
          <w:szCs w:val="24"/>
        </w:rPr>
        <w:t>区块一</w:t>
      </w:r>
      <w:r>
        <w:rPr>
          <w:sz w:val="24"/>
          <w:szCs w:val="24"/>
        </w:rPr>
        <w:t>的德邦化工、恒诚制药、水卫士环保科技以及</w:t>
      </w:r>
      <w:r>
        <w:rPr>
          <w:kern w:val="21"/>
          <w:sz w:val="24"/>
          <w:szCs w:val="24"/>
        </w:rPr>
        <w:t>区块二</w:t>
      </w:r>
      <w:r>
        <w:rPr>
          <w:sz w:val="24"/>
          <w:szCs w:val="24"/>
        </w:rPr>
        <w:t>的国瑞药业的生活污水经厂内生活污水处理设施处理达到《污水综合排放标准》(</w:t>
      </w:r>
      <w:r>
        <w:rPr>
          <w:rFonts w:eastAsia="Times New Roman"/>
          <w:sz w:val="24"/>
          <w:szCs w:val="24"/>
        </w:rPr>
        <w:t>GB8978- 1996</w:t>
      </w:r>
      <w:r>
        <w:rPr>
          <w:sz w:val="24"/>
          <w:szCs w:val="24"/>
        </w:rPr>
        <w:t>) 三级标准后，排入污水排水管道，通过管道输送到市政污水处理厂处理达标排放。</w:t>
      </w:r>
    </w:p>
    <w:p w14:paraId="75C0632B">
      <w:pPr>
        <w:spacing w:line="360" w:lineRule="auto"/>
        <w:ind w:firstLine="480" w:firstLineChars="200"/>
        <w:rPr>
          <w:sz w:val="24"/>
          <w:szCs w:val="24"/>
        </w:rPr>
      </w:pPr>
      <w:r>
        <w:rPr>
          <w:kern w:val="21"/>
          <w:sz w:val="24"/>
          <w:szCs w:val="24"/>
        </w:rPr>
        <w:t>区块一</w:t>
      </w:r>
      <w:r>
        <w:rPr>
          <w:sz w:val="24"/>
          <w:szCs w:val="24"/>
        </w:rPr>
        <w:t>的德邦化工、恒诚制药、水卫士环保科技以及</w:t>
      </w:r>
      <w:r>
        <w:rPr>
          <w:kern w:val="21"/>
          <w:sz w:val="24"/>
          <w:szCs w:val="24"/>
        </w:rPr>
        <w:t>区块二</w:t>
      </w:r>
      <w:r>
        <w:rPr>
          <w:sz w:val="24"/>
          <w:szCs w:val="24"/>
        </w:rPr>
        <w:t>的国瑞药业的污染区域的初期雨水由厂内的雨水管 道汇总收集后，排入厂内的初期雨水收集池</w:t>
      </w:r>
      <w:r>
        <w:rPr>
          <w:rFonts w:eastAsia="Times New Roman"/>
          <w:sz w:val="24"/>
          <w:szCs w:val="24"/>
        </w:rPr>
        <w:t>/</w:t>
      </w:r>
      <w:r>
        <w:rPr>
          <w:sz w:val="24"/>
          <w:szCs w:val="24"/>
        </w:rPr>
        <w:t>事故池，经过处理达到《污水综 合排放标准》(</w:t>
      </w:r>
      <w:r>
        <w:rPr>
          <w:rFonts w:eastAsia="Times New Roman"/>
          <w:sz w:val="24"/>
          <w:szCs w:val="24"/>
        </w:rPr>
        <w:t>GB8978-</w:t>
      </w:r>
      <w:r>
        <w:rPr>
          <w:sz w:val="24"/>
          <w:szCs w:val="24"/>
        </w:rPr>
        <w:t>1</w:t>
      </w:r>
      <w:r>
        <w:rPr>
          <w:rFonts w:eastAsia="Times New Roman"/>
          <w:sz w:val="24"/>
          <w:szCs w:val="24"/>
        </w:rPr>
        <w:t>996</w:t>
      </w:r>
      <w:r>
        <w:rPr>
          <w:sz w:val="24"/>
          <w:szCs w:val="24"/>
        </w:rPr>
        <w:t>)三级标准后，排入污水排水管道，通过管道输送到开发区工业污水处理厂。后期雨水和装置排出的未被污染的水(清洁下水)，就近排入雨水排水管道，汇总后排入园区的雨水排水管道，最终排入淮河。</w:t>
      </w:r>
    </w:p>
    <w:p w14:paraId="73FE2899">
      <w:pPr>
        <w:spacing w:line="360" w:lineRule="auto"/>
        <w:rPr>
          <w:sz w:val="24"/>
          <w:szCs w:val="24"/>
          <w:lang w:val="zh-CN"/>
        </w:rPr>
      </w:pPr>
    </w:p>
    <w:p w14:paraId="3F4D6703">
      <w:pPr>
        <w:spacing w:line="360" w:lineRule="auto"/>
        <w:ind w:firstLine="480" w:firstLineChars="200"/>
        <w:rPr>
          <w:sz w:val="24"/>
          <w:szCs w:val="24"/>
        </w:rPr>
      </w:pPr>
    </w:p>
    <w:p w14:paraId="4D9F439D">
      <w:pPr>
        <w:spacing w:line="360" w:lineRule="auto"/>
        <w:ind w:firstLine="480" w:firstLineChars="200"/>
        <w:rPr>
          <w:sz w:val="24"/>
          <w:szCs w:val="24"/>
        </w:rPr>
      </w:pPr>
    </w:p>
    <w:p w14:paraId="6EB2BE4E">
      <w:pPr>
        <w:ind w:firstLine="630" w:firstLineChars="225"/>
        <w:rPr>
          <w:szCs w:val="28"/>
        </w:rPr>
      </w:pPr>
    </w:p>
    <w:p w14:paraId="4F789F35">
      <w:pPr>
        <w:spacing w:beforeLines="50" w:afterLines="50" w:line="360" w:lineRule="auto"/>
        <w:jc w:val="center"/>
        <w:outlineLvl w:val="0"/>
        <w:rPr>
          <w:b/>
          <w:sz w:val="32"/>
          <w:szCs w:val="32"/>
        </w:rPr>
      </w:pPr>
      <w:r>
        <w:br w:type="page"/>
      </w:r>
      <w:bookmarkStart w:id="75" w:name="_Toc24599"/>
      <w:bookmarkStart w:id="76" w:name="_Toc1628642"/>
      <w:r>
        <w:rPr>
          <w:b/>
          <w:sz w:val="32"/>
          <w:szCs w:val="32"/>
        </w:rPr>
        <w:t>5总体布局规划</w:t>
      </w:r>
      <w:bookmarkEnd w:id="75"/>
    </w:p>
    <w:p w14:paraId="57DF4237">
      <w:pPr>
        <w:pStyle w:val="4"/>
        <w:rPr>
          <w:rFonts w:ascii="Times New Roman" w:hAnsi="Times New Roman"/>
          <w:sz w:val="24"/>
          <w:szCs w:val="24"/>
        </w:rPr>
      </w:pPr>
      <w:bookmarkStart w:id="77" w:name="_Toc32121"/>
      <w:r>
        <w:rPr>
          <w:rFonts w:ascii="Times New Roman" w:hAnsi="Times New Roman"/>
          <w:sz w:val="24"/>
          <w:szCs w:val="24"/>
        </w:rPr>
        <w:t>5.1 规划依据</w:t>
      </w:r>
      <w:bookmarkEnd w:id="77"/>
    </w:p>
    <w:p w14:paraId="04BB1250">
      <w:pPr>
        <w:spacing w:line="360" w:lineRule="auto"/>
        <w:ind w:firstLine="480" w:firstLineChars="200"/>
        <w:jc w:val="left"/>
        <w:rPr>
          <w:sz w:val="24"/>
          <w:szCs w:val="24"/>
        </w:rPr>
      </w:pPr>
      <w:r>
        <w:rPr>
          <w:sz w:val="24"/>
          <w:szCs w:val="24"/>
        </w:rPr>
        <w:t>（1）《中华人民共和国城乡规划法》</w:t>
      </w:r>
    </w:p>
    <w:p w14:paraId="03FE00CB">
      <w:pPr>
        <w:spacing w:line="360" w:lineRule="auto"/>
        <w:ind w:firstLine="480" w:firstLineChars="200"/>
        <w:jc w:val="left"/>
        <w:rPr>
          <w:sz w:val="24"/>
          <w:szCs w:val="24"/>
        </w:rPr>
      </w:pPr>
      <w:r>
        <w:rPr>
          <w:sz w:val="24"/>
          <w:szCs w:val="24"/>
        </w:rPr>
        <w:t>（2）《城市规划编制办法》</w:t>
      </w:r>
    </w:p>
    <w:p w14:paraId="48E4AF63">
      <w:pPr>
        <w:spacing w:line="360" w:lineRule="auto"/>
        <w:ind w:firstLine="480" w:firstLineChars="200"/>
        <w:jc w:val="left"/>
        <w:rPr>
          <w:sz w:val="24"/>
          <w:szCs w:val="24"/>
        </w:rPr>
      </w:pPr>
      <w:r>
        <w:rPr>
          <w:sz w:val="24"/>
          <w:szCs w:val="24"/>
        </w:rPr>
        <w:t>（3）《城市规划编制办法实施细则》</w:t>
      </w:r>
    </w:p>
    <w:p w14:paraId="44ABDE61">
      <w:pPr>
        <w:spacing w:line="360" w:lineRule="auto"/>
        <w:ind w:firstLine="480" w:firstLineChars="200"/>
        <w:jc w:val="left"/>
        <w:rPr>
          <w:sz w:val="24"/>
          <w:szCs w:val="24"/>
        </w:rPr>
      </w:pPr>
      <w:r>
        <w:rPr>
          <w:sz w:val="24"/>
          <w:szCs w:val="24"/>
        </w:rPr>
        <w:t>（4）《城市用地分类与规划建设用地标准》（GB 50137-2011）</w:t>
      </w:r>
    </w:p>
    <w:p w14:paraId="76F5CF4F">
      <w:pPr>
        <w:spacing w:line="360" w:lineRule="auto"/>
        <w:ind w:firstLine="480" w:firstLineChars="200"/>
        <w:jc w:val="left"/>
        <w:rPr>
          <w:sz w:val="24"/>
          <w:szCs w:val="24"/>
        </w:rPr>
      </w:pPr>
      <w:r>
        <w:rPr>
          <w:sz w:val="24"/>
          <w:szCs w:val="24"/>
        </w:rPr>
        <w:t>（5）《化工企业安全卫生设计规定》（HG20571-2014）</w:t>
      </w:r>
    </w:p>
    <w:p w14:paraId="2DF40BCF">
      <w:pPr>
        <w:spacing w:line="360" w:lineRule="auto"/>
        <w:ind w:firstLine="480" w:firstLineChars="200"/>
        <w:jc w:val="left"/>
        <w:rPr>
          <w:sz w:val="24"/>
          <w:szCs w:val="24"/>
        </w:rPr>
      </w:pPr>
      <w:r>
        <w:rPr>
          <w:sz w:val="24"/>
          <w:szCs w:val="24"/>
        </w:rPr>
        <w:t>（6）《淮南市城市总体规划（2011-2030）》</w:t>
      </w:r>
    </w:p>
    <w:p w14:paraId="4A7251FE">
      <w:pPr>
        <w:spacing w:line="360" w:lineRule="auto"/>
        <w:ind w:firstLine="480" w:firstLineChars="200"/>
        <w:jc w:val="left"/>
        <w:rPr>
          <w:sz w:val="24"/>
          <w:szCs w:val="24"/>
        </w:rPr>
      </w:pPr>
      <w:r>
        <w:rPr>
          <w:sz w:val="24"/>
          <w:szCs w:val="24"/>
        </w:rPr>
        <w:t>（7）《淮南市东部工业区控制性详细规划》</w:t>
      </w:r>
    </w:p>
    <w:p w14:paraId="54973D23">
      <w:pPr>
        <w:spacing w:line="360" w:lineRule="auto"/>
        <w:ind w:firstLine="480" w:firstLineChars="200"/>
        <w:jc w:val="left"/>
        <w:rPr>
          <w:sz w:val="24"/>
          <w:szCs w:val="24"/>
        </w:rPr>
      </w:pPr>
      <w:r>
        <w:rPr>
          <w:sz w:val="24"/>
          <w:szCs w:val="24"/>
        </w:rPr>
        <w:t>（8）淮南经济技术开发区政府提供的有关基础资料。</w:t>
      </w:r>
    </w:p>
    <w:p w14:paraId="35DE5593">
      <w:pPr>
        <w:pStyle w:val="4"/>
        <w:rPr>
          <w:rFonts w:ascii="Times New Roman" w:hAnsi="Times New Roman"/>
          <w:sz w:val="24"/>
          <w:szCs w:val="24"/>
        </w:rPr>
      </w:pPr>
      <w:bookmarkStart w:id="78" w:name="_Toc22325"/>
      <w:r>
        <w:rPr>
          <w:rFonts w:ascii="Times New Roman" w:hAnsi="Times New Roman"/>
          <w:sz w:val="24"/>
          <w:szCs w:val="24"/>
        </w:rPr>
        <w:t>5.2 土地利用规划</w:t>
      </w:r>
      <w:bookmarkEnd w:id="78"/>
    </w:p>
    <w:p w14:paraId="05593B4C">
      <w:pPr>
        <w:pStyle w:val="5"/>
        <w:spacing w:before="156" w:after="156"/>
        <w:rPr>
          <w:rFonts w:eastAsiaTheme="minorEastAsia"/>
          <w:sz w:val="24"/>
          <w:szCs w:val="24"/>
        </w:rPr>
      </w:pPr>
      <w:bookmarkStart w:id="79" w:name="_Toc4596023"/>
      <w:r>
        <w:rPr>
          <w:rFonts w:eastAsiaTheme="minorEastAsia"/>
          <w:sz w:val="24"/>
          <w:szCs w:val="24"/>
        </w:rPr>
        <w:t>5.2.1 规划目标</w:t>
      </w:r>
      <w:bookmarkEnd w:id="79"/>
    </w:p>
    <w:p w14:paraId="4E9BCD92">
      <w:pPr>
        <w:spacing w:line="360" w:lineRule="auto"/>
        <w:ind w:firstLine="480" w:firstLineChars="200"/>
        <w:jc w:val="left"/>
        <w:rPr>
          <w:sz w:val="24"/>
          <w:szCs w:val="24"/>
        </w:rPr>
      </w:pPr>
      <w:r>
        <w:rPr>
          <w:sz w:val="24"/>
          <w:szCs w:val="24"/>
        </w:rPr>
        <w:t>（1）协调淮南经开化工园区总体发展用地的布局，体现可持续发展；</w:t>
      </w:r>
    </w:p>
    <w:p w14:paraId="716505A0">
      <w:pPr>
        <w:spacing w:line="360" w:lineRule="auto"/>
        <w:ind w:firstLine="480" w:firstLineChars="200"/>
        <w:jc w:val="left"/>
        <w:rPr>
          <w:sz w:val="24"/>
          <w:szCs w:val="24"/>
        </w:rPr>
      </w:pPr>
      <w:r>
        <w:rPr>
          <w:sz w:val="24"/>
          <w:szCs w:val="24"/>
        </w:rPr>
        <w:t>（2）协调淮南经开化工园区总体发展规划与淮南市以及化工园区重要支撑企业的公共服务设施与公辅工程设施的衔接，资源共享；</w:t>
      </w:r>
    </w:p>
    <w:p w14:paraId="00ADC7C8">
      <w:pPr>
        <w:spacing w:line="360" w:lineRule="auto"/>
        <w:ind w:firstLine="480" w:firstLineChars="200"/>
        <w:jc w:val="left"/>
        <w:rPr>
          <w:sz w:val="24"/>
          <w:szCs w:val="24"/>
        </w:rPr>
      </w:pPr>
      <w:r>
        <w:rPr>
          <w:sz w:val="24"/>
          <w:szCs w:val="24"/>
        </w:rPr>
        <w:t>（3）统筹规划路网，与市政规划道路合理衔接，确保土地利用最优化；</w:t>
      </w:r>
    </w:p>
    <w:p w14:paraId="58512EB2">
      <w:pPr>
        <w:spacing w:line="360" w:lineRule="auto"/>
        <w:ind w:firstLine="480" w:firstLineChars="200"/>
        <w:jc w:val="left"/>
        <w:rPr>
          <w:sz w:val="24"/>
          <w:szCs w:val="24"/>
        </w:rPr>
      </w:pPr>
      <w:r>
        <w:rPr>
          <w:sz w:val="24"/>
          <w:szCs w:val="24"/>
        </w:rPr>
        <w:t>（4）合理确定道路、场地以及工程管线的竖向控制；</w:t>
      </w:r>
    </w:p>
    <w:p w14:paraId="204DD849">
      <w:pPr>
        <w:spacing w:line="360" w:lineRule="auto"/>
        <w:ind w:firstLine="480" w:firstLineChars="200"/>
        <w:jc w:val="left"/>
        <w:rPr>
          <w:sz w:val="24"/>
          <w:szCs w:val="24"/>
        </w:rPr>
      </w:pPr>
      <w:r>
        <w:rPr>
          <w:sz w:val="24"/>
          <w:szCs w:val="24"/>
        </w:rPr>
        <w:t>（5）精心设计生态景观，体现化工园区总体发展规划的现代化。</w:t>
      </w:r>
    </w:p>
    <w:p w14:paraId="21691918">
      <w:pPr>
        <w:pStyle w:val="5"/>
        <w:spacing w:before="156" w:after="156"/>
        <w:rPr>
          <w:rFonts w:eastAsiaTheme="minorEastAsia"/>
          <w:sz w:val="24"/>
          <w:szCs w:val="24"/>
        </w:rPr>
      </w:pPr>
      <w:bookmarkStart w:id="80" w:name="_Toc4596024"/>
      <w:r>
        <w:rPr>
          <w:rFonts w:eastAsiaTheme="minorEastAsia"/>
          <w:sz w:val="24"/>
          <w:szCs w:val="24"/>
        </w:rPr>
        <w:t>5.2.2 用地现状</w:t>
      </w:r>
      <w:bookmarkEnd w:id="80"/>
    </w:p>
    <w:p w14:paraId="53779FE3">
      <w:pPr>
        <w:spacing w:line="360" w:lineRule="auto"/>
        <w:ind w:firstLine="480" w:firstLineChars="200"/>
        <w:jc w:val="left"/>
        <w:rPr>
          <w:sz w:val="24"/>
          <w:szCs w:val="24"/>
        </w:rPr>
      </w:pPr>
      <w:r>
        <w:rPr>
          <w:sz w:val="24"/>
          <w:szCs w:val="24"/>
        </w:rPr>
        <w:t>化工园区</w:t>
      </w:r>
      <w:r>
        <w:rPr>
          <w:sz w:val="24"/>
        </w:rPr>
        <w:t>目前区块一总规划面积</w:t>
      </w:r>
      <w:r>
        <w:rPr>
          <w:rFonts w:hint="eastAsia"/>
          <w:sz w:val="24"/>
        </w:rPr>
        <w:t>33.04公顷</w:t>
      </w:r>
      <w:r>
        <w:rPr>
          <w:sz w:val="24"/>
        </w:rPr>
        <w:t>，已开发面积30.71公顷，道路绿化0.66公顷，未开发面积1.6</w:t>
      </w:r>
      <w:r>
        <w:rPr>
          <w:rFonts w:hint="eastAsia"/>
          <w:sz w:val="24"/>
        </w:rPr>
        <w:t>7</w:t>
      </w:r>
      <w:r>
        <w:rPr>
          <w:sz w:val="24"/>
        </w:rPr>
        <w:t>公顷。区块二总规划面积</w:t>
      </w:r>
      <w:r>
        <w:rPr>
          <w:rFonts w:hint="eastAsia"/>
          <w:sz w:val="24"/>
        </w:rPr>
        <w:t>120.10公顷</w:t>
      </w:r>
      <w:r>
        <w:rPr>
          <w:sz w:val="24"/>
        </w:rPr>
        <w:t>，已开发面积</w:t>
      </w:r>
      <w:r>
        <w:rPr>
          <w:rFonts w:hint="eastAsia"/>
          <w:sz w:val="24"/>
        </w:rPr>
        <w:t>49.12</w:t>
      </w:r>
      <w:r>
        <w:rPr>
          <w:sz w:val="24"/>
        </w:rPr>
        <w:t>公顷，道路绿化及公共设施用地</w:t>
      </w:r>
      <w:r>
        <w:rPr>
          <w:rFonts w:hint="eastAsia"/>
          <w:sz w:val="24"/>
        </w:rPr>
        <w:t>19.88</w:t>
      </w:r>
      <w:r>
        <w:rPr>
          <w:sz w:val="24"/>
        </w:rPr>
        <w:t>公顷，未开发面积51.1公顷。</w:t>
      </w:r>
      <w:r>
        <w:rPr>
          <w:sz w:val="24"/>
          <w:szCs w:val="24"/>
        </w:rPr>
        <w:t>规划用地现状主要为道路、企业已建成区及其已征和待征建设用地。</w:t>
      </w:r>
    </w:p>
    <w:p w14:paraId="2B00E9DD">
      <w:pPr>
        <w:pStyle w:val="5"/>
        <w:spacing w:before="156" w:after="156"/>
        <w:rPr>
          <w:rFonts w:eastAsiaTheme="minorEastAsia"/>
          <w:sz w:val="24"/>
          <w:szCs w:val="24"/>
        </w:rPr>
      </w:pPr>
      <w:bookmarkStart w:id="81" w:name="_Toc4596025"/>
      <w:r>
        <w:rPr>
          <w:rFonts w:eastAsiaTheme="minorEastAsia"/>
          <w:sz w:val="24"/>
          <w:szCs w:val="24"/>
        </w:rPr>
        <w:t>5.2.3 土地使用评价</w:t>
      </w:r>
      <w:bookmarkEnd w:id="81"/>
    </w:p>
    <w:p w14:paraId="2DE2DD75">
      <w:pPr>
        <w:spacing w:line="360" w:lineRule="auto"/>
        <w:ind w:firstLine="480" w:firstLineChars="200"/>
        <w:jc w:val="left"/>
        <w:rPr>
          <w:sz w:val="24"/>
          <w:szCs w:val="24"/>
        </w:rPr>
      </w:pPr>
      <w:r>
        <w:rPr>
          <w:sz w:val="24"/>
          <w:szCs w:val="24"/>
          <w:u w:color="FFFFFF"/>
        </w:rPr>
        <w:t>化工园区地形比较平坦，周边有高压线走廊，没有文物古迹，</w:t>
      </w:r>
      <w:r>
        <w:rPr>
          <w:sz w:val="24"/>
          <w:szCs w:val="24"/>
        </w:rPr>
        <w:t>化工园区可结合地形及高压线走廊绿化用地进行建设，适宜建设绿色生态型的化工园区。</w:t>
      </w:r>
    </w:p>
    <w:p w14:paraId="3B20BE99">
      <w:pPr>
        <w:spacing w:line="360" w:lineRule="auto"/>
        <w:ind w:firstLine="480" w:firstLineChars="200"/>
        <w:jc w:val="left"/>
        <w:rPr>
          <w:sz w:val="24"/>
          <w:szCs w:val="24"/>
        </w:rPr>
      </w:pPr>
      <w:r>
        <w:rPr>
          <w:sz w:val="24"/>
          <w:szCs w:val="24"/>
        </w:rPr>
        <w:t>需解决的问题：</w:t>
      </w:r>
    </w:p>
    <w:p w14:paraId="74285F6F">
      <w:pPr>
        <w:spacing w:line="360" w:lineRule="auto"/>
        <w:ind w:firstLine="480" w:firstLineChars="200"/>
        <w:jc w:val="left"/>
        <w:rPr>
          <w:sz w:val="24"/>
          <w:szCs w:val="24"/>
        </w:rPr>
      </w:pPr>
      <w:r>
        <w:rPr>
          <w:sz w:val="24"/>
          <w:szCs w:val="24"/>
        </w:rPr>
        <w:t>一、新增化工园区位于淮南经济技术开发区东侧，与开发区道路紧密相连，建议长宁路作为化工园区物流主干道，社会车辆禁止进入。</w:t>
      </w:r>
    </w:p>
    <w:p w14:paraId="4FEDB55C">
      <w:pPr>
        <w:spacing w:line="360" w:lineRule="auto"/>
        <w:ind w:firstLine="480" w:firstLineChars="200"/>
        <w:jc w:val="left"/>
        <w:rPr>
          <w:sz w:val="24"/>
          <w:szCs w:val="24"/>
        </w:rPr>
      </w:pPr>
      <w:r>
        <w:rPr>
          <w:sz w:val="24"/>
          <w:szCs w:val="24"/>
        </w:rPr>
        <w:t>二、化工园区部分与周边规划布点学校距离较近，政府部门应进行局部规划调整满足相关安全和卫生防护距离要求。</w:t>
      </w:r>
    </w:p>
    <w:p w14:paraId="48449315">
      <w:pPr>
        <w:spacing w:line="360" w:lineRule="auto"/>
        <w:ind w:firstLine="480" w:firstLineChars="200"/>
        <w:jc w:val="left"/>
        <w:rPr>
          <w:sz w:val="24"/>
          <w:szCs w:val="24"/>
        </w:rPr>
      </w:pPr>
      <w:r>
        <w:rPr>
          <w:sz w:val="24"/>
          <w:szCs w:val="24"/>
        </w:rPr>
        <w:t>三、</w:t>
      </w:r>
      <w:r>
        <w:rPr>
          <w:rFonts w:hint="eastAsia"/>
          <w:sz w:val="24"/>
          <w:szCs w:val="24"/>
        </w:rPr>
        <w:t>当前加快启动推进片区一周边搬迁计划，出台明确搬迁方案文件备查。</w:t>
      </w:r>
    </w:p>
    <w:p w14:paraId="405FADD3">
      <w:pPr>
        <w:pStyle w:val="14"/>
        <w:ind w:firstLine="480"/>
        <w:rPr>
          <w:rFonts w:eastAsia="宋体"/>
          <w:szCs w:val="24"/>
        </w:rPr>
      </w:pPr>
      <w:r>
        <w:rPr>
          <w:rFonts w:hint="eastAsia" w:eastAsia="宋体"/>
          <w:szCs w:val="24"/>
        </w:rPr>
        <w:t>四</w:t>
      </w:r>
      <w:r>
        <w:rPr>
          <w:rFonts w:eastAsia="宋体"/>
          <w:szCs w:val="24"/>
        </w:rPr>
        <w:t>、</w:t>
      </w:r>
      <w:r>
        <w:rPr>
          <w:rFonts w:hint="eastAsia" w:eastAsia="宋体"/>
          <w:szCs w:val="24"/>
        </w:rPr>
        <w:t>园区片区二有国道（拟定）穿越，建议申请停止洛九路升级为206国道的方案。</w:t>
      </w:r>
    </w:p>
    <w:p w14:paraId="18A0937E">
      <w:pPr>
        <w:tabs>
          <w:tab w:val="left" w:pos="1290"/>
        </w:tabs>
        <w:spacing w:line="360" w:lineRule="auto"/>
        <w:ind w:firstLine="470" w:firstLineChars="196"/>
        <w:rPr>
          <w:sz w:val="24"/>
          <w:szCs w:val="24"/>
        </w:rPr>
      </w:pPr>
      <w:r>
        <w:rPr>
          <w:rFonts w:hint="eastAsia"/>
          <w:sz w:val="24"/>
          <w:szCs w:val="24"/>
        </w:rPr>
        <w:t>五</w:t>
      </w:r>
      <w:r>
        <w:rPr>
          <w:sz w:val="24"/>
          <w:szCs w:val="24"/>
        </w:rPr>
        <w:t>、</w:t>
      </w:r>
      <w:r>
        <w:rPr>
          <w:rFonts w:hint="eastAsia"/>
          <w:sz w:val="24"/>
          <w:szCs w:val="24"/>
        </w:rPr>
        <w:t>化工园区安全生产管理机构依据化工园区整体性安全风险评估结果和相关法规标准的要求，划定化工园区周边土地规划安全控制线。园区管委会发布了《关于淮南经开化工工业园土地规划安全控制线通知》及《淮南经开化工工业园土地规划安全控制线》文本，并报送市自然资源局、市应急局等部门。</w:t>
      </w:r>
    </w:p>
    <w:p w14:paraId="0FE830D9">
      <w:pPr>
        <w:pStyle w:val="5"/>
        <w:spacing w:before="156" w:after="156"/>
        <w:rPr>
          <w:rFonts w:eastAsiaTheme="minorEastAsia"/>
          <w:sz w:val="24"/>
          <w:szCs w:val="24"/>
        </w:rPr>
      </w:pPr>
      <w:bookmarkStart w:id="82" w:name="_Toc4596026"/>
      <w:r>
        <w:rPr>
          <w:rFonts w:eastAsiaTheme="minorEastAsia"/>
          <w:sz w:val="24"/>
          <w:szCs w:val="24"/>
        </w:rPr>
        <w:t>5.2.4 规划用地范围</w:t>
      </w:r>
      <w:bookmarkEnd w:id="82"/>
    </w:p>
    <w:p w14:paraId="03803319">
      <w:pPr>
        <w:widowControl/>
        <w:spacing w:line="360" w:lineRule="auto"/>
        <w:ind w:firstLine="480" w:firstLineChars="200"/>
        <w:jc w:val="left"/>
        <w:rPr>
          <w:sz w:val="24"/>
        </w:rPr>
      </w:pPr>
      <w:bookmarkStart w:id="83" w:name="_Toc14150"/>
      <w:r>
        <w:rPr>
          <w:sz w:val="24"/>
        </w:rPr>
        <w:t>依据《安徽省自然资源厅关于核定淮南经开化工园区四至范围和面积的通知》（皖自然资用函〔2023〕21号），经省自然资源与规划厅核定淮南经开化工园区省政府批准面积158.9公顷，园区上报范围总面积</w:t>
      </w:r>
      <w:r>
        <w:rPr>
          <w:rFonts w:hint="eastAsia"/>
          <w:sz w:val="24"/>
        </w:rPr>
        <w:t>153.14</w:t>
      </w:r>
      <w:r>
        <w:rPr>
          <w:sz w:val="24"/>
        </w:rPr>
        <w:t>公顷，包含两个区块，其中区块一面积</w:t>
      </w:r>
      <w:r>
        <w:rPr>
          <w:rFonts w:hint="eastAsia"/>
          <w:sz w:val="24"/>
        </w:rPr>
        <w:t>33.04公顷</w:t>
      </w:r>
      <w:r>
        <w:rPr>
          <w:sz w:val="24"/>
        </w:rPr>
        <w:t>，四至范围为：东至永兴路，南至田东路，西至皖淮化工厂留守处，</w:t>
      </w:r>
      <w:r>
        <w:rPr>
          <w:rFonts w:hint="eastAsia"/>
          <w:sz w:val="24"/>
        </w:rPr>
        <w:t>北至规划电厂路</w:t>
      </w:r>
      <w:r>
        <w:rPr>
          <w:sz w:val="24"/>
        </w:rPr>
        <w:t>；区块二面积</w:t>
      </w:r>
      <w:r>
        <w:rPr>
          <w:rFonts w:hint="eastAsia"/>
          <w:sz w:val="24"/>
        </w:rPr>
        <w:t>120.10公顷</w:t>
      </w:r>
      <w:r>
        <w:rPr>
          <w:sz w:val="24"/>
        </w:rPr>
        <w:t>，四至范围为：东至东兴路，南至朝阳东路，</w:t>
      </w:r>
      <w:r>
        <w:rPr>
          <w:rFonts w:hint="eastAsia"/>
          <w:sz w:val="24"/>
        </w:rPr>
        <w:t>西至屯头排涝站排涝干渠</w:t>
      </w:r>
      <w:r>
        <w:rPr>
          <w:sz w:val="24"/>
        </w:rPr>
        <w:t>，北至长富路。</w:t>
      </w:r>
    </w:p>
    <w:p w14:paraId="0D5E1442">
      <w:pPr>
        <w:pStyle w:val="4"/>
        <w:rPr>
          <w:rFonts w:ascii="Times New Roman" w:hAnsi="Times New Roman"/>
          <w:sz w:val="24"/>
          <w:szCs w:val="24"/>
        </w:rPr>
      </w:pPr>
      <w:r>
        <w:rPr>
          <w:rFonts w:ascii="Times New Roman" w:hAnsi="Times New Roman"/>
          <w:sz w:val="24"/>
          <w:szCs w:val="24"/>
        </w:rPr>
        <w:t>5.3 土地功能分类定位</w:t>
      </w:r>
      <w:bookmarkEnd w:id="83"/>
    </w:p>
    <w:p w14:paraId="5F4574F8">
      <w:pPr>
        <w:pStyle w:val="5"/>
        <w:spacing w:before="156" w:after="156"/>
        <w:rPr>
          <w:rFonts w:eastAsiaTheme="minorEastAsia"/>
          <w:sz w:val="24"/>
          <w:szCs w:val="24"/>
        </w:rPr>
      </w:pPr>
      <w:bookmarkStart w:id="84" w:name="_Toc4596028"/>
      <w:r>
        <w:rPr>
          <w:rFonts w:eastAsiaTheme="minorEastAsia"/>
          <w:sz w:val="24"/>
          <w:szCs w:val="24"/>
        </w:rPr>
        <w:t>5.3.1 定位原则</w:t>
      </w:r>
      <w:bookmarkEnd w:id="84"/>
    </w:p>
    <w:p w14:paraId="0CD6160B">
      <w:pPr>
        <w:spacing w:line="360" w:lineRule="auto"/>
        <w:ind w:firstLine="480" w:firstLineChars="200"/>
        <w:jc w:val="left"/>
        <w:rPr>
          <w:sz w:val="24"/>
          <w:szCs w:val="24"/>
        </w:rPr>
      </w:pPr>
      <w:r>
        <w:rPr>
          <w:sz w:val="24"/>
          <w:szCs w:val="24"/>
        </w:rPr>
        <w:t>化工园区规划的开发建设，按照总体发展规划、分步实施、重点发展的原则进行。首先，绝大部分公辅工程和市政公用设施，以及化工园区的“七通一平”应实施到位。</w:t>
      </w:r>
    </w:p>
    <w:p w14:paraId="536B38BD">
      <w:pPr>
        <w:pStyle w:val="5"/>
        <w:spacing w:before="156" w:after="156"/>
        <w:rPr>
          <w:rFonts w:eastAsiaTheme="minorEastAsia"/>
          <w:sz w:val="24"/>
          <w:szCs w:val="24"/>
        </w:rPr>
      </w:pPr>
      <w:bookmarkStart w:id="85" w:name="_Toc4596029"/>
      <w:r>
        <w:rPr>
          <w:rFonts w:eastAsiaTheme="minorEastAsia"/>
          <w:sz w:val="24"/>
          <w:szCs w:val="24"/>
        </w:rPr>
        <w:t>5.3.2 功能定位</w:t>
      </w:r>
      <w:bookmarkEnd w:id="85"/>
    </w:p>
    <w:p w14:paraId="01198E33">
      <w:pPr>
        <w:spacing w:line="360" w:lineRule="auto"/>
        <w:ind w:firstLine="480" w:firstLineChars="200"/>
        <w:jc w:val="left"/>
        <w:rPr>
          <w:sz w:val="24"/>
          <w:szCs w:val="24"/>
        </w:rPr>
      </w:pPr>
      <w:r>
        <w:rPr>
          <w:sz w:val="24"/>
          <w:szCs w:val="24"/>
        </w:rPr>
        <w:t>考虑到用地及产业现状，规划区域区块二内已建成区国药集团国瑞药业有限公司，位于规划范围中的南侧，作为化工园区重要支撑企业，其供热和取水净水工程设施等公用工程已经建成，满足自用。新增公用工程设施依托开发区现有的配套公用工程可以满足生活、生产要求。</w:t>
      </w:r>
    </w:p>
    <w:p w14:paraId="0499D592">
      <w:pPr>
        <w:spacing w:line="360" w:lineRule="auto"/>
        <w:ind w:firstLine="480" w:firstLineChars="200"/>
        <w:jc w:val="left"/>
        <w:rPr>
          <w:sz w:val="24"/>
          <w:szCs w:val="24"/>
        </w:rPr>
      </w:pPr>
      <w:r>
        <w:rPr>
          <w:sz w:val="24"/>
          <w:szCs w:val="24"/>
        </w:rPr>
        <w:t>淮南市全年主导风向为东南风，化工园区位于淮南经济开发区。根据安全防护控制规划，其土地规划安全控制线区块一为</w:t>
      </w:r>
      <w:r>
        <w:rPr>
          <w:rFonts w:hint="eastAsia"/>
          <w:sz w:val="24"/>
          <w:szCs w:val="24"/>
        </w:rPr>
        <w:t>25</w:t>
      </w:r>
      <w:r>
        <w:rPr>
          <w:sz w:val="24"/>
          <w:szCs w:val="24"/>
        </w:rPr>
        <w:t>-1</w:t>
      </w:r>
      <w:r>
        <w:rPr>
          <w:rFonts w:hint="eastAsia"/>
          <w:sz w:val="24"/>
          <w:szCs w:val="24"/>
        </w:rPr>
        <w:t>00</w:t>
      </w:r>
      <w:r>
        <w:rPr>
          <w:sz w:val="24"/>
          <w:szCs w:val="24"/>
        </w:rPr>
        <w:t>m，区块二为</w:t>
      </w:r>
      <w:r>
        <w:rPr>
          <w:rFonts w:hint="eastAsia"/>
          <w:sz w:val="24"/>
          <w:szCs w:val="24"/>
        </w:rPr>
        <w:t>100-198</w:t>
      </w:r>
      <w:r>
        <w:rPr>
          <w:sz w:val="24"/>
          <w:szCs w:val="24"/>
        </w:rPr>
        <w:t>m，该区域内应严格控制新建居住、生活设施。作为已建装置区，其危险装置区距离居民区、公共福利设施和村庄应按照相关规范论证，不宜向西向南发展，立足已建和已批用地进行产品链优化升级改造。</w:t>
      </w:r>
    </w:p>
    <w:p w14:paraId="11C595D8">
      <w:pPr>
        <w:spacing w:line="360" w:lineRule="auto"/>
        <w:ind w:firstLine="480" w:firstLineChars="200"/>
        <w:jc w:val="left"/>
        <w:rPr>
          <w:sz w:val="24"/>
          <w:szCs w:val="24"/>
        </w:rPr>
      </w:pPr>
      <w:r>
        <w:rPr>
          <w:sz w:val="24"/>
          <w:szCs w:val="24"/>
        </w:rPr>
        <w:t>化工园区各类用地应比例适宜，以满足化工园区生产、仓储运输、环境保护以及卫生防护需要。化工园区用地属于工业用地，为二类和三类工业用地；其它各类用地根据实际需要配套设置。</w:t>
      </w:r>
    </w:p>
    <w:p w14:paraId="4BB12373">
      <w:pPr>
        <w:pStyle w:val="4"/>
        <w:rPr>
          <w:rFonts w:ascii="Times New Roman" w:hAnsi="Times New Roman"/>
          <w:sz w:val="24"/>
          <w:szCs w:val="24"/>
        </w:rPr>
      </w:pPr>
      <w:bookmarkStart w:id="86" w:name="_Toc1654"/>
      <w:r>
        <w:rPr>
          <w:rFonts w:ascii="Times New Roman" w:hAnsi="Times New Roman"/>
          <w:sz w:val="24"/>
          <w:szCs w:val="24"/>
        </w:rPr>
        <w:t>5.4 总体规划布局</w:t>
      </w:r>
      <w:bookmarkEnd w:id="86"/>
    </w:p>
    <w:p w14:paraId="210C39F6">
      <w:pPr>
        <w:pStyle w:val="5"/>
        <w:spacing w:before="156" w:after="156"/>
        <w:rPr>
          <w:rFonts w:eastAsiaTheme="minorEastAsia"/>
          <w:sz w:val="24"/>
          <w:szCs w:val="24"/>
        </w:rPr>
      </w:pPr>
      <w:bookmarkStart w:id="87" w:name="_Toc4596031"/>
      <w:r>
        <w:rPr>
          <w:rFonts w:eastAsiaTheme="minorEastAsia"/>
          <w:sz w:val="24"/>
          <w:szCs w:val="24"/>
        </w:rPr>
        <w:t>5.4.1 总体规划布局原则</w:t>
      </w:r>
      <w:bookmarkEnd w:id="87"/>
    </w:p>
    <w:p w14:paraId="5D54043D">
      <w:pPr>
        <w:spacing w:line="360" w:lineRule="auto"/>
        <w:ind w:firstLine="480" w:firstLineChars="200"/>
        <w:jc w:val="left"/>
        <w:rPr>
          <w:sz w:val="24"/>
          <w:szCs w:val="24"/>
        </w:rPr>
      </w:pPr>
      <w:r>
        <w:rPr>
          <w:sz w:val="24"/>
          <w:szCs w:val="24"/>
          <w:u w:color="FFFFFF"/>
        </w:rPr>
        <w:t>（1）</w:t>
      </w:r>
      <w:r>
        <w:rPr>
          <w:sz w:val="24"/>
          <w:szCs w:val="24"/>
        </w:rPr>
        <w:t>化工园区规划应满足国家相关法律、法规和规范要求。</w:t>
      </w:r>
    </w:p>
    <w:p w14:paraId="762782DA">
      <w:pPr>
        <w:spacing w:line="360" w:lineRule="auto"/>
        <w:ind w:firstLine="480" w:firstLineChars="200"/>
        <w:jc w:val="left"/>
        <w:rPr>
          <w:sz w:val="24"/>
          <w:szCs w:val="24"/>
        </w:rPr>
      </w:pPr>
      <w:r>
        <w:rPr>
          <w:sz w:val="24"/>
          <w:szCs w:val="24"/>
        </w:rPr>
        <w:t>（2）化工园区规划应符合淮南市城市体系规划和国家的化学工业产业发展政策。</w:t>
      </w:r>
    </w:p>
    <w:p w14:paraId="443EB8A2">
      <w:pPr>
        <w:spacing w:line="360" w:lineRule="auto"/>
        <w:ind w:firstLine="480" w:firstLineChars="200"/>
        <w:jc w:val="left"/>
        <w:rPr>
          <w:sz w:val="24"/>
          <w:szCs w:val="24"/>
        </w:rPr>
      </w:pPr>
      <w:r>
        <w:rPr>
          <w:sz w:val="24"/>
          <w:szCs w:val="24"/>
        </w:rPr>
        <w:t>（3）化工园区规划应与周围环境现状相协调，保护好区域环境特色，做到化工园区规划布局既不影响人类赖以生存与发展的大气、淡水、土地等自然环境和自然资源，又能达到发展与自然的和谐统一。</w:t>
      </w:r>
    </w:p>
    <w:p w14:paraId="37EEAA01">
      <w:pPr>
        <w:spacing w:line="360" w:lineRule="auto"/>
        <w:ind w:firstLine="480" w:firstLineChars="200"/>
        <w:jc w:val="left"/>
        <w:rPr>
          <w:sz w:val="24"/>
          <w:szCs w:val="24"/>
        </w:rPr>
      </w:pPr>
      <w:r>
        <w:rPr>
          <w:sz w:val="24"/>
          <w:szCs w:val="24"/>
        </w:rPr>
        <w:t>（4）化工园区规划应满足化工生产安全卫生防护距离需要，充分考虑地域、交通特点和周边环境，采取必要的措施减少对周围耕地、村庄的环境污染。</w:t>
      </w:r>
    </w:p>
    <w:p w14:paraId="2481DF20">
      <w:pPr>
        <w:spacing w:line="360" w:lineRule="auto"/>
        <w:ind w:firstLine="480" w:firstLineChars="200"/>
        <w:jc w:val="left"/>
        <w:rPr>
          <w:sz w:val="24"/>
          <w:szCs w:val="24"/>
        </w:rPr>
      </w:pPr>
      <w:r>
        <w:rPr>
          <w:sz w:val="24"/>
          <w:szCs w:val="24"/>
        </w:rPr>
        <w:t>（5）化工园区规划应合理进行功能分区和交通运输组织，做到功能分区明确，使物流路线便捷、顺畅，减少不必要的人流和物流交叉。</w:t>
      </w:r>
    </w:p>
    <w:p w14:paraId="729957C1">
      <w:pPr>
        <w:spacing w:line="360" w:lineRule="auto"/>
        <w:ind w:firstLine="480" w:firstLineChars="200"/>
        <w:jc w:val="left"/>
        <w:rPr>
          <w:sz w:val="24"/>
          <w:szCs w:val="24"/>
        </w:rPr>
      </w:pPr>
      <w:r>
        <w:rPr>
          <w:sz w:val="24"/>
          <w:szCs w:val="24"/>
        </w:rPr>
        <w:t>（6）化工园区规划应结合化工园区内的上下游产品关系，形成相关的产品链，减少化工园区内部的物料二次运输。</w:t>
      </w:r>
    </w:p>
    <w:p w14:paraId="7C68FC1B">
      <w:pPr>
        <w:pStyle w:val="5"/>
        <w:spacing w:before="156" w:after="156"/>
        <w:rPr>
          <w:rFonts w:eastAsiaTheme="minorEastAsia"/>
          <w:sz w:val="24"/>
          <w:szCs w:val="24"/>
        </w:rPr>
      </w:pPr>
      <w:bookmarkStart w:id="88" w:name="_Toc4596032"/>
      <w:r>
        <w:rPr>
          <w:rFonts w:eastAsiaTheme="minorEastAsia"/>
          <w:sz w:val="24"/>
          <w:szCs w:val="24"/>
        </w:rPr>
        <w:t>5.4.2 用地分类</w:t>
      </w:r>
      <w:bookmarkEnd w:id="88"/>
    </w:p>
    <w:p w14:paraId="0B2D6ECF">
      <w:pPr>
        <w:spacing w:line="360" w:lineRule="auto"/>
        <w:ind w:firstLine="480" w:firstLineChars="200"/>
        <w:jc w:val="left"/>
        <w:rPr>
          <w:sz w:val="24"/>
          <w:szCs w:val="24"/>
        </w:rPr>
      </w:pPr>
      <w:r>
        <w:rPr>
          <w:sz w:val="24"/>
          <w:szCs w:val="24"/>
        </w:rPr>
        <w:t>本规划土地使用性质分类和代号采用《城县用地分类与规划建设用地标准》（GB50137-2011）。</w:t>
      </w:r>
    </w:p>
    <w:p w14:paraId="2C349D6E">
      <w:pPr>
        <w:spacing w:line="360" w:lineRule="auto"/>
        <w:ind w:firstLine="480" w:firstLineChars="200"/>
        <w:jc w:val="left"/>
        <w:rPr>
          <w:sz w:val="24"/>
          <w:szCs w:val="24"/>
        </w:rPr>
      </w:pPr>
      <w:r>
        <w:rPr>
          <w:sz w:val="24"/>
          <w:szCs w:val="24"/>
        </w:rPr>
        <w:t>化工园区内土地使用性质分类主要分下列4类：</w:t>
      </w:r>
    </w:p>
    <w:p w14:paraId="5F7E584E">
      <w:pPr>
        <w:spacing w:line="360" w:lineRule="auto"/>
        <w:ind w:firstLine="480" w:firstLineChars="200"/>
        <w:jc w:val="left"/>
        <w:rPr>
          <w:sz w:val="24"/>
          <w:szCs w:val="24"/>
        </w:rPr>
      </w:pPr>
      <w:r>
        <w:rPr>
          <w:sz w:val="24"/>
          <w:szCs w:val="24"/>
        </w:rPr>
        <w:t>（1）工业用地（M）</w:t>
      </w:r>
    </w:p>
    <w:p w14:paraId="19A51264">
      <w:pPr>
        <w:spacing w:line="360" w:lineRule="auto"/>
        <w:ind w:firstLine="480" w:firstLineChars="200"/>
        <w:jc w:val="left"/>
        <w:rPr>
          <w:sz w:val="24"/>
          <w:szCs w:val="24"/>
        </w:rPr>
      </w:pPr>
      <w:r>
        <w:rPr>
          <w:sz w:val="24"/>
          <w:szCs w:val="24"/>
        </w:rPr>
        <w:t>化工园区内的化工生产企业用地均属此类。</w:t>
      </w:r>
    </w:p>
    <w:p w14:paraId="0B4999C3">
      <w:pPr>
        <w:spacing w:line="360" w:lineRule="auto"/>
        <w:ind w:firstLine="480" w:firstLineChars="200"/>
        <w:jc w:val="left"/>
        <w:rPr>
          <w:sz w:val="24"/>
          <w:szCs w:val="24"/>
        </w:rPr>
      </w:pPr>
      <w:r>
        <w:rPr>
          <w:sz w:val="24"/>
          <w:szCs w:val="24"/>
        </w:rPr>
        <w:t>（2）道路用地（S）</w:t>
      </w:r>
    </w:p>
    <w:p w14:paraId="2E74CA25">
      <w:pPr>
        <w:spacing w:line="360" w:lineRule="auto"/>
        <w:ind w:firstLine="480" w:firstLineChars="200"/>
        <w:jc w:val="left"/>
        <w:rPr>
          <w:sz w:val="24"/>
          <w:szCs w:val="24"/>
        </w:rPr>
      </w:pPr>
      <w:r>
        <w:rPr>
          <w:sz w:val="24"/>
          <w:szCs w:val="24"/>
        </w:rPr>
        <w:t>化工园区内道路、广场和公共停车场等设施的建设用地。</w:t>
      </w:r>
    </w:p>
    <w:p w14:paraId="6AF0DD6E">
      <w:pPr>
        <w:spacing w:line="360" w:lineRule="auto"/>
        <w:ind w:firstLine="480" w:firstLineChars="200"/>
        <w:jc w:val="left"/>
        <w:rPr>
          <w:sz w:val="24"/>
          <w:szCs w:val="24"/>
        </w:rPr>
      </w:pPr>
      <w:r>
        <w:rPr>
          <w:sz w:val="24"/>
          <w:szCs w:val="24"/>
        </w:rPr>
        <w:t>（3）市政公用设施用地（U）</w:t>
      </w:r>
    </w:p>
    <w:p w14:paraId="41C10B17">
      <w:pPr>
        <w:spacing w:line="360" w:lineRule="auto"/>
        <w:ind w:firstLine="480" w:firstLineChars="200"/>
        <w:jc w:val="left"/>
        <w:rPr>
          <w:sz w:val="24"/>
          <w:szCs w:val="24"/>
        </w:rPr>
      </w:pPr>
      <w:r>
        <w:rPr>
          <w:sz w:val="24"/>
          <w:szCs w:val="24"/>
        </w:rPr>
        <w:t>公用</w:t>
      </w:r>
      <w:r>
        <w:rPr>
          <w:rFonts w:hint="eastAsia"/>
          <w:sz w:val="24"/>
          <w:szCs w:val="24"/>
        </w:rPr>
        <w:t>（公用工程）</w:t>
      </w:r>
      <w:r>
        <w:rPr>
          <w:sz w:val="24"/>
          <w:szCs w:val="24"/>
        </w:rPr>
        <w:t>管廊、热电站、总变电站、消防站、气防站、监控中心、供水厂、污水处理厂等包括在内。</w:t>
      </w:r>
    </w:p>
    <w:p w14:paraId="67D96724">
      <w:pPr>
        <w:spacing w:line="360" w:lineRule="auto"/>
        <w:ind w:firstLine="480" w:firstLineChars="200"/>
        <w:jc w:val="left"/>
        <w:rPr>
          <w:sz w:val="24"/>
          <w:szCs w:val="24"/>
        </w:rPr>
      </w:pPr>
      <w:r>
        <w:rPr>
          <w:sz w:val="24"/>
          <w:szCs w:val="24"/>
        </w:rPr>
        <w:t>（4）绿地（G）</w:t>
      </w:r>
    </w:p>
    <w:p w14:paraId="3BA96105">
      <w:pPr>
        <w:spacing w:line="360" w:lineRule="auto"/>
        <w:ind w:firstLine="480" w:firstLineChars="200"/>
        <w:jc w:val="left"/>
        <w:rPr>
          <w:sz w:val="24"/>
          <w:szCs w:val="24"/>
        </w:rPr>
      </w:pPr>
      <w:r>
        <w:rPr>
          <w:sz w:val="24"/>
          <w:szCs w:val="24"/>
        </w:rPr>
        <w:t>包括沿道路绿地和防护集中绿地在内。</w:t>
      </w:r>
    </w:p>
    <w:p w14:paraId="4360C058">
      <w:pPr>
        <w:spacing w:line="360" w:lineRule="auto"/>
        <w:ind w:firstLine="480" w:firstLineChars="200"/>
        <w:jc w:val="left"/>
        <w:rPr>
          <w:sz w:val="24"/>
          <w:szCs w:val="24"/>
        </w:rPr>
      </w:pPr>
      <w:r>
        <w:rPr>
          <w:sz w:val="24"/>
          <w:szCs w:val="24"/>
        </w:rPr>
        <w:t>本次规划土地为二类、三类工业用地代号M2、M3，污水处理厂用地U21，其他公用工程依托开发区现有或已经规划实施的配套公用工程。</w:t>
      </w:r>
    </w:p>
    <w:p w14:paraId="314EB37A">
      <w:pPr>
        <w:pStyle w:val="4"/>
        <w:spacing w:before="156" w:after="156"/>
        <w:rPr>
          <w:rFonts w:ascii="Times New Roman" w:hAnsi="Times New Roman"/>
          <w:sz w:val="24"/>
          <w:szCs w:val="24"/>
        </w:rPr>
      </w:pPr>
      <w:bookmarkStart w:id="89" w:name="_Toc25900"/>
      <w:r>
        <w:rPr>
          <w:rFonts w:ascii="Times New Roman" w:hAnsi="Times New Roman"/>
          <w:sz w:val="24"/>
          <w:szCs w:val="24"/>
        </w:rPr>
        <w:t>5.5 土地集约利用</w:t>
      </w:r>
      <w:bookmarkEnd w:id="89"/>
    </w:p>
    <w:p w14:paraId="274B1613">
      <w:pPr>
        <w:spacing w:line="360" w:lineRule="auto"/>
        <w:ind w:firstLine="480" w:firstLineChars="200"/>
        <w:jc w:val="left"/>
        <w:rPr>
          <w:sz w:val="24"/>
          <w:szCs w:val="24"/>
        </w:rPr>
      </w:pPr>
      <w:r>
        <w:rPr>
          <w:sz w:val="24"/>
          <w:szCs w:val="24"/>
        </w:rPr>
        <w:t>根据淮南经开化工园区2021年度产业园用地补充调查成果，淮南经开化工园区实际管理范围为159.0994公顷，规划建设用地面积为159.0994公顷，淮南经开化工园区实际管理范围内无不可建设用地。</w:t>
      </w:r>
    </w:p>
    <w:p w14:paraId="15A0753B">
      <w:pPr>
        <w:spacing w:line="360" w:lineRule="auto"/>
        <w:ind w:firstLine="480" w:firstLineChars="200"/>
        <w:jc w:val="left"/>
        <w:rPr>
          <w:sz w:val="24"/>
          <w:szCs w:val="24"/>
        </w:rPr>
      </w:pPr>
      <w:r>
        <w:rPr>
          <w:sz w:val="24"/>
          <w:szCs w:val="24"/>
        </w:rPr>
        <w:t>截止2020年12月31日，淮南经开化工园区累计已批准征收土地面积为59.8647公顷，已批准转用土地面积为67.6085公顷，已到达供地条件的土地面积为103.2342公顷，已供应国有建设用地面积为66.1523公顷，已建成城镇建设用地面积为66.1523公顷，其中工矿仓储用地面积为52.556公顷，不可建设土地面积为0公顷，批而未供土地面积为37.0819公顷，闲置土地面积为0公顷。</w:t>
      </w:r>
    </w:p>
    <w:p w14:paraId="3ED35E29">
      <w:pPr>
        <w:spacing w:line="360" w:lineRule="auto"/>
        <w:ind w:firstLine="480" w:firstLineChars="200"/>
        <w:jc w:val="left"/>
        <w:rPr>
          <w:sz w:val="24"/>
          <w:szCs w:val="24"/>
        </w:rPr>
      </w:pPr>
      <w:r>
        <w:rPr>
          <w:sz w:val="24"/>
          <w:szCs w:val="24"/>
        </w:rPr>
        <w:t>截止2020年12月31日，淮南经开化工园区累计工业（物流）企业固定资产投资额为317543万元，2020年全年开发区工业（物流）企业总收入为212442.48万元，2020年全年开发区工业（物流）企业税收总额为13171.56万元。</w:t>
      </w:r>
    </w:p>
    <w:p w14:paraId="0E1F20A6">
      <w:pPr>
        <w:spacing w:line="360" w:lineRule="auto"/>
        <w:ind w:firstLine="480" w:firstLineChars="200"/>
        <w:jc w:val="left"/>
        <w:rPr>
          <w:sz w:val="24"/>
          <w:szCs w:val="24"/>
        </w:rPr>
      </w:pPr>
      <w:r>
        <w:rPr>
          <w:sz w:val="24"/>
          <w:szCs w:val="24"/>
        </w:rPr>
        <w:t>截止2020年12月31日，淮南经开化工园区已建成城镇建设用地地上总建筑面积为46.8425万平方米，建筑基底总面积为25.5325万平方米，已建成工矿仓储用地总建筑面积为43.0959万平方米，工矿仓储用地建筑物构筑物基底面积、露天堆场和露天操作场地面积为29.0858万平方米。</w:t>
      </w:r>
    </w:p>
    <w:p w14:paraId="5675C5E7">
      <w:pPr>
        <w:spacing w:line="360" w:lineRule="auto"/>
        <w:ind w:firstLine="480" w:firstLineChars="200"/>
        <w:jc w:val="left"/>
        <w:rPr>
          <w:sz w:val="24"/>
          <w:szCs w:val="24"/>
        </w:rPr>
      </w:pPr>
      <w:r>
        <w:rPr>
          <w:sz w:val="24"/>
          <w:szCs w:val="24"/>
        </w:rPr>
        <w:t>截止2020年12月31日，淮南经开化工园区土地开发率为64.89%，土地供应率为64.08%，土地建成率为100%，工业用地率为79.45%，综合容积率为0.71，建筑密度为38.60%，工业用地综合容积率为0.82，工业用地建筑系数为55.34%，工业用地固定资产投入强度为6041.99万元/公顷，工业用地地均税收为250.62万元/公顷，土地闲置率为0%。</w:t>
      </w:r>
    </w:p>
    <w:p w14:paraId="2DE1D289">
      <w:pPr>
        <w:spacing w:line="360" w:lineRule="auto"/>
        <w:ind w:firstLine="480" w:firstLineChars="200"/>
        <w:jc w:val="left"/>
        <w:rPr>
          <w:rFonts w:eastAsia="仿宋"/>
          <w:szCs w:val="28"/>
        </w:rPr>
      </w:pPr>
      <w:r>
        <w:rPr>
          <w:sz w:val="24"/>
          <w:szCs w:val="24"/>
        </w:rPr>
        <w:t>表5.5-1、淮南经开化工园区土地集约利用评价指标汇总表</w:t>
      </w:r>
    </w:p>
    <w:tbl>
      <w:tblPr>
        <w:tblStyle w:val="25"/>
        <w:tblW w:w="85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4"/>
        <w:gridCol w:w="2181"/>
        <w:gridCol w:w="2821"/>
        <w:gridCol w:w="2311"/>
      </w:tblGrid>
      <w:tr w14:paraId="54C4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1234" w:type="dxa"/>
            <w:shd w:val="clear" w:color="auto" w:fill="auto"/>
            <w:noWrap/>
            <w:vAlign w:val="center"/>
          </w:tcPr>
          <w:p w14:paraId="320EAA2C">
            <w:pPr>
              <w:widowControl/>
              <w:spacing w:line="300" w:lineRule="exact"/>
              <w:jc w:val="center"/>
              <w:rPr>
                <w:rFonts w:eastAsia="仿宋"/>
                <w:kern w:val="0"/>
                <w:sz w:val="18"/>
                <w:szCs w:val="18"/>
              </w:rPr>
            </w:pPr>
            <w:r>
              <w:rPr>
                <w:rFonts w:eastAsia="仿宋"/>
                <w:kern w:val="0"/>
                <w:sz w:val="18"/>
                <w:szCs w:val="18"/>
              </w:rPr>
              <w:t>目标</w:t>
            </w:r>
          </w:p>
        </w:tc>
        <w:tc>
          <w:tcPr>
            <w:tcW w:w="2181" w:type="dxa"/>
            <w:shd w:val="clear" w:color="auto" w:fill="auto"/>
            <w:noWrap/>
            <w:vAlign w:val="center"/>
          </w:tcPr>
          <w:p w14:paraId="69B77E73">
            <w:pPr>
              <w:widowControl/>
              <w:spacing w:line="300" w:lineRule="exact"/>
              <w:jc w:val="center"/>
              <w:rPr>
                <w:rFonts w:eastAsia="仿宋"/>
                <w:kern w:val="0"/>
                <w:sz w:val="18"/>
                <w:szCs w:val="18"/>
              </w:rPr>
            </w:pPr>
            <w:r>
              <w:rPr>
                <w:rFonts w:eastAsia="仿宋"/>
                <w:kern w:val="0"/>
                <w:sz w:val="18"/>
                <w:szCs w:val="18"/>
              </w:rPr>
              <w:t>子目标</w:t>
            </w:r>
          </w:p>
        </w:tc>
        <w:tc>
          <w:tcPr>
            <w:tcW w:w="2821" w:type="dxa"/>
            <w:shd w:val="clear" w:color="auto" w:fill="auto"/>
            <w:noWrap/>
            <w:vAlign w:val="center"/>
          </w:tcPr>
          <w:p w14:paraId="58344D32">
            <w:pPr>
              <w:widowControl/>
              <w:spacing w:line="300" w:lineRule="exact"/>
              <w:jc w:val="center"/>
              <w:rPr>
                <w:rFonts w:eastAsia="仿宋"/>
                <w:kern w:val="0"/>
                <w:sz w:val="18"/>
                <w:szCs w:val="18"/>
              </w:rPr>
            </w:pPr>
            <w:r>
              <w:rPr>
                <w:rFonts w:eastAsia="仿宋"/>
                <w:kern w:val="0"/>
                <w:sz w:val="18"/>
                <w:szCs w:val="18"/>
              </w:rPr>
              <w:t>主区评价指标</w:t>
            </w:r>
          </w:p>
        </w:tc>
        <w:tc>
          <w:tcPr>
            <w:tcW w:w="2311" w:type="dxa"/>
            <w:shd w:val="clear" w:color="auto" w:fill="auto"/>
            <w:noWrap/>
            <w:vAlign w:val="center"/>
          </w:tcPr>
          <w:p w14:paraId="34E2F88D">
            <w:pPr>
              <w:widowControl/>
              <w:spacing w:line="300" w:lineRule="exact"/>
              <w:jc w:val="center"/>
              <w:rPr>
                <w:rFonts w:eastAsia="仿宋"/>
                <w:kern w:val="0"/>
                <w:sz w:val="18"/>
                <w:szCs w:val="18"/>
              </w:rPr>
            </w:pPr>
            <w:r>
              <w:rPr>
                <w:rFonts w:eastAsia="仿宋"/>
                <w:kern w:val="0"/>
                <w:sz w:val="18"/>
                <w:szCs w:val="18"/>
              </w:rPr>
              <w:t>2021年度评价数据</w:t>
            </w:r>
          </w:p>
        </w:tc>
      </w:tr>
      <w:tr w14:paraId="0E0E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restart"/>
            <w:shd w:val="clear" w:color="auto" w:fill="auto"/>
            <w:noWrap/>
            <w:vAlign w:val="center"/>
          </w:tcPr>
          <w:p w14:paraId="6064A30E">
            <w:pPr>
              <w:widowControl/>
              <w:spacing w:line="300" w:lineRule="exact"/>
              <w:jc w:val="center"/>
              <w:rPr>
                <w:rFonts w:eastAsia="仿宋"/>
                <w:kern w:val="0"/>
                <w:sz w:val="18"/>
                <w:szCs w:val="18"/>
              </w:rPr>
            </w:pPr>
            <w:r>
              <w:rPr>
                <w:rFonts w:eastAsia="仿宋"/>
                <w:kern w:val="0"/>
                <w:sz w:val="18"/>
                <w:szCs w:val="18"/>
              </w:rPr>
              <w:t>土地利用状况</w:t>
            </w:r>
          </w:p>
        </w:tc>
        <w:tc>
          <w:tcPr>
            <w:tcW w:w="2181" w:type="dxa"/>
            <w:vMerge w:val="restart"/>
            <w:shd w:val="clear" w:color="auto" w:fill="auto"/>
            <w:noWrap/>
            <w:vAlign w:val="center"/>
          </w:tcPr>
          <w:p w14:paraId="4BB4F33A">
            <w:pPr>
              <w:widowControl/>
              <w:spacing w:line="300" w:lineRule="exact"/>
              <w:jc w:val="center"/>
              <w:rPr>
                <w:rFonts w:eastAsia="仿宋"/>
                <w:kern w:val="0"/>
                <w:sz w:val="18"/>
                <w:szCs w:val="18"/>
              </w:rPr>
            </w:pPr>
            <w:r>
              <w:rPr>
                <w:rFonts w:eastAsia="仿宋"/>
                <w:kern w:val="0"/>
                <w:sz w:val="18"/>
                <w:szCs w:val="18"/>
              </w:rPr>
              <w:t>土地利用程度</w:t>
            </w:r>
          </w:p>
        </w:tc>
        <w:tc>
          <w:tcPr>
            <w:tcW w:w="2821" w:type="dxa"/>
            <w:shd w:val="clear" w:color="auto" w:fill="auto"/>
            <w:noWrap/>
            <w:vAlign w:val="center"/>
          </w:tcPr>
          <w:p w14:paraId="18137C3F">
            <w:pPr>
              <w:widowControl/>
              <w:spacing w:line="300" w:lineRule="exact"/>
              <w:jc w:val="center"/>
              <w:rPr>
                <w:rFonts w:eastAsia="仿宋"/>
                <w:kern w:val="0"/>
                <w:sz w:val="18"/>
                <w:szCs w:val="18"/>
              </w:rPr>
            </w:pPr>
            <w:r>
              <w:rPr>
                <w:rFonts w:eastAsia="仿宋"/>
                <w:kern w:val="0"/>
                <w:sz w:val="18"/>
                <w:szCs w:val="18"/>
              </w:rPr>
              <w:t>土地供应率</w:t>
            </w:r>
          </w:p>
        </w:tc>
        <w:tc>
          <w:tcPr>
            <w:tcW w:w="2311" w:type="dxa"/>
            <w:shd w:val="clear" w:color="auto" w:fill="auto"/>
            <w:noWrap/>
            <w:vAlign w:val="center"/>
          </w:tcPr>
          <w:p w14:paraId="7F336FFC">
            <w:pPr>
              <w:widowControl/>
              <w:spacing w:line="300" w:lineRule="exact"/>
              <w:jc w:val="center"/>
              <w:rPr>
                <w:rFonts w:eastAsia="仿宋"/>
                <w:kern w:val="0"/>
                <w:sz w:val="18"/>
                <w:szCs w:val="18"/>
              </w:rPr>
            </w:pPr>
            <w:r>
              <w:rPr>
                <w:rFonts w:eastAsia="仿宋"/>
                <w:kern w:val="0"/>
                <w:sz w:val="18"/>
                <w:szCs w:val="18"/>
              </w:rPr>
              <w:t>64.89</w:t>
            </w:r>
          </w:p>
        </w:tc>
      </w:tr>
      <w:tr w14:paraId="4E7B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noWrap/>
            <w:vAlign w:val="center"/>
          </w:tcPr>
          <w:p w14:paraId="44E2120A">
            <w:pPr>
              <w:widowControl/>
              <w:spacing w:line="300" w:lineRule="exact"/>
              <w:jc w:val="center"/>
              <w:rPr>
                <w:rFonts w:eastAsia="仿宋"/>
                <w:kern w:val="0"/>
                <w:sz w:val="18"/>
                <w:szCs w:val="18"/>
              </w:rPr>
            </w:pPr>
          </w:p>
        </w:tc>
        <w:tc>
          <w:tcPr>
            <w:tcW w:w="2181" w:type="dxa"/>
            <w:vMerge w:val="continue"/>
            <w:shd w:val="clear" w:color="auto" w:fill="auto"/>
            <w:noWrap/>
            <w:vAlign w:val="center"/>
          </w:tcPr>
          <w:p w14:paraId="0FF8AEB4">
            <w:pPr>
              <w:widowControl/>
              <w:spacing w:line="300" w:lineRule="exact"/>
              <w:jc w:val="center"/>
              <w:rPr>
                <w:rFonts w:eastAsia="仿宋"/>
                <w:kern w:val="0"/>
                <w:sz w:val="18"/>
                <w:szCs w:val="18"/>
              </w:rPr>
            </w:pPr>
          </w:p>
        </w:tc>
        <w:tc>
          <w:tcPr>
            <w:tcW w:w="2821" w:type="dxa"/>
            <w:shd w:val="clear" w:color="auto" w:fill="auto"/>
            <w:noWrap/>
            <w:vAlign w:val="center"/>
          </w:tcPr>
          <w:p w14:paraId="241AE0AF">
            <w:pPr>
              <w:widowControl/>
              <w:spacing w:line="300" w:lineRule="exact"/>
              <w:jc w:val="center"/>
              <w:rPr>
                <w:rFonts w:eastAsia="仿宋"/>
                <w:kern w:val="0"/>
                <w:sz w:val="18"/>
                <w:szCs w:val="18"/>
              </w:rPr>
            </w:pPr>
            <w:r>
              <w:rPr>
                <w:rFonts w:eastAsia="仿宋"/>
                <w:kern w:val="0"/>
                <w:sz w:val="18"/>
                <w:szCs w:val="18"/>
              </w:rPr>
              <w:t>土地供应率</w:t>
            </w:r>
          </w:p>
        </w:tc>
        <w:tc>
          <w:tcPr>
            <w:tcW w:w="2311" w:type="dxa"/>
            <w:shd w:val="clear" w:color="auto" w:fill="auto"/>
            <w:noWrap/>
            <w:vAlign w:val="center"/>
          </w:tcPr>
          <w:p w14:paraId="0119EB02">
            <w:pPr>
              <w:widowControl/>
              <w:spacing w:line="300" w:lineRule="exact"/>
              <w:jc w:val="center"/>
              <w:rPr>
                <w:rFonts w:eastAsia="仿宋"/>
                <w:kern w:val="0"/>
                <w:sz w:val="18"/>
                <w:szCs w:val="18"/>
              </w:rPr>
            </w:pPr>
            <w:r>
              <w:rPr>
                <w:rFonts w:eastAsia="仿宋"/>
                <w:kern w:val="0"/>
                <w:sz w:val="18"/>
                <w:szCs w:val="18"/>
              </w:rPr>
              <w:t>64.08</w:t>
            </w:r>
          </w:p>
        </w:tc>
      </w:tr>
      <w:tr w14:paraId="3A6E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19604AA6">
            <w:pPr>
              <w:widowControl/>
              <w:spacing w:line="300" w:lineRule="exact"/>
              <w:jc w:val="center"/>
              <w:rPr>
                <w:rFonts w:eastAsia="仿宋"/>
                <w:kern w:val="0"/>
                <w:sz w:val="18"/>
                <w:szCs w:val="18"/>
              </w:rPr>
            </w:pPr>
          </w:p>
        </w:tc>
        <w:tc>
          <w:tcPr>
            <w:tcW w:w="2181" w:type="dxa"/>
            <w:vMerge w:val="continue"/>
            <w:shd w:val="clear" w:color="auto" w:fill="auto"/>
            <w:vAlign w:val="center"/>
          </w:tcPr>
          <w:p w14:paraId="5797A6FA">
            <w:pPr>
              <w:widowControl/>
              <w:spacing w:line="300" w:lineRule="exact"/>
              <w:jc w:val="center"/>
              <w:rPr>
                <w:rFonts w:eastAsia="仿宋"/>
                <w:kern w:val="0"/>
                <w:sz w:val="18"/>
                <w:szCs w:val="18"/>
              </w:rPr>
            </w:pPr>
          </w:p>
        </w:tc>
        <w:tc>
          <w:tcPr>
            <w:tcW w:w="2821" w:type="dxa"/>
            <w:shd w:val="clear" w:color="auto" w:fill="auto"/>
            <w:noWrap/>
            <w:vAlign w:val="center"/>
          </w:tcPr>
          <w:p w14:paraId="76188610">
            <w:pPr>
              <w:widowControl/>
              <w:spacing w:line="300" w:lineRule="exact"/>
              <w:jc w:val="center"/>
              <w:rPr>
                <w:rFonts w:eastAsia="仿宋"/>
                <w:kern w:val="0"/>
                <w:sz w:val="18"/>
                <w:szCs w:val="18"/>
              </w:rPr>
            </w:pPr>
            <w:r>
              <w:rPr>
                <w:rFonts w:eastAsia="仿宋"/>
                <w:kern w:val="0"/>
                <w:sz w:val="18"/>
                <w:szCs w:val="18"/>
              </w:rPr>
              <w:t>土地建成率</w:t>
            </w:r>
          </w:p>
        </w:tc>
        <w:tc>
          <w:tcPr>
            <w:tcW w:w="2311" w:type="dxa"/>
            <w:shd w:val="clear" w:color="auto" w:fill="auto"/>
            <w:noWrap/>
            <w:vAlign w:val="center"/>
          </w:tcPr>
          <w:p w14:paraId="03BC7E08">
            <w:pPr>
              <w:widowControl/>
              <w:spacing w:line="300" w:lineRule="exact"/>
              <w:jc w:val="center"/>
              <w:rPr>
                <w:rFonts w:eastAsia="仿宋"/>
                <w:kern w:val="0"/>
                <w:sz w:val="18"/>
                <w:szCs w:val="18"/>
              </w:rPr>
            </w:pPr>
            <w:r>
              <w:rPr>
                <w:rFonts w:eastAsia="仿宋"/>
                <w:kern w:val="0"/>
                <w:sz w:val="18"/>
                <w:szCs w:val="18"/>
              </w:rPr>
              <w:t>100</w:t>
            </w:r>
          </w:p>
        </w:tc>
      </w:tr>
      <w:tr w14:paraId="6EA1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593CFCCF">
            <w:pPr>
              <w:widowControl/>
              <w:spacing w:line="300" w:lineRule="exact"/>
              <w:jc w:val="center"/>
              <w:rPr>
                <w:rFonts w:eastAsia="仿宋"/>
                <w:kern w:val="0"/>
                <w:sz w:val="18"/>
                <w:szCs w:val="18"/>
              </w:rPr>
            </w:pPr>
          </w:p>
        </w:tc>
        <w:tc>
          <w:tcPr>
            <w:tcW w:w="2181" w:type="dxa"/>
            <w:shd w:val="clear" w:color="auto" w:fill="auto"/>
            <w:noWrap/>
            <w:vAlign w:val="center"/>
          </w:tcPr>
          <w:p w14:paraId="7B44E9C9">
            <w:pPr>
              <w:widowControl/>
              <w:spacing w:line="300" w:lineRule="exact"/>
              <w:jc w:val="center"/>
              <w:rPr>
                <w:rFonts w:eastAsia="仿宋"/>
                <w:kern w:val="0"/>
                <w:sz w:val="18"/>
                <w:szCs w:val="18"/>
              </w:rPr>
            </w:pPr>
            <w:r>
              <w:rPr>
                <w:rFonts w:eastAsia="仿宋"/>
                <w:kern w:val="0"/>
                <w:sz w:val="18"/>
                <w:szCs w:val="18"/>
              </w:rPr>
              <w:t>用地结构状况</w:t>
            </w:r>
          </w:p>
        </w:tc>
        <w:tc>
          <w:tcPr>
            <w:tcW w:w="2821" w:type="dxa"/>
            <w:shd w:val="clear" w:color="auto" w:fill="auto"/>
            <w:noWrap/>
            <w:vAlign w:val="center"/>
          </w:tcPr>
          <w:p w14:paraId="6BE9B192">
            <w:pPr>
              <w:widowControl/>
              <w:spacing w:line="300" w:lineRule="exact"/>
              <w:jc w:val="center"/>
              <w:rPr>
                <w:rFonts w:eastAsia="仿宋"/>
                <w:kern w:val="0"/>
                <w:sz w:val="18"/>
                <w:szCs w:val="18"/>
              </w:rPr>
            </w:pPr>
            <w:r>
              <w:rPr>
                <w:rFonts w:eastAsia="仿宋"/>
                <w:kern w:val="0"/>
                <w:sz w:val="18"/>
                <w:szCs w:val="18"/>
              </w:rPr>
              <w:t>工业用地率</w:t>
            </w:r>
          </w:p>
        </w:tc>
        <w:tc>
          <w:tcPr>
            <w:tcW w:w="2311" w:type="dxa"/>
            <w:shd w:val="clear" w:color="auto" w:fill="auto"/>
            <w:noWrap/>
            <w:vAlign w:val="center"/>
          </w:tcPr>
          <w:p w14:paraId="27A4C824">
            <w:pPr>
              <w:widowControl/>
              <w:spacing w:line="300" w:lineRule="exact"/>
              <w:jc w:val="center"/>
              <w:rPr>
                <w:rFonts w:eastAsia="仿宋"/>
                <w:kern w:val="0"/>
                <w:sz w:val="18"/>
                <w:szCs w:val="18"/>
              </w:rPr>
            </w:pPr>
            <w:r>
              <w:rPr>
                <w:rFonts w:eastAsia="仿宋"/>
                <w:kern w:val="0"/>
                <w:sz w:val="18"/>
                <w:szCs w:val="18"/>
              </w:rPr>
              <w:t>79.45</w:t>
            </w:r>
          </w:p>
        </w:tc>
      </w:tr>
      <w:tr w14:paraId="1C4B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6AEBF45A">
            <w:pPr>
              <w:widowControl/>
              <w:spacing w:line="300" w:lineRule="exact"/>
              <w:jc w:val="center"/>
              <w:rPr>
                <w:rFonts w:eastAsia="仿宋"/>
                <w:kern w:val="0"/>
                <w:sz w:val="18"/>
                <w:szCs w:val="18"/>
              </w:rPr>
            </w:pPr>
          </w:p>
        </w:tc>
        <w:tc>
          <w:tcPr>
            <w:tcW w:w="2181" w:type="dxa"/>
            <w:vMerge w:val="restart"/>
            <w:shd w:val="clear" w:color="auto" w:fill="auto"/>
            <w:noWrap/>
            <w:vAlign w:val="center"/>
          </w:tcPr>
          <w:p w14:paraId="3E6796C9">
            <w:pPr>
              <w:widowControl/>
              <w:spacing w:line="300" w:lineRule="exact"/>
              <w:jc w:val="center"/>
              <w:rPr>
                <w:rFonts w:eastAsia="仿宋"/>
                <w:kern w:val="0"/>
                <w:sz w:val="18"/>
                <w:szCs w:val="18"/>
              </w:rPr>
            </w:pPr>
            <w:r>
              <w:rPr>
                <w:rFonts w:eastAsia="仿宋"/>
                <w:kern w:val="0"/>
                <w:sz w:val="18"/>
                <w:szCs w:val="18"/>
              </w:rPr>
              <w:t>土地利用强度</w:t>
            </w:r>
          </w:p>
        </w:tc>
        <w:tc>
          <w:tcPr>
            <w:tcW w:w="2821" w:type="dxa"/>
            <w:shd w:val="clear" w:color="auto" w:fill="auto"/>
            <w:noWrap/>
            <w:vAlign w:val="center"/>
          </w:tcPr>
          <w:p w14:paraId="07A52F0B">
            <w:pPr>
              <w:widowControl/>
              <w:spacing w:line="300" w:lineRule="exact"/>
              <w:jc w:val="center"/>
              <w:rPr>
                <w:rFonts w:eastAsia="仿宋"/>
                <w:kern w:val="0"/>
                <w:sz w:val="18"/>
                <w:szCs w:val="18"/>
              </w:rPr>
            </w:pPr>
            <w:r>
              <w:rPr>
                <w:rFonts w:eastAsia="仿宋"/>
                <w:kern w:val="0"/>
                <w:sz w:val="18"/>
                <w:szCs w:val="18"/>
              </w:rPr>
              <w:t>综合容积率</w:t>
            </w:r>
          </w:p>
        </w:tc>
        <w:tc>
          <w:tcPr>
            <w:tcW w:w="2311" w:type="dxa"/>
            <w:shd w:val="clear" w:color="auto" w:fill="auto"/>
            <w:noWrap/>
            <w:vAlign w:val="center"/>
          </w:tcPr>
          <w:p w14:paraId="1769BC91">
            <w:pPr>
              <w:widowControl/>
              <w:spacing w:line="300" w:lineRule="exact"/>
              <w:jc w:val="center"/>
              <w:rPr>
                <w:rFonts w:eastAsia="仿宋"/>
                <w:kern w:val="0"/>
                <w:sz w:val="18"/>
                <w:szCs w:val="18"/>
              </w:rPr>
            </w:pPr>
            <w:r>
              <w:rPr>
                <w:rFonts w:eastAsia="仿宋"/>
                <w:kern w:val="0"/>
                <w:sz w:val="18"/>
                <w:szCs w:val="18"/>
              </w:rPr>
              <w:t>0.71</w:t>
            </w:r>
          </w:p>
        </w:tc>
      </w:tr>
      <w:tr w14:paraId="092B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2D713019">
            <w:pPr>
              <w:widowControl/>
              <w:spacing w:line="300" w:lineRule="exact"/>
              <w:jc w:val="center"/>
              <w:rPr>
                <w:rFonts w:eastAsia="仿宋"/>
                <w:kern w:val="0"/>
                <w:sz w:val="18"/>
                <w:szCs w:val="18"/>
              </w:rPr>
            </w:pPr>
          </w:p>
        </w:tc>
        <w:tc>
          <w:tcPr>
            <w:tcW w:w="2181" w:type="dxa"/>
            <w:vMerge w:val="continue"/>
            <w:shd w:val="clear" w:color="auto" w:fill="auto"/>
            <w:vAlign w:val="center"/>
          </w:tcPr>
          <w:p w14:paraId="45033167">
            <w:pPr>
              <w:widowControl/>
              <w:spacing w:line="300" w:lineRule="exact"/>
              <w:jc w:val="center"/>
              <w:rPr>
                <w:rFonts w:eastAsia="仿宋"/>
                <w:kern w:val="0"/>
                <w:sz w:val="18"/>
                <w:szCs w:val="18"/>
              </w:rPr>
            </w:pPr>
          </w:p>
        </w:tc>
        <w:tc>
          <w:tcPr>
            <w:tcW w:w="2821" w:type="dxa"/>
            <w:shd w:val="clear" w:color="auto" w:fill="auto"/>
            <w:noWrap/>
            <w:vAlign w:val="center"/>
          </w:tcPr>
          <w:p w14:paraId="42DA5CE7">
            <w:pPr>
              <w:widowControl/>
              <w:spacing w:line="300" w:lineRule="exact"/>
              <w:jc w:val="center"/>
              <w:rPr>
                <w:rFonts w:eastAsia="仿宋"/>
                <w:kern w:val="0"/>
                <w:sz w:val="18"/>
                <w:szCs w:val="18"/>
              </w:rPr>
            </w:pPr>
            <w:r>
              <w:rPr>
                <w:rFonts w:eastAsia="仿宋"/>
                <w:kern w:val="0"/>
                <w:sz w:val="18"/>
                <w:szCs w:val="18"/>
              </w:rPr>
              <w:t>建筑密度</w:t>
            </w:r>
          </w:p>
        </w:tc>
        <w:tc>
          <w:tcPr>
            <w:tcW w:w="2311" w:type="dxa"/>
            <w:shd w:val="clear" w:color="auto" w:fill="auto"/>
            <w:noWrap/>
            <w:vAlign w:val="center"/>
          </w:tcPr>
          <w:p w14:paraId="745C4ACE">
            <w:pPr>
              <w:widowControl/>
              <w:spacing w:line="300" w:lineRule="exact"/>
              <w:jc w:val="center"/>
              <w:rPr>
                <w:rFonts w:eastAsia="仿宋"/>
                <w:kern w:val="0"/>
                <w:sz w:val="18"/>
                <w:szCs w:val="18"/>
              </w:rPr>
            </w:pPr>
            <w:r>
              <w:rPr>
                <w:rFonts w:eastAsia="仿宋"/>
                <w:kern w:val="0"/>
                <w:sz w:val="18"/>
                <w:szCs w:val="18"/>
              </w:rPr>
              <w:t>38.60</w:t>
            </w:r>
          </w:p>
        </w:tc>
      </w:tr>
      <w:tr w14:paraId="7A6C5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3B9DF1C4">
            <w:pPr>
              <w:widowControl/>
              <w:spacing w:line="300" w:lineRule="exact"/>
              <w:jc w:val="center"/>
              <w:rPr>
                <w:rFonts w:eastAsia="仿宋"/>
                <w:kern w:val="0"/>
                <w:sz w:val="18"/>
                <w:szCs w:val="18"/>
              </w:rPr>
            </w:pPr>
          </w:p>
        </w:tc>
        <w:tc>
          <w:tcPr>
            <w:tcW w:w="2181" w:type="dxa"/>
            <w:vMerge w:val="continue"/>
            <w:shd w:val="clear" w:color="auto" w:fill="auto"/>
            <w:vAlign w:val="center"/>
          </w:tcPr>
          <w:p w14:paraId="1D1F23CF">
            <w:pPr>
              <w:widowControl/>
              <w:spacing w:line="300" w:lineRule="exact"/>
              <w:jc w:val="center"/>
              <w:rPr>
                <w:rFonts w:eastAsia="仿宋"/>
                <w:kern w:val="0"/>
                <w:sz w:val="18"/>
                <w:szCs w:val="18"/>
              </w:rPr>
            </w:pPr>
          </w:p>
        </w:tc>
        <w:tc>
          <w:tcPr>
            <w:tcW w:w="2821" w:type="dxa"/>
            <w:shd w:val="clear" w:color="auto" w:fill="auto"/>
            <w:noWrap/>
            <w:vAlign w:val="center"/>
          </w:tcPr>
          <w:p w14:paraId="3466F67D">
            <w:pPr>
              <w:widowControl/>
              <w:spacing w:line="300" w:lineRule="exact"/>
              <w:jc w:val="center"/>
              <w:rPr>
                <w:rFonts w:eastAsia="仿宋"/>
                <w:kern w:val="0"/>
                <w:sz w:val="18"/>
                <w:szCs w:val="18"/>
              </w:rPr>
            </w:pPr>
            <w:r>
              <w:rPr>
                <w:rFonts w:eastAsia="仿宋"/>
                <w:kern w:val="0"/>
                <w:sz w:val="18"/>
                <w:szCs w:val="18"/>
              </w:rPr>
              <w:t>工业用地综合容积率</w:t>
            </w:r>
          </w:p>
        </w:tc>
        <w:tc>
          <w:tcPr>
            <w:tcW w:w="2311" w:type="dxa"/>
            <w:shd w:val="clear" w:color="auto" w:fill="auto"/>
            <w:noWrap/>
            <w:vAlign w:val="center"/>
          </w:tcPr>
          <w:p w14:paraId="72EDD0A4">
            <w:pPr>
              <w:widowControl/>
              <w:spacing w:line="300" w:lineRule="exact"/>
              <w:jc w:val="center"/>
              <w:rPr>
                <w:rFonts w:eastAsia="仿宋"/>
                <w:kern w:val="0"/>
                <w:sz w:val="18"/>
                <w:szCs w:val="18"/>
              </w:rPr>
            </w:pPr>
            <w:r>
              <w:rPr>
                <w:rFonts w:eastAsia="仿宋"/>
                <w:kern w:val="0"/>
                <w:sz w:val="18"/>
                <w:szCs w:val="18"/>
              </w:rPr>
              <w:t>0.82</w:t>
            </w:r>
          </w:p>
        </w:tc>
      </w:tr>
      <w:tr w14:paraId="691B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34" w:type="dxa"/>
            <w:vMerge w:val="continue"/>
            <w:shd w:val="clear" w:color="auto" w:fill="auto"/>
            <w:vAlign w:val="center"/>
          </w:tcPr>
          <w:p w14:paraId="6B12C823">
            <w:pPr>
              <w:widowControl/>
              <w:spacing w:line="300" w:lineRule="exact"/>
              <w:jc w:val="center"/>
              <w:rPr>
                <w:rFonts w:eastAsia="仿宋"/>
                <w:kern w:val="0"/>
                <w:sz w:val="18"/>
                <w:szCs w:val="18"/>
              </w:rPr>
            </w:pPr>
          </w:p>
        </w:tc>
        <w:tc>
          <w:tcPr>
            <w:tcW w:w="2181" w:type="dxa"/>
            <w:vMerge w:val="continue"/>
            <w:shd w:val="clear" w:color="auto" w:fill="auto"/>
            <w:vAlign w:val="center"/>
          </w:tcPr>
          <w:p w14:paraId="29B32CF1">
            <w:pPr>
              <w:widowControl/>
              <w:spacing w:line="300" w:lineRule="exact"/>
              <w:jc w:val="center"/>
              <w:rPr>
                <w:rFonts w:eastAsia="仿宋"/>
                <w:kern w:val="0"/>
                <w:sz w:val="18"/>
                <w:szCs w:val="18"/>
              </w:rPr>
            </w:pPr>
          </w:p>
        </w:tc>
        <w:tc>
          <w:tcPr>
            <w:tcW w:w="2821" w:type="dxa"/>
            <w:shd w:val="clear" w:color="auto" w:fill="auto"/>
            <w:noWrap/>
            <w:vAlign w:val="center"/>
          </w:tcPr>
          <w:p w14:paraId="7994EC74">
            <w:pPr>
              <w:widowControl/>
              <w:spacing w:line="300" w:lineRule="exact"/>
              <w:jc w:val="center"/>
              <w:rPr>
                <w:rFonts w:eastAsia="仿宋"/>
                <w:kern w:val="0"/>
                <w:sz w:val="18"/>
                <w:szCs w:val="18"/>
              </w:rPr>
            </w:pPr>
            <w:r>
              <w:rPr>
                <w:rFonts w:eastAsia="仿宋"/>
                <w:kern w:val="0"/>
                <w:sz w:val="18"/>
                <w:szCs w:val="18"/>
              </w:rPr>
              <w:t>工业用地建筑系数</w:t>
            </w:r>
          </w:p>
        </w:tc>
        <w:tc>
          <w:tcPr>
            <w:tcW w:w="2311" w:type="dxa"/>
            <w:shd w:val="clear" w:color="auto" w:fill="auto"/>
            <w:noWrap/>
            <w:vAlign w:val="center"/>
          </w:tcPr>
          <w:p w14:paraId="24B7FBB0">
            <w:pPr>
              <w:widowControl/>
              <w:spacing w:line="300" w:lineRule="exact"/>
              <w:jc w:val="center"/>
              <w:rPr>
                <w:rFonts w:eastAsia="仿宋"/>
                <w:kern w:val="0"/>
                <w:sz w:val="18"/>
                <w:szCs w:val="18"/>
              </w:rPr>
            </w:pPr>
            <w:r>
              <w:rPr>
                <w:rFonts w:eastAsia="仿宋"/>
                <w:kern w:val="0"/>
                <w:sz w:val="18"/>
                <w:szCs w:val="18"/>
              </w:rPr>
              <w:t>55.34</w:t>
            </w:r>
          </w:p>
        </w:tc>
      </w:tr>
      <w:tr w14:paraId="2F0D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234" w:type="dxa"/>
            <w:vMerge w:val="restart"/>
            <w:shd w:val="clear" w:color="auto" w:fill="auto"/>
            <w:noWrap/>
            <w:vAlign w:val="center"/>
          </w:tcPr>
          <w:p w14:paraId="57B7A157">
            <w:pPr>
              <w:widowControl/>
              <w:spacing w:line="300" w:lineRule="exact"/>
              <w:jc w:val="center"/>
              <w:rPr>
                <w:rFonts w:eastAsia="仿宋"/>
                <w:kern w:val="0"/>
                <w:sz w:val="18"/>
                <w:szCs w:val="18"/>
              </w:rPr>
            </w:pPr>
            <w:r>
              <w:rPr>
                <w:rFonts w:eastAsia="仿宋"/>
                <w:kern w:val="0"/>
                <w:sz w:val="18"/>
                <w:szCs w:val="18"/>
              </w:rPr>
              <w:t>用地效益</w:t>
            </w:r>
          </w:p>
        </w:tc>
        <w:tc>
          <w:tcPr>
            <w:tcW w:w="2181" w:type="dxa"/>
            <w:vMerge w:val="restart"/>
            <w:shd w:val="clear" w:color="auto" w:fill="auto"/>
            <w:vAlign w:val="center"/>
          </w:tcPr>
          <w:p w14:paraId="2CBBD72E">
            <w:pPr>
              <w:widowControl/>
              <w:spacing w:line="300" w:lineRule="exact"/>
              <w:jc w:val="center"/>
              <w:rPr>
                <w:rFonts w:eastAsia="仿宋"/>
                <w:kern w:val="0"/>
                <w:sz w:val="18"/>
                <w:szCs w:val="18"/>
              </w:rPr>
            </w:pPr>
            <w:r>
              <w:rPr>
                <w:rFonts w:eastAsia="仿宋"/>
                <w:kern w:val="0"/>
                <w:sz w:val="18"/>
                <w:szCs w:val="18"/>
              </w:rPr>
              <w:t>产业用地投入产出效益</w:t>
            </w:r>
          </w:p>
        </w:tc>
        <w:tc>
          <w:tcPr>
            <w:tcW w:w="2821" w:type="dxa"/>
            <w:shd w:val="clear" w:color="auto" w:fill="auto"/>
            <w:vAlign w:val="center"/>
          </w:tcPr>
          <w:p w14:paraId="7A623A7B">
            <w:pPr>
              <w:widowControl/>
              <w:spacing w:line="300" w:lineRule="exact"/>
              <w:jc w:val="center"/>
              <w:rPr>
                <w:rFonts w:eastAsia="仿宋"/>
                <w:kern w:val="0"/>
                <w:sz w:val="18"/>
                <w:szCs w:val="18"/>
              </w:rPr>
            </w:pPr>
            <w:r>
              <w:rPr>
                <w:rFonts w:eastAsia="仿宋"/>
                <w:kern w:val="0"/>
                <w:sz w:val="18"/>
                <w:szCs w:val="18"/>
              </w:rPr>
              <w:t>工业用地固定资产投入强度</w:t>
            </w:r>
          </w:p>
        </w:tc>
        <w:tc>
          <w:tcPr>
            <w:tcW w:w="2311" w:type="dxa"/>
            <w:shd w:val="clear" w:color="auto" w:fill="auto"/>
            <w:noWrap/>
            <w:vAlign w:val="center"/>
          </w:tcPr>
          <w:p w14:paraId="53B44B99">
            <w:pPr>
              <w:widowControl/>
              <w:spacing w:line="300" w:lineRule="exact"/>
              <w:jc w:val="center"/>
              <w:rPr>
                <w:rFonts w:eastAsia="仿宋"/>
                <w:kern w:val="0"/>
                <w:sz w:val="18"/>
                <w:szCs w:val="18"/>
              </w:rPr>
            </w:pPr>
            <w:r>
              <w:rPr>
                <w:rFonts w:eastAsia="仿宋"/>
                <w:kern w:val="0"/>
                <w:sz w:val="18"/>
                <w:szCs w:val="18"/>
              </w:rPr>
              <w:t>6041.99</w:t>
            </w:r>
          </w:p>
        </w:tc>
      </w:tr>
      <w:tr w14:paraId="28BF7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34" w:type="dxa"/>
            <w:vMerge w:val="continue"/>
            <w:shd w:val="clear" w:color="auto" w:fill="auto"/>
            <w:vAlign w:val="center"/>
          </w:tcPr>
          <w:p w14:paraId="67CB733E">
            <w:pPr>
              <w:widowControl/>
              <w:spacing w:line="300" w:lineRule="exact"/>
              <w:jc w:val="center"/>
              <w:rPr>
                <w:rFonts w:eastAsia="仿宋"/>
                <w:kern w:val="0"/>
                <w:sz w:val="18"/>
                <w:szCs w:val="18"/>
              </w:rPr>
            </w:pPr>
          </w:p>
        </w:tc>
        <w:tc>
          <w:tcPr>
            <w:tcW w:w="2181" w:type="dxa"/>
            <w:vMerge w:val="continue"/>
            <w:shd w:val="clear" w:color="auto" w:fill="auto"/>
            <w:vAlign w:val="center"/>
          </w:tcPr>
          <w:p w14:paraId="2070F3FB">
            <w:pPr>
              <w:widowControl/>
              <w:spacing w:line="300" w:lineRule="exact"/>
              <w:jc w:val="center"/>
              <w:rPr>
                <w:rFonts w:eastAsia="仿宋"/>
                <w:kern w:val="0"/>
                <w:sz w:val="18"/>
                <w:szCs w:val="18"/>
              </w:rPr>
            </w:pPr>
          </w:p>
        </w:tc>
        <w:tc>
          <w:tcPr>
            <w:tcW w:w="2821" w:type="dxa"/>
            <w:shd w:val="clear" w:color="auto" w:fill="auto"/>
            <w:noWrap/>
            <w:vAlign w:val="center"/>
          </w:tcPr>
          <w:p w14:paraId="2B6EBC93">
            <w:pPr>
              <w:widowControl/>
              <w:spacing w:line="300" w:lineRule="exact"/>
              <w:jc w:val="center"/>
              <w:rPr>
                <w:rFonts w:eastAsia="仿宋"/>
                <w:kern w:val="0"/>
                <w:sz w:val="18"/>
                <w:szCs w:val="18"/>
              </w:rPr>
            </w:pPr>
            <w:r>
              <w:rPr>
                <w:rFonts w:eastAsia="仿宋"/>
                <w:kern w:val="0"/>
                <w:sz w:val="18"/>
                <w:szCs w:val="18"/>
              </w:rPr>
              <w:t>工业用地地均税收</w:t>
            </w:r>
          </w:p>
        </w:tc>
        <w:tc>
          <w:tcPr>
            <w:tcW w:w="2311" w:type="dxa"/>
            <w:shd w:val="clear" w:color="auto" w:fill="auto"/>
            <w:noWrap/>
            <w:vAlign w:val="center"/>
          </w:tcPr>
          <w:p w14:paraId="6891673C">
            <w:pPr>
              <w:widowControl/>
              <w:spacing w:line="300" w:lineRule="exact"/>
              <w:jc w:val="center"/>
              <w:rPr>
                <w:rFonts w:eastAsia="仿宋"/>
                <w:kern w:val="0"/>
                <w:sz w:val="18"/>
                <w:szCs w:val="18"/>
              </w:rPr>
            </w:pPr>
            <w:r>
              <w:rPr>
                <w:rFonts w:eastAsia="仿宋"/>
                <w:kern w:val="0"/>
                <w:sz w:val="18"/>
                <w:szCs w:val="18"/>
              </w:rPr>
              <w:t>250.62</w:t>
            </w:r>
          </w:p>
        </w:tc>
      </w:tr>
      <w:tr w14:paraId="77BF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234" w:type="dxa"/>
            <w:shd w:val="clear" w:color="auto" w:fill="auto"/>
            <w:noWrap/>
            <w:vAlign w:val="center"/>
          </w:tcPr>
          <w:p w14:paraId="00E3E6F5">
            <w:pPr>
              <w:widowControl/>
              <w:spacing w:line="300" w:lineRule="exact"/>
              <w:jc w:val="center"/>
              <w:rPr>
                <w:rFonts w:eastAsia="仿宋"/>
                <w:kern w:val="0"/>
                <w:sz w:val="18"/>
                <w:szCs w:val="18"/>
              </w:rPr>
            </w:pPr>
            <w:r>
              <w:rPr>
                <w:rFonts w:eastAsia="仿宋"/>
                <w:kern w:val="0"/>
                <w:sz w:val="18"/>
                <w:szCs w:val="18"/>
              </w:rPr>
              <w:t>管理绩效</w:t>
            </w:r>
          </w:p>
        </w:tc>
        <w:tc>
          <w:tcPr>
            <w:tcW w:w="2181" w:type="dxa"/>
            <w:shd w:val="clear" w:color="auto" w:fill="auto"/>
            <w:noWrap/>
            <w:vAlign w:val="center"/>
          </w:tcPr>
          <w:p w14:paraId="66560DC3">
            <w:pPr>
              <w:widowControl/>
              <w:spacing w:line="300" w:lineRule="exact"/>
              <w:jc w:val="center"/>
              <w:rPr>
                <w:rFonts w:eastAsia="仿宋"/>
                <w:kern w:val="0"/>
                <w:sz w:val="18"/>
                <w:szCs w:val="18"/>
              </w:rPr>
            </w:pPr>
            <w:r>
              <w:rPr>
                <w:rFonts w:eastAsia="仿宋"/>
                <w:kern w:val="0"/>
                <w:sz w:val="18"/>
                <w:szCs w:val="18"/>
              </w:rPr>
              <w:t>土地利用监管绩效</w:t>
            </w:r>
          </w:p>
        </w:tc>
        <w:tc>
          <w:tcPr>
            <w:tcW w:w="2821" w:type="dxa"/>
            <w:shd w:val="clear" w:color="auto" w:fill="auto"/>
            <w:noWrap/>
            <w:vAlign w:val="center"/>
          </w:tcPr>
          <w:p w14:paraId="6636C3AE">
            <w:pPr>
              <w:widowControl/>
              <w:spacing w:line="300" w:lineRule="exact"/>
              <w:jc w:val="center"/>
              <w:rPr>
                <w:rFonts w:eastAsia="仿宋"/>
                <w:kern w:val="0"/>
                <w:sz w:val="18"/>
                <w:szCs w:val="18"/>
              </w:rPr>
            </w:pPr>
            <w:r>
              <w:rPr>
                <w:rFonts w:eastAsia="仿宋"/>
                <w:kern w:val="0"/>
                <w:sz w:val="18"/>
                <w:szCs w:val="18"/>
              </w:rPr>
              <w:t>土地闲置率</w:t>
            </w:r>
          </w:p>
        </w:tc>
        <w:tc>
          <w:tcPr>
            <w:tcW w:w="2311" w:type="dxa"/>
            <w:shd w:val="clear" w:color="auto" w:fill="auto"/>
            <w:noWrap/>
            <w:vAlign w:val="center"/>
          </w:tcPr>
          <w:p w14:paraId="5F849F84">
            <w:pPr>
              <w:widowControl/>
              <w:spacing w:line="300" w:lineRule="exact"/>
              <w:jc w:val="center"/>
              <w:rPr>
                <w:rFonts w:eastAsia="仿宋"/>
                <w:kern w:val="0"/>
                <w:sz w:val="18"/>
                <w:szCs w:val="18"/>
              </w:rPr>
            </w:pPr>
            <w:r>
              <w:rPr>
                <w:rFonts w:eastAsia="仿宋"/>
                <w:kern w:val="0"/>
                <w:sz w:val="18"/>
                <w:szCs w:val="18"/>
              </w:rPr>
              <w:t>0</w:t>
            </w:r>
          </w:p>
        </w:tc>
      </w:tr>
    </w:tbl>
    <w:p w14:paraId="65063E5B">
      <w:pPr>
        <w:pStyle w:val="47"/>
        <w:rPr>
          <w:rFonts w:hint="default" w:ascii="Times New Roman"/>
          <w:color w:val="auto"/>
        </w:rPr>
      </w:pPr>
    </w:p>
    <w:p w14:paraId="5F200E77">
      <w:pPr>
        <w:pStyle w:val="4"/>
        <w:spacing w:before="156" w:after="156"/>
        <w:rPr>
          <w:rFonts w:ascii="Times New Roman" w:hAnsi="Times New Roman"/>
          <w:sz w:val="24"/>
          <w:szCs w:val="24"/>
        </w:rPr>
      </w:pPr>
      <w:bookmarkStart w:id="90" w:name="_Toc21741"/>
      <w:r>
        <w:rPr>
          <w:rFonts w:ascii="Times New Roman" w:hAnsi="Times New Roman"/>
          <w:sz w:val="24"/>
          <w:szCs w:val="24"/>
        </w:rPr>
        <w:t>5.6 竖向布置规划</w:t>
      </w:r>
      <w:bookmarkEnd w:id="90"/>
    </w:p>
    <w:p w14:paraId="152D017A">
      <w:pPr>
        <w:spacing w:line="360" w:lineRule="auto"/>
        <w:ind w:firstLine="480" w:firstLineChars="200"/>
        <w:jc w:val="left"/>
        <w:rPr>
          <w:sz w:val="24"/>
          <w:szCs w:val="24"/>
        </w:rPr>
      </w:pPr>
      <w:r>
        <w:rPr>
          <w:sz w:val="24"/>
          <w:szCs w:val="24"/>
          <w:u w:color="FFFFFF"/>
        </w:rPr>
        <w:t>本化工园区地形比较单一，原始地形</w:t>
      </w:r>
      <w:r>
        <w:rPr>
          <w:sz w:val="24"/>
          <w:szCs w:val="24"/>
        </w:rPr>
        <w:t>标高24～26米，较为平坦，化工园区竖向布置以平坡式布置为主，纵向总坡度小于2%。</w:t>
      </w:r>
    </w:p>
    <w:p w14:paraId="5187E608">
      <w:pPr>
        <w:spacing w:line="360" w:lineRule="auto"/>
        <w:ind w:firstLine="480" w:firstLineChars="200"/>
        <w:jc w:val="left"/>
        <w:rPr>
          <w:sz w:val="24"/>
          <w:szCs w:val="24"/>
        </w:rPr>
      </w:pPr>
      <w:r>
        <w:rPr>
          <w:sz w:val="24"/>
          <w:szCs w:val="24"/>
        </w:rPr>
        <w:t>道路坡度应根据地形变化，采用自然坡度。场地平整应就近挖填方，以减少土石方工程量。</w:t>
      </w:r>
    </w:p>
    <w:p w14:paraId="572074C3">
      <w:pPr>
        <w:spacing w:line="360" w:lineRule="auto"/>
        <w:ind w:firstLine="480" w:firstLineChars="200"/>
        <w:jc w:val="left"/>
        <w:rPr>
          <w:sz w:val="24"/>
          <w:szCs w:val="24"/>
        </w:rPr>
      </w:pPr>
      <w:r>
        <w:rPr>
          <w:sz w:val="24"/>
          <w:szCs w:val="24"/>
        </w:rPr>
        <w:t>竖向标高控制统一采用黄海高程系。规划区地块内工厂设计可根据地势采用不同标高，当需采用±0.00标高系统时，必须注明其与黄海高程的换算关系。</w:t>
      </w:r>
    </w:p>
    <w:p w14:paraId="553A2F0C">
      <w:pPr>
        <w:spacing w:line="360" w:lineRule="auto"/>
        <w:ind w:firstLine="480" w:firstLineChars="200"/>
        <w:jc w:val="left"/>
        <w:rPr>
          <w:sz w:val="24"/>
          <w:szCs w:val="24"/>
        </w:rPr>
      </w:pPr>
      <w:r>
        <w:rPr>
          <w:sz w:val="24"/>
          <w:szCs w:val="24"/>
        </w:rPr>
        <w:t>规划区内各地块的竖向规划设计应做到表土不得裸露，除尽可能多绿化外，应予硬化地面铺砌。</w:t>
      </w:r>
      <w:bookmarkStart w:id="91" w:name="_Toc20464"/>
    </w:p>
    <w:p w14:paraId="51135BFB">
      <w:pPr>
        <w:pStyle w:val="4"/>
        <w:spacing w:before="156" w:after="156"/>
        <w:rPr>
          <w:rFonts w:ascii="Times New Roman" w:hAnsi="Times New Roman"/>
          <w:sz w:val="24"/>
          <w:szCs w:val="24"/>
        </w:rPr>
      </w:pPr>
      <w:r>
        <w:rPr>
          <w:rFonts w:ascii="Times New Roman" w:hAnsi="Times New Roman"/>
          <w:sz w:val="24"/>
          <w:szCs w:val="24"/>
        </w:rPr>
        <w:t>5.7 绿化规划</w:t>
      </w:r>
      <w:bookmarkEnd w:id="91"/>
    </w:p>
    <w:p w14:paraId="471B305B">
      <w:pPr>
        <w:pStyle w:val="5"/>
        <w:spacing w:before="156" w:after="156"/>
        <w:rPr>
          <w:rFonts w:eastAsiaTheme="minorEastAsia"/>
          <w:sz w:val="24"/>
          <w:szCs w:val="24"/>
        </w:rPr>
      </w:pPr>
      <w:bookmarkStart w:id="92" w:name="_Toc4596035"/>
      <w:r>
        <w:rPr>
          <w:rFonts w:eastAsiaTheme="minorEastAsia"/>
          <w:sz w:val="24"/>
          <w:szCs w:val="24"/>
        </w:rPr>
        <w:t>5.7.1 规划目标</w:t>
      </w:r>
      <w:bookmarkEnd w:id="92"/>
    </w:p>
    <w:p w14:paraId="32144215">
      <w:pPr>
        <w:spacing w:line="360" w:lineRule="auto"/>
        <w:ind w:firstLine="480" w:firstLineChars="200"/>
        <w:jc w:val="left"/>
        <w:rPr>
          <w:sz w:val="24"/>
          <w:szCs w:val="24"/>
        </w:rPr>
      </w:pPr>
      <w:r>
        <w:rPr>
          <w:sz w:val="24"/>
          <w:szCs w:val="24"/>
        </w:rPr>
        <w:t>保护周围区域生态环境，减少环境污染，使化工园区成为环境优美、绿色环保的化工园区。绿化可以净化空气，降低噪音，保护和美化环境，是化工园区规划的重要组成部分。</w:t>
      </w:r>
    </w:p>
    <w:p w14:paraId="247D8FD1">
      <w:pPr>
        <w:pStyle w:val="5"/>
        <w:spacing w:before="156" w:after="156"/>
        <w:rPr>
          <w:rFonts w:eastAsiaTheme="minorEastAsia"/>
          <w:sz w:val="24"/>
          <w:szCs w:val="24"/>
        </w:rPr>
      </w:pPr>
      <w:bookmarkStart w:id="93" w:name="_Toc4596036"/>
      <w:r>
        <w:rPr>
          <w:rFonts w:eastAsiaTheme="minorEastAsia"/>
          <w:sz w:val="24"/>
          <w:szCs w:val="24"/>
        </w:rPr>
        <w:t>5.7.2 规划原则</w:t>
      </w:r>
      <w:bookmarkEnd w:id="93"/>
    </w:p>
    <w:p w14:paraId="5D224E81">
      <w:pPr>
        <w:spacing w:line="360" w:lineRule="auto"/>
        <w:ind w:firstLine="480" w:firstLineChars="200"/>
        <w:jc w:val="left"/>
        <w:rPr>
          <w:sz w:val="24"/>
          <w:szCs w:val="24"/>
        </w:rPr>
      </w:pPr>
      <w:r>
        <w:rPr>
          <w:sz w:val="24"/>
          <w:szCs w:val="24"/>
        </w:rPr>
        <w:t>绿化可以净化空气，降低噪音，保护和美化环境，是化工园区规划的重要组成部分。规划足够绿化面积，以保证化工园区绿化率达到要求。满足国家有关安全卫生防护规范规定。合理均匀分布绿化用地，尽量保持原有林地，使化工园区所到之处均有绿地分布。</w:t>
      </w:r>
    </w:p>
    <w:p w14:paraId="3C9DC276">
      <w:pPr>
        <w:pStyle w:val="5"/>
        <w:spacing w:before="156" w:after="156"/>
        <w:rPr>
          <w:rFonts w:eastAsiaTheme="minorEastAsia"/>
          <w:sz w:val="24"/>
          <w:szCs w:val="24"/>
        </w:rPr>
      </w:pPr>
      <w:bookmarkStart w:id="94" w:name="_Toc4596037"/>
      <w:r>
        <w:rPr>
          <w:rFonts w:eastAsiaTheme="minorEastAsia"/>
          <w:sz w:val="24"/>
          <w:szCs w:val="24"/>
        </w:rPr>
        <w:t>5.7.3 绿化指标</w:t>
      </w:r>
      <w:bookmarkEnd w:id="94"/>
    </w:p>
    <w:p w14:paraId="2E5D6DD6">
      <w:pPr>
        <w:spacing w:line="360" w:lineRule="auto"/>
        <w:ind w:firstLine="480" w:firstLineChars="200"/>
        <w:jc w:val="left"/>
        <w:rPr>
          <w:sz w:val="24"/>
          <w:szCs w:val="24"/>
        </w:rPr>
      </w:pPr>
      <w:r>
        <w:rPr>
          <w:sz w:val="24"/>
          <w:szCs w:val="24"/>
        </w:rPr>
        <w:t>化工园区的道路两旁，除铺设管架和地下管道外全部进行绿化，化工园区生产防护绿地约占化工园区总面积的1.65%。化工园区工业企业进行总图布置时，新建绿化用地系数不得超过15%，在节约用地的同时，又可使化工园区环境优美。</w:t>
      </w:r>
    </w:p>
    <w:p w14:paraId="245619DC">
      <w:pPr>
        <w:pStyle w:val="5"/>
        <w:spacing w:before="156" w:after="156"/>
        <w:rPr>
          <w:rFonts w:eastAsiaTheme="minorEastAsia"/>
          <w:sz w:val="24"/>
          <w:szCs w:val="24"/>
        </w:rPr>
      </w:pPr>
      <w:bookmarkStart w:id="95" w:name="_Toc4596038"/>
      <w:r>
        <w:rPr>
          <w:rFonts w:eastAsiaTheme="minorEastAsia"/>
          <w:sz w:val="24"/>
          <w:szCs w:val="24"/>
        </w:rPr>
        <w:t>5.7.4 绿地系统规划布局</w:t>
      </w:r>
      <w:bookmarkEnd w:id="95"/>
    </w:p>
    <w:p w14:paraId="1FD6620A">
      <w:pPr>
        <w:spacing w:line="360" w:lineRule="auto"/>
        <w:ind w:firstLine="480" w:firstLineChars="200"/>
        <w:jc w:val="left"/>
        <w:rPr>
          <w:sz w:val="24"/>
          <w:szCs w:val="24"/>
        </w:rPr>
      </w:pPr>
      <w:r>
        <w:rPr>
          <w:sz w:val="24"/>
          <w:szCs w:val="24"/>
        </w:rPr>
        <w:t>化工园区内绿化规划主要为绿化防护隔离带，利用高压走廊</w:t>
      </w:r>
      <w:r>
        <w:rPr>
          <w:sz w:val="24"/>
          <w:szCs w:val="24"/>
          <w:u w:color="FFFFFF"/>
        </w:rPr>
        <w:t>、铁路线沿线</w:t>
      </w:r>
      <w:r>
        <w:rPr>
          <w:sz w:val="24"/>
          <w:szCs w:val="24"/>
        </w:rPr>
        <w:t>两侧设置集中绿地，作为本化工园区的景观绿地。道路绿化带包括化工园区内主干道两侧绿化带，以及行道树绿带和路侧绿带等绿化带。</w:t>
      </w:r>
    </w:p>
    <w:p w14:paraId="1C02ACF0">
      <w:pPr>
        <w:pStyle w:val="5"/>
        <w:spacing w:before="156" w:after="156"/>
        <w:rPr>
          <w:rFonts w:eastAsiaTheme="minorEastAsia"/>
          <w:sz w:val="24"/>
          <w:szCs w:val="24"/>
        </w:rPr>
      </w:pPr>
      <w:bookmarkStart w:id="96" w:name="_Toc4596039"/>
      <w:r>
        <w:rPr>
          <w:rFonts w:eastAsiaTheme="minorEastAsia"/>
          <w:sz w:val="24"/>
          <w:szCs w:val="24"/>
        </w:rPr>
        <w:t>5.7.5 绿化树种及配置方式</w:t>
      </w:r>
      <w:bookmarkEnd w:id="96"/>
    </w:p>
    <w:p w14:paraId="1CFFD5B7">
      <w:pPr>
        <w:spacing w:line="360" w:lineRule="auto"/>
        <w:ind w:firstLine="480" w:firstLineChars="200"/>
        <w:jc w:val="left"/>
        <w:rPr>
          <w:sz w:val="24"/>
          <w:szCs w:val="24"/>
        </w:rPr>
      </w:pPr>
      <w:r>
        <w:rPr>
          <w:sz w:val="24"/>
          <w:szCs w:val="24"/>
        </w:rPr>
        <w:t>（1）根据工厂生产特性、可能排放污染物的性质和污染程度，选择降噪和滞尘能力强及净化大气效果好的植物。</w:t>
      </w:r>
    </w:p>
    <w:p w14:paraId="352CABE5">
      <w:pPr>
        <w:spacing w:line="360" w:lineRule="auto"/>
        <w:ind w:firstLine="480" w:firstLineChars="200"/>
        <w:jc w:val="left"/>
        <w:rPr>
          <w:sz w:val="24"/>
          <w:szCs w:val="24"/>
        </w:rPr>
      </w:pPr>
      <w:r>
        <w:rPr>
          <w:sz w:val="24"/>
          <w:szCs w:val="24"/>
        </w:rPr>
        <w:t>（2）根据工厂防火、防爆及卫生要求，选择有利于安全生产的含水份多、蜡质少、无花絮的常绿植物。</w:t>
      </w:r>
    </w:p>
    <w:p w14:paraId="27BAF7D0">
      <w:pPr>
        <w:spacing w:line="360" w:lineRule="auto"/>
        <w:ind w:firstLine="480" w:firstLineChars="200"/>
        <w:jc w:val="left"/>
        <w:rPr>
          <w:sz w:val="24"/>
          <w:szCs w:val="24"/>
        </w:rPr>
      </w:pPr>
      <w:r>
        <w:rPr>
          <w:sz w:val="24"/>
          <w:szCs w:val="24"/>
        </w:rPr>
        <w:t>（3）根据美化环境的具体要求，选择长绿植物和观赏性植物；选择经济、实用、美观和来源可靠的苗木及生产地较近的乡土植物；选择易成活，病虫害少，耐修剪及养护管理方便的植物。行道树的树干应选择挺直、整齐、萌发力强的大（小）乔木为好。</w:t>
      </w:r>
    </w:p>
    <w:p w14:paraId="7F51460C">
      <w:pPr>
        <w:widowControl/>
        <w:jc w:val="left"/>
        <w:rPr>
          <w:b/>
          <w:sz w:val="32"/>
          <w:szCs w:val="32"/>
        </w:rPr>
      </w:pPr>
      <w:r>
        <w:rPr>
          <w:b/>
          <w:sz w:val="32"/>
          <w:szCs w:val="32"/>
        </w:rPr>
        <w:br w:type="page"/>
      </w:r>
    </w:p>
    <w:p w14:paraId="176C0773">
      <w:pPr>
        <w:spacing w:beforeLines="50" w:afterLines="50" w:line="360" w:lineRule="auto"/>
        <w:jc w:val="center"/>
        <w:outlineLvl w:val="0"/>
        <w:rPr>
          <w:b/>
          <w:sz w:val="32"/>
          <w:szCs w:val="32"/>
        </w:rPr>
      </w:pPr>
      <w:bookmarkStart w:id="97" w:name="_Toc30271"/>
      <w:r>
        <w:rPr>
          <w:b/>
          <w:sz w:val="32"/>
          <w:szCs w:val="32"/>
        </w:rPr>
        <w:t>6环境保护规划</w:t>
      </w:r>
      <w:bookmarkEnd w:id="76"/>
      <w:bookmarkEnd w:id="97"/>
    </w:p>
    <w:p w14:paraId="112B2E75">
      <w:pPr>
        <w:pStyle w:val="4"/>
        <w:spacing w:before="156" w:after="156"/>
        <w:rPr>
          <w:rFonts w:ascii="Times New Roman" w:hAnsi="Times New Roman"/>
          <w:sz w:val="24"/>
          <w:szCs w:val="24"/>
        </w:rPr>
      </w:pPr>
      <w:bookmarkStart w:id="98" w:name="_Toc451445062"/>
      <w:bookmarkStart w:id="99" w:name="_Toc1628643"/>
      <w:bookmarkStart w:id="100" w:name="_Toc6842"/>
      <w:r>
        <w:rPr>
          <w:rFonts w:ascii="Times New Roman" w:hAnsi="Times New Roman"/>
          <w:sz w:val="24"/>
          <w:szCs w:val="24"/>
        </w:rPr>
        <w:t>6.1环境质量控制依据</w:t>
      </w:r>
      <w:bookmarkEnd w:id="98"/>
      <w:bookmarkEnd w:id="99"/>
      <w:r>
        <w:rPr>
          <w:rFonts w:ascii="Times New Roman" w:hAnsi="Times New Roman"/>
          <w:sz w:val="24"/>
          <w:szCs w:val="24"/>
        </w:rPr>
        <w:t>和相关规划</w:t>
      </w:r>
      <w:bookmarkEnd w:id="100"/>
    </w:p>
    <w:p w14:paraId="2B135D50">
      <w:pPr>
        <w:widowControl/>
        <w:spacing w:line="360" w:lineRule="auto"/>
        <w:jc w:val="left"/>
        <w:rPr>
          <w:kern w:val="0"/>
          <w:sz w:val="24"/>
          <w:szCs w:val="24"/>
        </w:rPr>
      </w:pPr>
      <w:r>
        <w:rPr>
          <w:kern w:val="0"/>
          <w:sz w:val="24"/>
          <w:szCs w:val="24"/>
        </w:rPr>
        <w:t>(1)、《环境空气质量标准（GB3095-2012）》</w:t>
      </w:r>
    </w:p>
    <w:p w14:paraId="2AAB6C9C">
      <w:pPr>
        <w:widowControl/>
        <w:spacing w:line="360" w:lineRule="auto"/>
        <w:jc w:val="left"/>
        <w:rPr>
          <w:kern w:val="0"/>
          <w:sz w:val="24"/>
          <w:szCs w:val="24"/>
        </w:rPr>
      </w:pPr>
      <w:r>
        <w:rPr>
          <w:kern w:val="0"/>
          <w:sz w:val="24"/>
          <w:szCs w:val="24"/>
        </w:rPr>
        <w:t>(2)、《地表水环境质量标准（GB3838-2002）》</w:t>
      </w:r>
    </w:p>
    <w:p w14:paraId="2050AF31">
      <w:pPr>
        <w:widowControl/>
        <w:spacing w:line="360" w:lineRule="auto"/>
        <w:jc w:val="left"/>
        <w:rPr>
          <w:kern w:val="0"/>
          <w:sz w:val="24"/>
          <w:szCs w:val="24"/>
        </w:rPr>
      </w:pPr>
      <w:r>
        <w:rPr>
          <w:kern w:val="0"/>
          <w:sz w:val="24"/>
          <w:szCs w:val="24"/>
        </w:rPr>
        <w:t>(2)、《声环境质量标准（GB3096-2008）》</w:t>
      </w:r>
    </w:p>
    <w:p w14:paraId="2F7ECAE5">
      <w:pPr>
        <w:widowControl/>
        <w:spacing w:line="360" w:lineRule="auto"/>
        <w:jc w:val="left"/>
        <w:rPr>
          <w:kern w:val="0"/>
          <w:sz w:val="24"/>
          <w:szCs w:val="24"/>
        </w:rPr>
      </w:pPr>
      <w:r>
        <w:rPr>
          <w:kern w:val="0"/>
          <w:sz w:val="24"/>
          <w:szCs w:val="24"/>
        </w:rPr>
        <w:t>(3)、《大气污染物综合排放标准（GB16297-1996）》</w:t>
      </w:r>
    </w:p>
    <w:p w14:paraId="15C7CAC8">
      <w:pPr>
        <w:widowControl/>
        <w:spacing w:line="360" w:lineRule="auto"/>
        <w:jc w:val="left"/>
        <w:rPr>
          <w:kern w:val="0"/>
          <w:sz w:val="24"/>
          <w:szCs w:val="24"/>
        </w:rPr>
      </w:pPr>
      <w:r>
        <w:rPr>
          <w:kern w:val="0"/>
          <w:sz w:val="24"/>
          <w:szCs w:val="24"/>
        </w:rPr>
        <w:t>(4)、《锅炉大气污染物排放标准（GB13271-2001）》</w:t>
      </w:r>
    </w:p>
    <w:p w14:paraId="64722E15">
      <w:pPr>
        <w:widowControl/>
        <w:spacing w:line="360" w:lineRule="auto"/>
        <w:jc w:val="left"/>
        <w:rPr>
          <w:kern w:val="0"/>
          <w:sz w:val="24"/>
          <w:szCs w:val="24"/>
        </w:rPr>
      </w:pPr>
      <w:r>
        <w:rPr>
          <w:kern w:val="0"/>
          <w:sz w:val="24"/>
          <w:szCs w:val="24"/>
        </w:rPr>
        <w:t>(5)、《工业炉窑大气污染物排放标准（GB9078-1996）》</w:t>
      </w:r>
    </w:p>
    <w:p w14:paraId="3ECF37B3">
      <w:pPr>
        <w:widowControl/>
        <w:spacing w:line="360" w:lineRule="auto"/>
        <w:jc w:val="left"/>
        <w:rPr>
          <w:kern w:val="0"/>
          <w:sz w:val="24"/>
          <w:szCs w:val="24"/>
        </w:rPr>
      </w:pPr>
      <w:r>
        <w:rPr>
          <w:kern w:val="0"/>
          <w:sz w:val="24"/>
          <w:szCs w:val="24"/>
        </w:rPr>
        <w:t>(6)、《污水综合排放标准（GB8978-1996）》</w:t>
      </w:r>
    </w:p>
    <w:p w14:paraId="15E1A0A1">
      <w:pPr>
        <w:pStyle w:val="45"/>
        <w:widowControl/>
        <w:spacing w:line="360" w:lineRule="auto"/>
        <w:ind w:firstLine="0" w:firstLineChars="0"/>
        <w:jc w:val="left"/>
        <w:rPr>
          <w:kern w:val="0"/>
          <w:sz w:val="24"/>
          <w:szCs w:val="24"/>
        </w:rPr>
      </w:pPr>
      <w:r>
        <w:rPr>
          <w:kern w:val="0"/>
          <w:sz w:val="24"/>
          <w:szCs w:val="24"/>
        </w:rPr>
        <w:t>(7)、《工业企业厂界环境噪声排放标准（GB12348-2008）》</w:t>
      </w:r>
    </w:p>
    <w:p w14:paraId="11C13B18">
      <w:pPr>
        <w:pStyle w:val="45"/>
        <w:widowControl/>
        <w:spacing w:line="360" w:lineRule="auto"/>
        <w:ind w:firstLine="0" w:firstLineChars="0"/>
        <w:jc w:val="left"/>
        <w:rPr>
          <w:kern w:val="0"/>
          <w:sz w:val="24"/>
          <w:szCs w:val="24"/>
        </w:rPr>
      </w:pPr>
      <w:r>
        <w:rPr>
          <w:kern w:val="0"/>
          <w:sz w:val="24"/>
          <w:szCs w:val="24"/>
        </w:rPr>
        <w:t>(8)、</w:t>
      </w:r>
      <w:r>
        <w:rPr>
          <w:sz w:val="24"/>
          <w:szCs w:val="24"/>
        </w:rPr>
        <w:t>《重点流域水污染防治规划（2016-2020年）》</w:t>
      </w:r>
    </w:p>
    <w:p w14:paraId="2EB6A7BF">
      <w:pPr>
        <w:pStyle w:val="45"/>
        <w:widowControl/>
        <w:spacing w:line="360" w:lineRule="auto"/>
        <w:ind w:firstLine="0" w:firstLineChars="0"/>
        <w:jc w:val="left"/>
        <w:rPr>
          <w:kern w:val="0"/>
          <w:sz w:val="24"/>
          <w:szCs w:val="24"/>
        </w:rPr>
      </w:pPr>
      <w:r>
        <w:rPr>
          <w:kern w:val="0"/>
          <w:sz w:val="24"/>
          <w:szCs w:val="24"/>
        </w:rPr>
        <w:t>(8)、</w:t>
      </w:r>
      <w:r>
        <w:rPr>
          <w:sz w:val="24"/>
          <w:szCs w:val="24"/>
        </w:rPr>
        <w:t>《大气污染防治行动计划》</w:t>
      </w:r>
    </w:p>
    <w:p w14:paraId="670E3BBD">
      <w:pPr>
        <w:pStyle w:val="45"/>
        <w:widowControl/>
        <w:spacing w:line="360" w:lineRule="auto"/>
        <w:ind w:firstLine="0" w:firstLineChars="0"/>
        <w:jc w:val="left"/>
        <w:rPr>
          <w:kern w:val="0"/>
          <w:sz w:val="24"/>
          <w:szCs w:val="24"/>
        </w:rPr>
      </w:pPr>
      <w:r>
        <w:rPr>
          <w:kern w:val="0"/>
          <w:sz w:val="24"/>
          <w:szCs w:val="24"/>
        </w:rPr>
        <w:t>(9)、</w:t>
      </w:r>
      <w:r>
        <w:rPr>
          <w:sz w:val="24"/>
          <w:szCs w:val="24"/>
        </w:rPr>
        <w:t>《水污染防治行动计划》</w:t>
      </w:r>
    </w:p>
    <w:p w14:paraId="7F11087F">
      <w:pPr>
        <w:pStyle w:val="45"/>
        <w:widowControl/>
        <w:spacing w:line="360" w:lineRule="auto"/>
        <w:ind w:firstLine="0" w:firstLineChars="0"/>
        <w:jc w:val="left"/>
        <w:rPr>
          <w:kern w:val="0"/>
          <w:sz w:val="24"/>
          <w:szCs w:val="24"/>
        </w:rPr>
      </w:pPr>
      <w:r>
        <w:rPr>
          <w:kern w:val="0"/>
          <w:sz w:val="24"/>
          <w:szCs w:val="24"/>
        </w:rPr>
        <w:t>(10)、</w:t>
      </w:r>
      <w:r>
        <w:rPr>
          <w:sz w:val="24"/>
          <w:szCs w:val="24"/>
        </w:rPr>
        <w:t>《土壤污染防治行动计划》</w:t>
      </w:r>
    </w:p>
    <w:p w14:paraId="3F04BBE9">
      <w:pPr>
        <w:pStyle w:val="45"/>
        <w:widowControl/>
        <w:spacing w:line="360" w:lineRule="auto"/>
        <w:ind w:firstLine="0" w:firstLineChars="0"/>
        <w:jc w:val="left"/>
        <w:rPr>
          <w:kern w:val="0"/>
          <w:sz w:val="24"/>
          <w:szCs w:val="24"/>
        </w:rPr>
      </w:pPr>
      <w:r>
        <w:rPr>
          <w:kern w:val="0"/>
          <w:sz w:val="24"/>
          <w:szCs w:val="24"/>
        </w:rPr>
        <w:t>(11)、</w:t>
      </w:r>
      <w:r>
        <w:rPr>
          <w:sz w:val="24"/>
          <w:szCs w:val="24"/>
        </w:rPr>
        <w:t>《长三角地区2020-2021年秋冬季大气污染综合治理攻坚行动方案》</w:t>
      </w:r>
    </w:p>
    <w:p w14:paraId="35056B01">
      <w:pPr>
        <w:pStyle w:val="45"/>
        <w:widowControl/>
        <w:spacing w:line="360" w:lineRule="auto"/>
        <w:ind w:firstLine="0" w:firstLineChars="0"/>
        <w:jc w:val="left"/>
        <w:rPr>
          <w:kern w:val="0"/>
          <w:sz w:val="24"/>
          <w:szCs w:val="24"/>
        </w:rPr>
      </w:pPr>
      <w:r>
        <w:rPr>
          <w:kern w:val="0"/>
          <w:sz w:val="24"/>
          <w:szCs w:val="24"/>
        </w:rPr>
        <w:t>(12)、</w:t>
      </w:r>
      <w:r>
        <w:rPr>
          <w:sz w:val="24"/>
          <w:szCs w:val="24"/>
        </w:rPr>
        <w:t>《打赢蓝天保卫战三年行动计划》</w:t>
      </w:r>
    </w:p>
    <w:p w14:paraId="1BE6C6E6">
      <w:pPr>
        <w:pStyle w:val="45"/>
        <w:widowControl/>
        <w:spacing w:line="360" w:lineRule="auto"/>
        <w:ind w:firstLine="0" w:firstLineChars="0"/>
        <w:jc w:val="left"/>
        <w:rPr>
          <w:kern w:val="0"/>
          <w:sz w:val="24"/>
          <w:szCs w:val="24"/>
        </w:rPr>
      </w:pPr>
      <w:bookmarkStart w:id="101" w:name="_Hlk5462429"/>
      <w:r>
        <w:rPr>
          <w:kern w:val="0"/>
          <w:sz w:val="24"/>
          <w:szCs w:val="24"/>
        </w:rPr>
        <w:t>(13)、</w:t>
      </w:r>
      <w:r>
        <w:rPr>
          <w:sz w:val="24"/>
          <w:szCs w:val="24"/>
        </w:rPr>
        <w:t>《安徽省生态保护红线划定方案》</w:t>
      </w:r>
      <w:bookmarkEnd w:id="101"/>
    </w:p>
    <w:p w14:paraId="4B9580DA">
      <w:pPr>
        <w:pStyle w:val="45"/>
        <w:widowControl/>
        <w:spacing w:line="360" w:lineRule="auto"/>
        <w:ind w:firstLine="0" w:firstLineChars="0"/>
        <w:jc w:val="left"/>
        <w:rPr>
          <w:sz w:val="24"/>
        </w:rPr>
      </w:pPr>
      <w:r>
        <w:rPr>
          <w:kern w:val="0"/>
          <w:sz w:val="24"/>
          <w:szCs w:val="24"/>
        </w:rPr>
        <w:t>(14)、</w:t>
      </w:r>
      <w:r>
        <w:rPr>
          <w:sz w:val="24"/>
        </w:rPr>
        <w:t>淮南市环境环保局《关于</w:t>
      </w:r>
      <w:r>
        <w:rPr>
          <w:kern w:val="0"/>
          <w:sz w:val="24"/>
        </w:rPr>
        <w:t>淮南经济技术开发区化工园区</w:t>
      </w:r>
      <w:r>
        <w:rPr>
          <w:sz w:val="24"/>
        </w:rPr>
        <w:t>环境影响评价标准确认函》；</w:t>
      </w:r>
    </w:p>
    <w:p w14:paraId="3E3457AB">
      <w:pPr>
        <w:spacing w:line="360" w:lineRule="auto"/>
        <w:outlineLvl w:val="2"/>
        <w:rPr>
          <w:b/>
          <w:sz w:val="24"/>
        </w:rPr>
      </w:pPr>
      <w:r>
        <w:rPr>
          <w:bCs/>
          <w:sz w:val="24"/>
        </w:rPr>
        <w:t>（15）、与本规划相关的规划主要包括城市发展规划、行业发展规划、产业政策及环境保护规划。具体见表6.1-1：</w:t>
      </w:r>
    </w:p>
    <w:p w14:paraId="21ADE78B">
      <w:pPr>
        <w:spacing w:line="360" w:lineRule="auto"/>
        <w:outlineLvl w:val="2"/>
        <w:rPr>
          <w:b/>
          <w:szCs w:val="21"/>
        </w:rPr>
      </w:pPr>
      <w:r>
        <w:rPr>
          <w:b/>
          <w:szCs w:val="21"/>
        </w:rPr>
        <w:t>表6.1-1 规划分析主要</w:t>
      </w:r>
      <w:r>
        <w:rPr>
          <w:rFonts w:hint="eastAsia"/>
          <w:b/>
          <w:szCs w:val="21"/>
          <w:lang w:eastAsia="zh-CN"/>
        </w:rPr>
        <w:t>涉及</w:t>
      </w:r>
      <w:r>
        <w:rPr>
          <w:b/>
          <w:szCs w:val="21"/>
        </w:rPr>
        <w:t>的规划和条例</w:t>
      </w:r>
    </w:p>
    <w:tbl>
      <w:tblPr>
        <w:tblStyle w:val="26"/>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6692"/>
      </w:tblGrid>
      <w:tr w14:paraId="2033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3A104809">
            <w:pPr>
              <w:spacing w:line="360" w:lineRule="auto"/>
              <w:jc w:val="center"/>
              <w:outlineLvl w:val="2"/>
              <w:rPr>
                <w:bCs/>
                <w:szCs w:val="21"/>
              </w:rPr>
            </w:pPr>
            <w:r>
              <w:rPr>
                <w:bCs/>
                <w:szCs w:val="21"/>
              </w:rPr>
              <w:t>序号</w:t>
            </w:r>
          </w:p>
        </w:tc>
        <w:tc>
          <w:tcPr>
            <w:tcW w:w="6692" w:type="dxa"/>
            <w:vAlign w:val="center"/>
          </w:tcPr>
          <w:p w14:paraId="1CC696F3">
            <w:pPr>
              <w:spacing w:line="360" w:lineRule="auto"/>
              <w:jc w:val="center"/>
              <w:outlineLvl w:val="2"/>
              <w:rPr>
                <w:bCs/>
                <w:szCs w:val="21"/>
              </w:rPr>
            </w:pPr>
            <w:r>
              <w:rPr>
                <w:bCs/>
                <w:szCs w:val="21"/>
              </w:rPr>
              <w:t>相关规划</w:t>
            </w:r>
          </w:p>
        </w:tc>
      </w:tr>
      <w:tr w14:paraId="6E8D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0390C095">
            <w:pPr>
              <w:spacing w:line="360" w:lineRule="auto"/>
              <w:jc w:val="center"/>
              <w:outlineLvl w:val="2"/>
              <w:rPr>
                <w:bCs/>
                <w:szCs w:val="21"/>
              </w:rPr>
            </w:pPr>
            <w:r>
              <w:rPr>
                <w:bCs/>
                <w:szCs w:val="21"/>
              </w:rPr>
              <w:t>1</w:t>
            </w:r>
          </w:p>
        </w:tc>
        <w:tc>
          <w:tcPr>
            <w:tcW w:w="6692" w:type="dxa"/>
            <w:vAlign w:val="center"/>
          </w:tcPr>
          <w:p w14:paraId="67409460">
            <w:pPr>
              <w:spacing w:line="360" w:lineRule="auto"/>
              <w:jc w:val="center"/>
              <w:outlineLvl w:val="2"/>
              <w:rPr>
                <w:bCs/>
                <w:szCs w:val="21"/>
              </w:rPr>
            </w:pPr>
            <w:r>
              <w:rPr>
                <w:bCs/>
                <w:szCs w:val="21"/>
              </w:rPr>
              <w:t>安徽省国民经济和社会发展第十三个五年规划纲要(2016—2020年)</w:t>
            </w:r>
          </w:p>
        </w:tc>
      </w:tr>
      <w:tr w14:paraId="6C6C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88" w:type="dxa"/>
            <w:vAlign w:val="center"/>
          </w:tcPr>
          <w:p w14:paraId="44BD2BDB">
            <w:pPr>
              <w:spacing w:line="360" w:lineRule="auto"/>
              <w:jc w:val="center"/>
              <w:outlineLvl w:val="2"/>
              <w:rPr>
                <w:bCs/>
                <w:szCs w:val="21"/>
              </w:rPr>
            </w:pPr>
            <w:r>
              <w:rPr>
                <w:bCs/>
                <w:szCs w:val="21"/>
              </w:rPr>
              <w:t>2</w:t>
            </w:r>
          </w:p>
        </w:tc>
        <w:tc>
          <w:tcPr>
            <w:tcW w:w="6692" w:type="dxa"/>
            <w:vAlign w:val="center"/>
          </w:tcPr>
          <w:p w14:paraId="310FBCF7">
            <w:pPr>
              <w:spacing w:line="360" w:lineRule="auto"/>
              <w:jc w:val="center"/>
              <w:outlineLvl w:val="2"/>
              <w:rPr>
                <w:bCs/>
                <w:szCs w:val="21"/>
              </w:rPr>
            </w:pPr>
            <w:r>
              <w:rPr>
                <w:bCs/>
                <w:szCs w:val="21"/>
              </w:rPr>
              <w:t>淮南市国民经济和社会发展第十三个五年规划纲要</w:t>
            </w:r>
          </w:p>
        </w:tc>
      </w:tr>
      <w:tr w14:paraId="135E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388" w:type="dxa"/>
            <w:vAlign w:val="center"/>
          </w:tcPr>
          <w:p w14:paraId="246E95E4">
            <w:pPr>
              <w:spacing w:line="360" w:lineRule="auto"/>
              <w:jc w:val="center"/>
              <w:outlineLvl w:val="2"/>
              <w:rPr>
                <w:bCs/>
                <w:szCs w:val="21"/>
              </w:rPr>
            </w:pPr>
            <w:r>
              <w:rPr>
                <w:bCs/>
                <w:szCs w:val="21"/>
              </w:rPr>
              <w:t>3</w:t>
            </w:r>
          </w:p>
        </w:tc>
        <w:tc>
          <w:tcPr>
            <w:tcW w:w="6692" w:type="dxa"/>
            <w:vAlign w:val="center"/>
          </w:tcPr>
          <w:p w14:paraId="491BEB71">
            <w:pPr>
              <w:spacing w:line="360" w:lineRule="auto"/>
              <w:jc w:val="center"/>
              <w:outlineLvl w:val="2"/>
              <w:rPr>
                <w:bCs/>
                <w:szCs w:val="21"/>
              </w:rPr>
            </w:pPr>
            <w:r>
              <w:rPr>
                <w:bCs/>
                <w:szCs w:val="21"/>
              </w:rPr>
              <w:t>安徽省“十三五”生态保护与建设规划</w:t>
            </w:r>
          </w:p>
        </w:tc>
      </w:tr>
      <w:tr w14:paraId="0C38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388" w:type="dxa"/>
            <w:vAlign w:val="center"/>
          </w:tcPr>
          <w:p w14:paraId="194318DC">
            <w:pPr>
              <w:spacing w:line="360" w:lineRule="auto"/>
              <w:jc w:val="center"/>
              <w:outlineLvl w:val="2"/>
              <w:rPr>
                <w:bCs/>
                <w:szCs w:val="21"/>
              </w:rPr>
            </w:pPr>
            <w:r>
              <w:rPr>
                <w:bCs/>
                <w:szCs w:val="21"/>
              </w:rPr>
              <w:t>4</w:t>
            </w:r>
          </w:p>
        </w:tc>
        <w:tc>
          <w:tcPr>
            <w:tcW w:w="6692" w:type="dxa"/>
            <w:vAlign w:val="center"/>
          </w:tcPr>
          <w:p w14:paraId="74A1388E">
            <w:pPr>
              <w:widowControl/>
              <w:spacing w:line="360" w:lineRule="auto"/>
              <w:jc w:val="center"/>
              <w:rPr>
                <w:bCs/>
                <w:szCs w:val="21"/>
              </w:rPr>
            </w:pPr>
            <w:r>
              <w:rPr>
                <w:bCs/>
                <w:szCs w:val="21"/>
              </w:rPr>
              <w:t>安徽省“十三五”环境保护规划</w:t>
            </w:r>
          </w:p>
        </w:tc>
      </w:tr>
      <w:tr w14:paraId="2FED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0CD57037">
            <w:pPr>
              <w:spacing w:line="360" w:lineRule="auto"/>
              <w:jc w:val="center"/>
              <w:outlineLvl w:val="2"/>
              <w:rPr>
                <w:bCs/>
                <w:szCs w:val="21"/>
              </w:rPr>
            </w:pPr>
            <w:r>
              <w:rPr>
                <w:bCs/>
                <w:szCs w:val="21"/>
              </w:rPr>
              <w:t>5</w:t>
            </w:r>
          </w:p>
        </w:tc>
        <w:tc>
          <w:tcPr>
            <w:tcW w:w="6692" w:type="dxa"/>
            <w:vAlign w:val="center"/>
          </w:tcPr>
          <w:p w14:paraId="525014F7">
            <w:pPr>
              <w:spacing w:line="360" w:lineRule="auto"/>
              <w:jc w:val="center"/>
              <w:outlineLvl w:val="2"/>
              <w:rPr>
                <w:bCs/>
                <w:szCs w:val="21"/>
              </w:rPr>
            </w:pPr>
            <w:r>
              <w:rPr>
                <w:bCs/>
                <w:szCs w:val="21"/>
              </w:rPr>
              <w:t>重点流域水污染防治规划</w:t>
            </w:r>
          </w:p>
        </w:tc>
      </w:tr>
      <w:tr w14:paraId="34B5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3ADA8106">
            <w:pPr>
              <w:spacing w:line="360" w:lineRule="auto"/>
              <w:jc w:val="center"/>
              <w:outlineLvl w:val="2"/>
              <w:rPr>
                <w:bCs/>
                <w:szCs w:val="21"/>
              </w:rPr>
            </w:pPr>
            <w:r>
              <w:rPr>
                <w:bCs/>
                <w:szCs w:val="21"/>
              </w:rPr>
              <w:t>6</w:t>
            </w:r>
          </w:p>
        </w:tc>
        <w:tc>
          <w:tcPr>
            <w:tcW w:w="6692" w:type="dxa"/>
            <w:vAlign w:val="center"/>
          </w:tcPr>
          <w:p w14:paraId="7D96A01B">
            <w:pPr>
              <w:spacing w:line="360" w:lineRule="auto"/>
              <w:jc w:val="center"/>
              <w:outlineLvl w:val="2"/>
              <w:rPr>
                <w:bCs/>
                <w:szCs w:val="21"/>
              </w:rPr>
            </w:pPr>
            <w:r>
              <w:rPr>
                <w:bCs/>
                <w:szCs w:val="21"/>
              </w:rPr>
              <w:t>安徽省水污染防治工作方案</w:t>
            </w:r>
          </w:p>
        </w:tc>
      </w:tr>
      <w:tr w14:paraId="14E13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28425F3C">
            <w:pPr>
              <w:spacing w:line="360" w:lineRule="auto"/>
              <w:jc w:val="center"/>
              <w:outlineLvl w:val="2"/>
              <w:rPr>
                <w:bCs/>
                <w:szCs w:val="21"/>
              </w:rPr>
            </w:pPr>
            <w:r>
              <w:rPr>
                <w:bCs/>
                <w:szCs w:val="21"/>
              </w:rPr>
              <w:t>7</w:t>
            </w:r>
          </w:p>
        </w:tc>
        <w:tc>
          <w:tcPr>
            <w:tcW w:w="6692" w:type="dxa"/>
            <w:vAlign w:val="center"/>
          </w:tcPr>
          <w:p w14:paraId="36B39DC8">
            <w:pPr>
              <w:spacing w:line="360" w:lineRule="auto"/>
              <w:jc w:val="center"/>
              <w:outlineLvl w:val="2"/>
              <w:rPr>
                <w:bCs/>
                <w:szCs w:val="21"/>
              </w:rPr>
            </w:pPr>
            <w:r>
              <w:rPr>
                <w:bCs/>
                <w:szCs w:val="21"/>
              </w:rPr>
              <w:t>《淮南市城市总体规划》(2010－2020年)</w:t>
            </w:r>
          </w:p>
        </w:tc>
      </w:tr>
      <w:tr w14:paraId="42D5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1E3C0053">
            <w:pPr>
              <w:spacing w:line="360" w:lineRule="auto"/>
              <w:jc w:val="center"/>
              <w:outlineLvl w:val="2"/>
              <w:rPr>
                <w:bCs/>
                <w:szCs w:val="21"/>
              </w:rPr>
            </w:pPr>
            <w:r>
              <w:rPr>
                <w:bCs/>
                <w:szCs w:val="21"/>
              </w:rPr>
              <w:t>8</w:t>
            </w:r>
          </w:p>
        </w:tc>
        <w:tc>
          <w:tcPr>
            <w:tcW w:w="6692" w:type="dxa"/>
            <w:vAlign w:val="center"/>
          </w:tcPr>
          <w:p w14:paraId="455C17FB">
            <w:pPr>
              <w:spacing w:line="360" w:lineRule="auto"/>
              <w:jc w:val="center"/>
              <w:outlineLvl w:val="2"/>
              <w:rPr>
                <w:bCs/>
                <w:szCs w:val="21"/>
              </w:rPr>
            </w:pPr>
            <w:r>
              <w:rPr>
                <w:bCs/>
                <w:szCs w:val="21"/>
              </w:rPr>
              <w:t>《淮南经济技术开发区总体规划》(2015－2020年)</w:t>
            </w:r>
          </w:p>
        </w:tc>
      </w:tr>
      <w:tr w14:paraId="580A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4C62BD52">
            <w:pPr>
              <w:spacing w:line="360" w:lineRule="auto"/>
              <w:jc w:val="center"/>
              <w:outlineLvl w:val="2"/>
              <w:rPr>
                <w:bCs/>
                <w:szCs w:val="21"/>
              </w:rPr>
            </w:pPr>
            <w:r>
              <w:rPr>
                <w:bCs/>
                <w:szCs w:val="21"/>
              </w:rPr>
              <w:t>9</w:t>
            </w:r>
          </w:p>
        </w:tc>
        <w:tc>
          <w:tcPr>
            <w:tcW w:w="6692" w:type="dxa"/>
            <w:vAlign w:val="center"/>
          </w:tcPr>
          <w:p w14:paraId="22F0ACA1">
            <w:pPr>
              <w:spacing w:line="360" w:lineRule="auto"/>
              <w:jc w:val="center"/>
              <w:outlineLvl w:val="2"/>
              <w:rPr>
                <w:bCs/>
                <w:szCs w:val="21"/>
              </w:rPr>
            </w:pPr>
            <w:r>
              <w:rPr>
                <w:bCs/>
                <w:smallCaps/>
                <w:szCs w:val="21"/>
              </w:rPr>
              <w:t>淮南市土地利用总体规划</w:t>
            </w:r>
          </w:p>
        </w:tc>
      </w:tr>
      <w:tr w14:paraId="7B08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388" w:type="dxa"/>
            <w:vAlign w:val="center"/>
          </w:tcPr>
          <w:p w14:paraId="315B1A0A">
            <w:pPr>
              <w:spacing w:line="360" w:lineRule="auto"/>
              <w:jc w:val="center"/>
              <w:outlineLvl w:val="2"/>
              <w:rPr>
                <w:bCs/>
                <w:szCs w:val="21"/>
              </w:rPr>
            </w:pPr>
            <w:r>
              <w:rPr>
                <w:bCs/>
                <w:szCs w:val="21"/>
              </w:rPr>
              <w:t>10</w:t>
            </w:r>
          </w:p>
        </w:tc>
        <w:tc>
          <w:tcPr>
            <w:tcW w:w="6692" w:type="dxa"/>
            <w:vAlign w:val="center"/>
          </w:tcPr>
          <w:p w14:paraId="5C244DDA">
            <w:pPr>
              <w:spacing w:line="360" w:lineRule="auto"/>
              <w:jc w:val="center"/>
              <w:outlineLvl w:val="2"/>
              <w:rPr>
                <w:bCs/>
                <w:szCs w:val="21"/>
              </w:rPr>
            </w:pPr>
            <w:r>
              <w:rPr>
                <w:bCs/>
                <w:smallCaps/>
                <w:szCs w:val="21"/>
              </w:rPr>
              <w:t>淮南经济技术开发区土地利用总体规划</w:t>
            </w:r>
          </w:p>
        </w:tc>
      </w:tr>
      <w:tr w14:paraId="6C7A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88" w:type="dxa"/>
            <w:vAlign w:val="center"/>
          </w:tcPr>
          <w:p w14:paraId="2A958571">
            <w:pPr>
              <w:spacing w:line="360" w:lineRule="auto"/>
              <w:jc w:val="center"/>
              <w:outlineLvl w:val="2"/>
              <w:rPr>
                <w:bCs/>
                <w:szCs w:val="21"/>
              </w:rPr>
            </w:pPr>
            <w:r>
              <w:rPr>
                <w:bCs/>
                <w:szCs w:val="21"/>
              </w:rPr>
              <w:t>11</w:t>
            </w:r>
          </w:p>
        </w:tc>
        <w:tc>
          <w:tcPr>
            <w:tcW w:w="6692" w:type="dxa"/>
            <w:vAlign w:val="center"/>
          </w:tcPr>
          <w:p w14:paraId="6E7657A9">
            <w:pPr>
              <w:spacing w:line="360" w:lineRule="auto"/>
              <w:jc w:val="center"/>
              <w:outlineLvl w:val="2"/>
              <w:rPr>
                <w:bCs/>
                <w:szCs w:val="21"/>
              </w:rPr>
            </w:pPr>
            <w:r>
              <w:rPr>
                <w:bCs/>
                <w:szCs w:val="21"/>
              </w:rPr>
              <w:t>安徽省淮河流域水污染防治条例</w:t>
            </w:r>
          </w:p>
        </w:tc>
      </w:tr>
    </w:tbl>
    <w:p w14:paraId="4C210D86">
      <w:pPr>
        <w:pStyle w:val="4"/>
        <w:spacing w:before="156" w:after="156"/>
        <w:rPr>
          <w:rFonts w:ascii="Times New Roman" w:hAnsi="Times New Roman"/>
          <w:sz w:val="24"/>
          <w:szCs w:val="24"/>
        </w:rPr>
      </w:pPr>
      <w:bookmarkStart w:id="102" w:name="_Toc3783"/>
      <w:bookmarkStart w:id="103" w:name="_Toc1628644"/>
      <w:bookmarkStart w:id="104" w:name="_Toc451445063"/>
      <w:r>
        <w:rPr>
          <w:rFonts w:ascii="Times New Roman" w:hAnsi="Times New Roman"/>
          <w:sz w:val="24"/>
          <w:szCs w:val="24"/>
        </w:rPr>
        <w:t>6.2环境保护目标</w:t>
      </w:r>
      <w:bookmarkEnd w:id="102"/>
      <w:bookmarkEnd w:id="103"/>
      <w:bookmarkEnd w:id="104"/>
    </w:p>
    <w:p w14:paraId="1DDC2AB8">
      <w:pPr>
        <w:spacing w:line="360" w:lineRule="auto"/>
        <w:rPr>
          <w:sz w:val="24"/>
        </w:rPr>
      </w:pPr>
      <w:r>
        <w:rPr>
          <w:sz w:val="24"/>
        </w:rPr>
        <w:t>6.2.1</w:t>
      </w:r>
      <w:r>
        <w:rPr>
          <w:b/>
          <w:sz w:val="24"/>
          <w:szCs w:val="24"/>
        </w:rPr>
        <w:t>环境规划范围</w:t>
      </w:r>
    </w:p>
    <w:p w14:paraId="57B8D335">
      <w:pPr>
        <w:spacing w:line="360" w:lineRule="auto"/>
        <w:ind w:firstLine="480"/>
        <w:rPr>
          <w:sz w:val="24"/>
        </w:rPr>
      </w:pPr>
      <w:r>
        <w:rPr>
          <w:sz w:val="24"/>
        </w:rPr>
        <w:t>(1)空气环境</w:t>
      </w:r>
    </w:p>
    <w:p w14:paraId="3D992676">
      <w:pPr>
        <w:spacing w:line="360" w:lineRule="auto"/>
        <w:ind w:firstLine="480"/>
        <w:rPr>
          <w:sz w:val="24"/>
        </w:rPr>
      </w:pPr>
      <w:r>
        <w:rPr>
          <w:sz w:val="24"/>
        </w:rPr>
        <w:t>环境空气质量规划主要根据区域常年主导风向及规划区周围环境空气敏感点来确定，本次环境空气评价范围为以</w:t>
      </w:r>
      <w:r>
        <w:rPr>
          <w:kern w:val="0"/>
          <w:sz w:val="24"/>
        </w:rPr>
        <w:t>淮南经开化工园区</w:t>
      </w:r>
      <w:r>
        <w:rPr>
          <w:sz w:val="24"/>
        </w:rPr>
        <w:t>边界向外扩2.5km的矩形范围。</w:t>
      </w:r>
    </w:p>
    <w:p w14:paraId="2858773E">
      <w:pPr>
        <w:spacing w:line="360" w:lineRule="auto"/>
        <w:ind w:firstLine="480"/>
        <w:rPr>
          <w:sz w:val="24"/>
        </w:rPr>
      </w:pPr>
      <w:r>
        <w:rPr>
          <w:sz w:val="24"/>
        </w:rPr>
        <w:t>(2)水环境</w:t>
      </w:r>
    </w:p>
    <w:p w14:paraId="7106751B">
      <w:pPr>
        <w:spacing w:line="360" w:lineRule="auto"/>
        <w:ind w:firstLine="480"/>
        <w:rPr>
          <w:sz w:val="24"/>
        </w:rPr>
      </w:pPr>
      <w:r>
        <w:rPr>
          <w:sz w:val="24"/>
        </w:rPr>
        <w:t>本次水环境规划范围为淮南经济技术开发区污水处理厂入淮河排污口上游500米，污水处理厂入淮河排污口下游500米，污水处理厂入淮河排污口下游4500米。</w:t>
      </w:r>
    </w:p>
    <w:p w14:paraId="730DDA2E">
      <w:pPr>
        <w:spacing w:line="360" w:lineRule="auto"/>
        <w:ind w:firstLine="480"/>
        <w:rPr>
          <w:sz w:val="24"/>
        </w:rPr>
      </w:pPr>
      <w:r>
        <w:rPr>
          <w:sz w:val="24"/>
        </w:rPr>
        <w:t>(3)地下水环境</w:t>
      </w:r>
    </w:p>
    <w:p w14:paraId="2C5362AC">
      <w:pPr>
        <w:spacing w:line="360" w:lineRule="auto"/>
        <w:ind w:firstLine="480"/>
        <w:rPr>
          <w:sz w:val="24"/>
        </w:rPr>
      </w:pPr>
      <w:r>
        <w:rPr>
          <w:sz w:val="24"/>
        </w:rPr>
        <w:t>对照《环境影响评价技术导则-地下水环境》（HJ610-2016）。由于区域内的地下水流向基本上是从西南向东北走向，地下水规划范围以化工园区所在区域6 -20km</w:t>
      </w:r>
      <w:r>
        <w:rPr>
          <w:sz w:val="24"/>
          <w:vertAlign w:val="superscript"/>
        </w:rPr>
        <w:t>2</w:t>
      </w:r>
      <w:r>
        <w:rPr>
          <w:sz w:val="24"/>
        </w:rPr>
        <w:t>范围。</w:t>
      </w:r>
    </w:p>
    <w:p w14:paraId="2CE6ACF5">
      <w:pPr>
        <w:spacing w:line="360" w:lineRule="auto"/>
        <w:ind w:firstLine="480"/>
        <w:rPr>
          <w:sz w:val="24"/>
        </w:rPr>
      </w:pPr>
      <w:r>
        <w:rPr>
          <w:sz w:val="24"/>
        </w:rPr>
        <w:t>(4)声环境</w:t>
      </w:r>
    </w:p>
    <w:p w14:paraId="708C6F21">
      <w:pPr>
        <w:spacing w:line="360" w:lineRule="auto"/>
        <w:ind w:firstLine="480"/>
        <w:rPr>
          <w:sz w:val="24"/>
        </w:rPr>
      </w:pPr>
      <w:r>
        <w:rPr>
          <w:sz w:val="24"/>
        </w:rPr>
        <w:t>根据开发区规划主导产业的噪声污染源状况以及《环境影响评价技术导则－声环境》（HJ 2.4-2009）的规定，确定声环境规划范围为规划区及周边200 m范围内。</w:t>
      </w:r>
    </w:p>
    <w:p w14:paraId="541631F3">
      <w:pPr>
        <w:spacing w:line="360" w:lineRule="auto"/>
        <w:ind w:firstLine="480"/>
        <w:rPr>
          <w:sz w:val="24"/>
        </w:rPr>
      </w:pPr>
      <w:r>
        <w:rPr>
          <w:sz w:val="24"/>
        </w:rPr>
        <w:t>(5)生态环境</w:t>
      </w:r>
    </w:p>
    <w:p w14:paraId="5EDBBCBF">
      <w:pPr>
        <w:spacing w:line="360" w:lineRule="auto"/>
        <w:ind w:firstLine="480"/>
        <w:rPr>
          <w:sz w:val="24"/>
        </w:rPr>
      </w:pPr>
      <w:r>
        <w:rPr>
          <w:sz w:val="24"/>
        </w:rPr>
        <w:t>根据《环境影响评价技术导则－生态影响》(HJ19-2011)和区域环境现状，确定生态环境评价等级为影响分析。</w:t>
      </w:r>
    </w:p>
    <w:p w14:paraId="682A4CF3">
      <w:pPr>
        <w:spacing w:line="360" w:lineRule="auto"/>
        <w:ind w:firstLine="480"/>
        <w:rPr>
          <w:sz w:val="24"/>
        </w:rPr>
      </w:pPr>
      <w:r>
        <w:rPr>
          <w:sz w:val="24"/>
        </w:rPr>
        <w:t>规划范围：规划区用地范围内及周边受影响的区域，化工园区范围外扩1km。</w:t>
      </w:r>
    </w:p>
    <w:p w14:paraId="48CF2AB9">
      <w:pPr>
        <w:spacing w:line="360" w:lineRule="auto"/>
        <w:ind w:firstLine="480"/>
        <w:rPr>
          <w:sz w:val="24"/>
        </w:rPr>
      </w:pPr>
      <w:r>
        <w:rPr>
          <w:sz w:val="24"/>
        </w:rPr>
        <w:t>(6)环境风险</w:t>
      </w:r>
    </w:p>
    <w:p w14:paraId="2886CF4A">
      <w:pPr>
        <w:spacing w:line="360" w:lineRule="auto"/>
        <w:ind w:firstLine="480"/>
        <w:rPr>
          <w:sz w:val="24"/>
        </w:rPr>
      </w:pPr>
      <w:r>
        <w:rPr>
          <w:sz w:val="24"/>
        </w:rPr>
        <w:t>环境风险评价的范围为规划区用地范围：</w:t>
      </w:r>
      <w:r>
        <w:rPr>
          <w:kern w:val="0"/>
          <w:sz w:val="24"/>
        </w:rPr>
        <w:t>淮南经开化工园区</w:t>
      </w:r>
      <w:r>
        <w:rPr>
          <w:sz w:val="24"/>
        </w:rPr>
        <w:t>周边5km。</w:t>
      </w:r>
    </w:p>
    <w:p w14:paraId="1DC6211E">
      <w:pPr>
        <w:pStyle w:val="56"/>
        <w:topLinePunct/>
        <w:autoSpaceDE w:val="0"/>
        <w:autoSpaceDN w:val="0"/>
        <w:adjustRightInd w:val="0"/>
        <w:spacing w:line="360" w:lineRule="auto"/>
        <w:ind w:firstLine="480"/>
        <w:textAlignment w:val="baseline"/>
        <w:rPr>
          <w:rFonts w:ascii="Times New Roman" w:hAnsi="Times New Roman"/>
          <w:b/>
          <w:bCs/>
          <w:sz w:val="21"/>
          <w:szCs w:val="21"/>
        </w:rPr>
      </w:pPr>
      <w:r>
        <w:rPr>
          <w:rFonts w:ascii="Times New Roman" w:hAnsi="Times New Roman"/>
        </w:rPr>
        <w:t>各环境要素的规划范围详见表6.2-1。</w:t>
      </w:r>
    </w:p>
    <w:p w14:paraId="6E054F51">
      <w:pPr>
        <w:tabs>
          <w:tab w:val="left" w:pos="526"/>
        </w:tabs>
        <w:spacing w:line="360" w:lineRule="auto"/>
        <w:ind w:firstLine="3373" w:firstLineChars="1200"/>
        <w:rPr>
          <w:b/>
          <w:bCs/>
          <w:szCs w:val="21"/>
        </w:rPr>
      </w:pPr>
      <w:r>
        <w:rPr>
          <w:b/>
          <w:bCs/>
          <w:szCs w:val="21"/>
        </w:rPr>
        <w:t>表6.2-1 环境影响规划范围一览表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2"/>
        <w:gridCol w:w="7180"/>
      </w:tblGrid>
      <w:tr w14:paraId="68606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342" w:type="dxa"/>
            <w:vAlign w:val="center"/>
          </w:tcPr>
          <w:p w14:paraId="46F0F388">
            <w:pPr>
              <w:pStyle w:val="56"/>
              <w:topLinePunct/>
              <w:autoSpaceDE w:val="0"/>
              <w:autoSpaceDN w:val="0"/>
              <w:adjustRightInd w:val="0"/>
              <w:spacing w:before="100" w:beforeAutospacing="1" w:after="100" w:afterAutospacing="1" w:line="240" w:lineRule="auto"/>
              <w:ind w:firstLine="0" w:firstLineChars="0"/>
              <w:textAlignment w:val="baseline"/>
              <w:rPr>
                <w:rFonts w:ascii="Times New Roman" w:hAnsi="Times New Roman"/>
                <w:kern w:val="0"/>
                <w:sz w:val="21"/>
                <w:szCs w:val="21"/>
              </w:rPr>
            </w:pPr>
            <w:r>
              <w:rPr>
                <w:rFonts w:ascii="Times New Roman" w:hAnsi="Times New Roman"/>
                <w:kern w:val="0"/>
                <w:sz w:val="21"/>
                <w:szCs w:val="21"/>
              </w:rPr>
              <w:t>规划要素</w:t>
            </w:r>
          </w:p>
        </w:tc>
        <w:tc>
          <w:tcPr>
            <w:tcW w:w="7180" w:type="dxa"/>
            <w:vAlign w:val="center"/>
          </w:tcPr>
          <w:p w14:paraId="5A3FEC7D">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规划范围</w:t>
            </w:r>
          </w:p>
        </w:tc>
      </w:tr>
      <w:tr w14:paraId="2C11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342" w:type="dxa"/>
            <w:vAlign w:val="center"/>
          </w:tcPr>
          <w:p w14:paraId="7F6E57B3">
            <w:pPr>
              <w:pStyle w:val="56"/>
              <w:topLinePunct/>
              <w:autoSpaceDE w:val="0"/>
              <w:autoSpaceDN w:val="0"/>
              <w:adjustRightInd w:val="0"/>
              <w:spacing w:after="100" w:afterAutospacing="1" w:line="36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空气环境</w:t>
            </w:r>
          </w:p>
        </w:tc>
        <w:tc>
          <w:tcPr>
            <w:tcW w:w="7180" w:type="dxa"/>
            <w:vAlign w:val="center"/>
          </w:tcPr>
          <w:p w14:paraId="7EC046DB">
            <w:pPr>
              <w:pStyle w:val="56"/>
              <w:topLinePunct/>
              <w:autoSpaceDE w:val="0"/>
              <w:autoSpaceDN w:val="0"/>
              <w:adjustRightInd w:val="0"/>
              <w:spacing w:after="100" w:afterAutospacing="1" w:line="36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化工园区边界向外扩2.5km的矩形范围</w:t>
            </w:r>
          </w:p>
        </w:tc>
      </w:tr>
      <w:tr w14:paraId="1DD2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1342" w:type="dxa"/>
            <w:vAlign w:val="center"/>
          </w:tcPr>
          <w:p w14:paraId="54F8D753">
            <w:pPr>
              <w:pStyle w:val="56"/>
              <w:topLinePunct/>
              <w:autoSpaceDE w:val="0"/>
              <w:autoSpaceDN w:val="0"/>
              <w:adjustRightInd w:val="0"/>
              <w:spacing w:after="100" w:afterAutospacing="1" w:line="36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地表水环境</w:t>
            </w:r>
          </w:p>
        </w:tc>
        <w:tc>
          <w:tcPr>
            <w:tcW w:w="7180" w:type="dxa"/>
            <w:vAlign w:val="center"/>
          </w:tcPr>
          <w:p w14:paraId="36A02642">
            <w:pPr>
              <w:pStyle w:val="56"/>
              <w:topLinePunct/>
              <w:autoSpaceDE w:val="0"/>
              <w:autoSpaceDN w:val="0"/>
              <w:adjustRightInd w:val="0"/>
              <w:spacing w:line="240" w:lineRule="auto"/>
              <w:ind w:firstLine="0" w:firstLineChars="0"/>
              <w:jc w:val="center"/>
              <w:textAlignment w:val="baseline"/>
              <w:rPr>
                <w:rFonts w:ascii="Times New Roman" w:hAnsi="Times New Roman"/>
                <w:kern w:val="0"/>
                <w:sz w:val="21"/>
                <w:szCs w:val="21"/>
              </w:rPr>
            </w:pPr>
            <w:r>
              <w:rPr>
                <w:rFonts w:ascii="Times New Roman" w:hAnsi="Times New Roman"/>
                <w:sz w:val="21"/>
                <w:szCs w:val="21"/>
              </w:rPr>
              <w:t>淮南经济技术开发区污水处理</w:t>
            </w:r>
            <w:r>
              <w:rPr>
                <w:rFonts w:ascii="Times New Roman" w:hAnsi="Times New Roman"/>
                <w:kern w:val="0"/>
                <w:sz w:val="21"/>
                <w:szCs w:val="21"/>
              </w:rPr>
              <w:t>入淮河排污口上游500米、污水处理厂入淮河排污口下游500米，污水处理厂入淮河排污口下游2000米。</w:t>
            </w:r>
          </w:p>
        </w:tc>
      </w:tr>
      <w:tr w14:paraId="1046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342" w:type="dxa"/>
            <w:vAlign w:val="center"/>
          </w:tcPr>
          <w:p w14:paraId="50114FEB">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地下水环境</w:t>
            </w:r>
          </w:p>
        </w:tc>
        <w:tc>
          <w:tcPr>
            <w:tcW w:w="7180" w:type="dxa"/>
            <w:vAlign w:val="center"/>
          </w:tcPr>
          <w:p w14:paraId="27B48EA8">
            <w:pPr>
              <w:spacing w:line="360" w:lineRule="auto"/>
              <w:jc w:val="center"/>
              <w:rPr>
                <w:szCs w:val="21"/>
              </w:rPr>
            </w:pPr>
            <w:r>
              <w:rPr>
                <w:szCs w:val="21"/>
              </w:rPr>
              <w:t>以化工园区所在区域6-20km</w:t>
            </w:r>
            <w:r>
              <w:rPr>
                <w:szCs w:val="21"/>
                <w:vertAlign w:val="superscript"/>
              </w:rPr>
              <w:t>2</w:t>
            </w:r>
            <w:r>
              <w:rPr>
                <w:szCs w:val="21"/>
              </w:rPr>
              <w:t>范围</w:t>
            </w:r>
          </w:p>
          <w:p w14:paraId="01A3B06B">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p>
        </w:tc>
      </w:tr>
      <w:tr w14:paraId="14EB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342" w:type="dxa"/>
            <w:vAlign w:val="center"/>
          </w:tcPr>
          <w:p w14:paraId="7F32BB0F">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声环境</w:t>
            </w:r>
          </w:p>
        </w:tc>
        <w:tc>
          <w:tcPr>
            <w:tcW w:w="7180" w:type="dxa"/>
            <w:vAlign w:val="center"/>
          </w:tcPr>
          <w:p w14:paraId="28475D79">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规划区及周边200m范围内</w:t>
            </w:r>
          </w:p>
        </w:tc>
      </w:tr>
      <w:tr w14:paraId="161E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342" w:type="dxa"/>
            <w:vAlign w:val="center"/>
          </w:tcPr>
          <w:p w14:paraId="6CB86CDF">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环境风险</w:t>
            </w:r>
          </w:p>
        </w:tc>
        <w:tc>
          <w:tcPr>
            <w:tcW w:w="7180" w:type="dxa"/>
            <w:vAlign w:val="center"/>
          </w:tcPr>
          <w:p w14:paraId="752F8EBE">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化工园区周边5 km</w:t>
            </w:r>
          </w:p>
        </w:tc>
      </w:tr>
      <w:tr w14:paraId="6959A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exact"/>
          <w:jc w:val="center"/>
        </w:trPr>
        <w:tc>
          <w:tcPr>
            <w:tcW w:w="1342" w:type="dxa"/>
            <w:vAlign w:val="center"/>
          </w:tcPr>
          <w:p w14:paraId="53509A45">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生态环境</w:t>
            </w:r>
          </w:p>
        </w:tc>
        <w:tc>
          <w:tcPr>
            <w:tcW w:w="7180" w:type="dxa"/>
            <w:vAlign w:val="center"/>
          </w:tcPr>
          <w:p w14:paraId="135F193A">
            <w:pPr>
              <w:pStyle w:val="56"/>
              <w:topLinePunct/>
              <w:autoSpaceDE w:val="0"/>
              <w:autoSpaceDN w:val="0"/>
              <w:adjustRightInd w:val="0"/>
              <w:spacing w:before="100" w:beforeAutospacing="1" w:after="100" w:afterAutospacing="1" w:line="240" w:lineRule="auto"/>
              <w:ind w:firstLine="0" w:firstLineChars="0"/>
              <w:jc w:val="center"/>
              <w:textAlignment w:val="baseline"/>
              <w:rPr>
                <w:rFonts w:ascii="Times New Roman" w:hAnsi="Times New Roman"/>
                <w:kern w:val="0"/>
                <w:sz w:val="21"/>
                <w:szCs w:val="21"/>
              </w:rPr>
            </w:pPr>
            <w:r>
              <w:rPr>
                <w:rFonts w:ascii="Times New Roman" w:hAnsi="Times New Roman"/>
                <w:kern w:val="0"/>
                <w:sz w:val="21"/>
                <w:szCs w:val="21"/>
              </w:rPr>
              <w:t>化工园区范围内及周边约1km的区域</w:t>
            </w:r>
          </w:p>
        </w:tc>
      </w:tr>
    </w:tbl>
    <w:p w14:paraId="086759B6">
      <w:pPr>
        <w:pStyle w:val="57"/>
        <w:spacing w:line="360" w:lineRule="auto"/>
        <w:rPr>
          <w:rFonts w:ascii="Times New Roman" w:hAnsi="Times New Roman" w:eastAsia="宋体"/>
          <w:b/>
        </w:rPr>
      </w:pPr>
      <w:r>
        <w:rPr>
          <w:rFonts w:ascii="Times New Roman" w:hAnsi="Times New Roman" w:eastAsia="宋体"/>
          <w:b/>
        </w:rPr>
        <w:t>6.2.2环境保护目标</w:t>
      </w:r>
    </w:p>
    <w:p w14:paraId="60C52156">
      <w:pPr>
        <w:tabs>
          <w:tab w:val="left" w:pos="4344"/>
        </w:tabs>
        <w:spacing w:line="360" w:lineRule="auto"/>
        <w:ind w:firstLine="480"/>
        <w:rPr>
          <w:b/>
          <w:bCs/>
          <w:szCs w:val="21"/>
        </w:rPr>
      </w:pPr>
      <w:r>
        <w:rPr>
          <w:sz w:val="24"/>
        </w:rPr>
        <w:t>本次规划识别出的环境规划保护目标见表6.2-2。</w:t>
      </w:r>
    </w:p>
    <w:p w14:paraId="46892C40">
      <w:pPr>
        <w:tabs>
          <w:tab w:val="left" w:pos="5760"/>
        </w:tabs>
        <w:spacing w:line="360" w:lineRule="auto"/>
        <w:ind w:firstLine="480"/>
        <w:jc w:val="center"/>
        <w:rPr>
          <w:b/>
          <w:bCs/>
          <w:szCs w:val="21"/>
        </w:rPr>
      </w:pPr>
      <w:r>
        <w:rPr>
          <w:b/>
          <w:bCs/>
          <w:szCs w:val="21"/>
        </w:rPr>
        <w:t>表6.2-2 淮南经开化工园区环境规划保护目标表</w:t>
      </w:r>
    </w:p>
    <w:tbl>
      <w:tblPr>
        <w:tblStyle w:val="2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00"/>
        <w:gridCol w:w="1703"/>
        <w:gridCol w:w="694"/>
        <w:gridCol w:w="1093"/>
        <w:gridCol w:w="2885"/>
        <w:gridCol w:w="1387"/>
      </w:tblGrid>
      <w:tr w14:paraId="02CD8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Align w:val="center"/>
          </w:tcPr>
          <w:p w14:paraId="1C27AF2E">
            <w:pPr>
              <w:jc w:val="center"/>
              <w:rPr>
                <w:szCs w:val="21"/>
              </w:rPr>
            </w:pPr>
            <w:r>
              <w:rPr>
                <w:szCs w:val="21"/>
              </w:rPr>
              <w:t>环境要素</w:t>
            </w:r>
          </w:p>
        </w:tc>
        <w:tc>
          <w:tcPr>
            <w:tcW w:w="1702" w:type="dxa"/>
            <w:vAlign w:val="center"/>
          </w:tcPr>
          <w:p w14:paraId="64F2A7D3">
            <w:pPr>
              <w:jc w:val="center"/>
              <w:rPr>
                <w:szCs w:val="21"/>
              </w:rPr>
            </w:pPr>
            <w:r>
              <w:rPr>
                <w:szCs w:val="21"/>
              </w:rPr>
              <w:t>环境保护</w:t>
            </w:r>
          </w:p>
          <w:p w14:paraId="479CD5FE">
            <w:pPr>
              <w:jc w:val="center"/>
              <w:rPr>
                <w:szCs w:val="21"/>
              </w:rPr>
            </w:pPr>
            <w:r>
              <w:rPr>
                <w:szCs w:val="21"/>
              </w:rPr>
              <w:t>对象名称</w:t>
            </w:r>
          </w:p>
        </w:tc>
        <w:tc>
          <w:tcPr>
            <w:tcW w:w="694" w:type="dxa"/>
            <w:vAlign w:val="center"/>
          </w:tcPr>
          <w:p w14:paraId="11D6D624">
            <w:pPr>
              <w:jc w:val="center"/>
              <w:rPr>
                <w:szCs w:val="21"/>
              </w:rPr>
            </w:pPr>
            <w:r>
              <w:rPr>
                <w:szCs w:val="21"/>
              </w:rPr>
              <w:t>方位</w:t>
            </w:r>
          </w:p>
        </w:tc>
        <w:tc>
          <w:tcPr>
            <w:tcW w:w="1093" w:type="dxa"/>
            <w:tcBorders>
              <w:right w:val="single" w:color="auto" w:sz="4" w:space="0"/>
            </w:tcBorders>
            <w:vAlign w:val="center"/>
          </w:tcPr>
          <w:p w14:paraId="2F2EB328">
            <w:pPr>
              <w:jc w:val="center"/>
              <w:rPr>
                <w:szCs w:val="21"/>
              </w:rPr>
            </w:pPr>
            <w:r>
              <w:rPr>
                <w:szCs w:val="21"/>
              </w:rPr>
              <w:t>距离规划区边界距离（m）</w:t>
            </w:r>
          </w:p>
        </w:tc>
        <w:tc>
          <w:tcPr>
            <w:tcW w:w="2885" w:type="dxa"/>
            <w:tcBorders>
              <w:left w:val="single" w:color="auto" w:sz="4" w:space="0"/>
            </w:tcBorders>
            <w:vAlign w:val="center"/>
          </w:tcPr>
          <w:p w14:paraId="7AA1356A">
            <w:pPr>
              <w:jc w:val="center"/>
              <w:rPr>
                <w:szCs w:val="21"/>
              </w:rPr>
            </w:pPr>
            <w:r>
              <w:rPr>
                <w:szCs w:val="21"/>
              </w:rPr>
              <w:t>规模（户）</w:t>
            </w:r>
          </w:p>
        </w:tc>
        <w:tc>
          <w:tcPr>
            <w:tcW w:w="1387" w:type="dxa"/>
            <w:vAlign w:val="center"/>
          </w:tcPr>
          <w:p w14:paraId="3C19ABDA">
            <w:pPr>
              <w:jc w:val="center"/>
              <w:rPr>
                <w:szCs w:val="21"/>
              </w:rPr>
            </w:pPr>
            <w:r>
              <w:rPr>
                <w:szCs w:val="21"/>
              </w:rPr>
              <w:t>环境功能</w:t>
            </w:r>
          </w:p>
        </w:tc>
      </w:tr>
      <w:tr w14:paraId="01C65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jc w:val="center"/>
        </w:trPr>
        <w:tc>
          <w:tcPr>
            <w:tcW w:w="800" w:type="dxa"/>
            <w:vMerge w:val="restart"/>
            <w:vAlign w:val="center"/>
          </w:tcPr>
          <w:p w14:paraId="6F5C199F">
            <w:pPr>
              <w:spacing w:line="400" w:lineRule="exact"/>
              <w:jc w:val="center"/>
              <w:rPr>
                <w:szCs w:val="21"/>
              </w:rPr>
            </w:pPr>
          </w:p>
          <w:p w14:paraId="5337F73E">
            <w:pPr>
              <w:spacing w:line="400" w:lineRule="exact"/>
              <w:jc w:val="center"/>
              <w:rPr>
                <w:szCs w:val="21"/>
              </w:rPr>
            </w:pPr>
          </w:p>
          <w:p w14:paraId="1F9C0EBD">
            <w:pPr>
              <w:spacing w:line="400" w:lineRule="exact"/>
              <w:jc w:val="center"/>
              <w:rPr>
                <w:szCs w:val="21"/>
              </w:rPr>
            </w:pPr>
          </w:p>
          <w:p w14:paraId="00C51D6D">
            <w:pPr>
              <w:spacing w:line="400" w:lineRule="exact"/>
              <w:jc w:val="center"/>
              <w:rPr>
                <w:szCs w:val="21"/>
              </w:rPr>
            </w:pPr>
          </w:p>
          <w:p w14:paraId="08C703E8">
            <w:pPr>
              <w:spacing w:line="400" w:lineRule="exact"/>
              <w:jc w:val="center"/>
              <w:rPr>
                <w:szCs w:val="21"/>
              </w:rPr>
            </w:pPr>
          </w:p>
          <w:p w14:paraId="5C793AAC">
            <w:pPr>
              <w:spacing w:line="400" w:lineRule="exact"/>
              <w:jc w:val="center"/>
              <w:rPr>
                <w:szCs w:val="21"/>
              </w:rPr>
            </w:pPr>
          </w:p>
          <w:p w14:paraId="60EC3258">
            <w:pPr>
              <w:spacing w:line="400" w:lineRule="exact"/>
              <w:jc w:val="center"/>
              <w:rPr>
                <w:szCs w:val="21"/>
              </w:rPr>
            </w:pPr>
            <w:r>
              <w:rPr>
                <w:szCs w:val="21"/>
              </w:rPr>
              <w:t>大气环境</w:t>
            </w:r>
          </w:p>
        </w:tc>
        <w:tc>
          <w:tcPr>
            <w:tcW w:w="1702" w:type="dxa"/>
            <w:vAlign w:val="center"/>
          </w:tcPr>
          <w:p w14:paraId="2741EC33">
            <w:pPr>
              <w:jc w:val="center"/>
              <w:rPr>
                <w:szCs w:val="21"/>
              </w:rPr>
            </w:pPr>
            <w:r>
              <w:rPr>
                <w:szCs w:val="21"/>
              </w:rPr>
              <w:t>淮南农场一队</w:t>
            </w:r>
          </w:p>
        </w:tc>
        <w:tc>
          <w:tcPr>
            <w:tcW w:w="694" w:type="dxa"/>
            <w:vAlign w:val="center"/>
          </w:tcPr>
          <w:p w14:paraId="7A9E4790">
            <w:pPr>
              <w:jc w:val="center"/>
              <w:rPr>
                <w:szCs w:val="21"/>
              </w:rPr>
            </w:pPr>
            <w:r>
              <w:rPr>
                <w:szCs w:val="21"/>
              </w:rPr>
              <w:t>S</w:t>
            </w:r>
          </w:p>
        </w:tc>
        <w:tc>
          <w:tcPr>
            <w:tcW w:w="1093" w:type="dxa"/>
            <w:tcBorders>
              <w:right w:val="single" w:color="auto" w:sz="4" w:space="0"/>
            </w:tcBorders>
            <w:vAlign w:val="center"/>
          </w:tcPr>
          <w:p w14:paraId="1E344100">
            <w:pPr>
              <w:jc w:val="center"/>
              <w:rPr>
                <w:szCs w:val="21"/>
              </w:rPr>
            </w:pPr>
            <w:r>
              <w:rPr>
                <w:szCs w:val="21"/>
              </w:rPr>
              <w:t>600</w:t>
            </w:r>
          </w:p>
        </w:tc>
        <w:tc>
          <w:tcPr>
            <w:tcW w:w="2885" w:type="dxa"/>
            <w:tcBorders>
              <w:left w:val="single" w:color="auto" w:sz="4" w:space="0"/>
              <w:bottom w:val="single" w:color="auto" w:sz="4" w:space="0"/>
            </w:tcBorders>
            <w:vAlign w:val="center"/>
          </w:tcPr>
          <w:p w14:paraId="3A20197E">
            <w:pPr>
              <w:jc w:val="center"/>
              <w:rPr>
                <w:szCs w:val="21"/>
              </w:rPr>
            </w:pPr>
            <w:r>
              <w:rPr>
                <w:szCs w:val="21"/>
              </w:rPr>
              <w:t>约600户，约1800人</w:t>
            </w:r>
          </w:p>
        </w:tc>
        <w:tc>
          <w:tcPr>
            <w:tcW w:w="1387" w:type="dxa"/>
            <w:vMerge w:val="restart"/>
            <w:vAlign w:val="center"/>
          </w:tcPr>
          <w:p w14:paraId="50E2C41E">
            <w:pPr>
              <w:spacing w:line="400" w:lineRule="exact"/>
              <w:ind w:left="-56" w:leftChars="-20" w:right="-56" w:rightChars="-20"/>
              <w:jc w:val="center"/>
              <w:rPr>
                <w:spacing w:val="2"/>
                <w:szCs w:val="21"/>
              </w:rPr>
            </w:pPr>
          </w:p>
          <w:p w14:paraId="29DEA10C">
            <w:pPr>
              <w:spacing w:line="400" w:lineRule="exact"/>
              <w:ind w:left="-56" w:leftChars="-20" w:right="-56" w:rightChars="-20"/>
              <w:jc w:val="center"/>
              <w:rPr>
                <w:spacing w:val="2"/>
                <w:szCs w:val="21"/>
              </w:rPr>
            </w:pPr>
          </w:p>
          <w:p w14:paraId="5510C833">
            <w:pPr>
              <w:spacing w:line="400" w:lineRule="exact"/>
              <w:ind w:left="-56" w:leftChars="-20" w:right="-56" w:rightChars="-20"/>
              <w:jc w:val="center"/>
              <w:rPr>
                <w:spacing w:val="2"/>
                <w:szCs w:val="21"/>
              </w:rPr>
            </w:pPr>
          </w:p>
          <w:p w14:paraId="04EAC917">
            <w:pPr>
              <w:spacing w:line="400" w:lineRule="exact"/>
              <w:ind w:left="-56" w:leftChars="-20" w:right="-56" w:rightChars="-20"/>
              <w:jc w:val="center"/>
              <w:rPr>
                <w:spacing w:val="2"/>
                <w:szCs w:val="21"/>
              </w:rPr>
            </w:pPr>
          </w:p>
          <w:p w14:paraId="0B45108D">
            <w:pPr>
              <w:spacing w:line="400" w:lineRule="exact"/>
              <w:ind w:left="-56" w:leftChars="-20" w:right="-56" w:rightChars="-20"/>
              <w:jc w:val="center"/>
              <w:rPr>
                <w:spacing w:val="2"/>
                <w:szCs w:val="21"/>
              </w:rPr>
            </w:pPr>
          </w:p>
          <w:p w14:paraId="32906BAF">
            <w:pPr>
              <w:spacing w:line="400" w:lineRule="exact"/>
              <w:ind w:left="-56" w:leftChars="-20" w:right="-56" w:rightChars="-20"/>
              <w:jc w:val="center"/>
              <w:rPr>
                <w:szCs w:val="21"/>
              </w:rPr>
            </w:pPr>
            <w:r>
              <w:rPr>
                <w:spacing w:val="2"/>
                <w:szCs w:val="21"/>
              </w:rPr>
              <w:t>GB3095-2012中二级标准</w:t>
            </w:r>
          </w:p>
        </w:tc>
      </w:tr>
      <w:tr w14:paraId="2B378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Merge w:val="continue"/>
            <w:vAlign w:val="center"/>
          </w:tcPr>
          <w:p w14:paraId="137E76B9">
            <w:pPr>
              <w:spacing w:line="400" w:lineRule="exact"/>
              <w:jc w:val="center"/>
              <w:rPr>
                <w:szCs w:val="21"/>
              </w:rPr>
            </w:pPr>
            <w:bookmarkStart w:id="105" w:name="OLE_LINK4" w:colFirst="1" w:colLast="4"/>
          </w:p>
        </w:tc>
        <w:tc>
          <w:tcPr>
            <w:tcW w:w="1702" w:type="dxa"/>
            <w:vAlign w:val="center"/>
          </w:tcPr>
          <w:p w14:paraId="513E050E">
            <w:pPr>
              <w:spacing w:line="400" w:lineRule="exact"/>
              <w:jc w:val="center"/>
              <w:rPr>
                <w:szCs w:val="21"/>
              </w:rPr>
            </w:pPr>
            <w:r>
              <w:rPr>
                <w:szCs w:val="21"/>
              </w:rPr>
              <w:t>淮南农场五队</w:t>
            </w:r>
          </w:p>
        </w:tc>
        <w:tc>
          <w:tcPr>
            <w:tcW w:w="694" w:type="dxa"/>
            <w:vAlign w:val="center"/>
          </w:tcPr>
          <w:p w14:paraId="2857B2FD">
            <w:pPr>
              <w:spacing w:line="400" w:lineRule="exact"/>
              <w:jc w:val="center"/>
              <w:rPr>
                <w:szCs w:val="21"/>
              </w:rPr>
            </w:pPr>
            <w:r>
              <w:rPr>
                <w:szCs w:val="21"/>
              </w:rPr>
              <w:t>E</w:t>
            </w:r>
          </w:p>
        </w:tc>
        <w:tc>
          <w:tcPr>
            <w:tcW w:w="1093" w:type="dxa"/>
            <w:vAlign w:val="center"/>
          </w:tcPr>
          <w:p w14:paraId="35FE26D7">
            <w:pPr>
              <w:spacing w:line="400" w:lineRule="exact"/>
              <w:jc w:val="center"/>
              <w:rPr>
                <w:szCs w:val="21"/>
              </w:rPr>
            </w:pPr>
            <w:r>
              <w:rPr>
                <w:szCs w:val="21"/>
              </w:rPr>
              <w:t>358</w:t>
            </w:r>
          </w:p>
        </w:tc>
        <w:tc>
          <w:tcPr>
            <w:tcW w:w="2885" w:type="dxa"/>
            <w:tcBorders>
              <w:top w:val="single" w:color="auto" w:sz="4" w:space="0"/>
              <w:bottom w:val="single" w:color="auto" w:sz="4" w:space="0"/>
            </w:tcBorders>
            <w:vAlign w:val="center"/>
          </w:tcPr>
          <w:p w14:paraId="1D40D14A">
            <w:pPr>
              <w:spacing w:line="400" w:lineRule="exact"/>
              <w:jc w:val="center"/>
              <w:rPr>
                <w:szCs w:val="21"/>
              </w:rPr>
            </w:pPr>
            <w:r>
              <w:rPr>
                <w:szCs w:val="21"/>
              </w:rPr>
              <w:t>约50户，约有人口150人</w:t>
            </w:r>
          </w:p>
        </w:tc>
        <w:tc>
          <w:tcPr>
            <w:tcW w:w="1387" w:type="dxa"/>
            <w:vMerge w:val="continue"/>
            <w:vAlign w:val="center"/>
          </w:tcPr>
          <w:p w14:paraId="40468BC5">
            <w:pPr>
              <w:spacing w:line="400" w:lineRule="exact"/>
              <w:ind w:left="-56" w:leftChars="-20" w:right="-56" w:rightChars="-20"/>
              <w:jc w:val="center"/>
              <w:rPr>
                <w:szCs w:val="21"/>
              </w:rPr>
            </w:pPr>
          </w:p>
        </w:tc>
      </w:tr>
      <w:tr w14:paraId="7194C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8A44BD7">
            <w:pPr>
              <w:spacing w:line="400" w:lineRule="exact"/>
              <w:jc w:val="center"/>
              <w:rPr>
                <w:szCs w:val="21"/>
              </w:rPr>
            </w:pPr>
          </w:p>
        </w:tc>
        <w:tc>
          <w:tcPr>
            <w:tcW w:w="1702" w:type="dxa"/>
            <w:vAlign w:val="center"/>
          </w:tcPr>
          <w:p w14:paraId="37CD9342">
            <w:pPr>
              <w:spacing w:line="400" w:lineRule="exact"/>
              <w:jc w:val="center"/>
              <w:rPr>
                <w:szCs w:val="21"/>
              </w:rPr>
            </w:pPr>
            <w:r>
              <w:rPr>
                <w:szCs w:val="21"/>
              </w:rPr>
              <w:t>淮南农场二队</w:t>
            </w:r>
          </w:p>
        </w:tc>
        <w:tc>
          <w:tcPr>
            <w:tcW w:w="694" w:type="dxa"/>
            <w:vAlign w:val="center"/>
          </w:tcPr>
          <w:p w14:paraId="6F03B7DD">
            <w:pPr>
              <w:spacing w:line="400" w:lineRule="exact"/>
              <w:jc w:val="center"/>
              <w:rPr>
                <w:szCs w:val="21"/>
              </w:rPr>
            </w:pPr>
            <w:r>
              <w:rPr>
                <w:szCs w:val="21"/>
              </w:rPr>
              <w:t>SE</w:t>
            </w:r>
          </w:p>
        </w:tc>
        <w:tc>
          <w:tcPr>
            <w:tcW w:w="1093" w:type="dxa"/>
            <w:vAlign w:val="center"/>
          </w:tcPr>
          <w:p w14:paraId="686D6CEF">
            <w:pPr>
              <w:spacing w:line="400" w:lineRule="exact"/>
              <w:jc w:val="center"/>
              <w:rPr>
                <w:szCs w:val="21"/>
              </w:rPr>
            </w:pPr>
            <w:r>
              <w:rPr>
                <w:szCs w:val="21"/>
              </w:rPr>
              <w:t>2250</w:t>
            </w:r>
          </w:p>
        </w:tc>
        <w:tc>
          <w:tcPr>
            <w:tcW w:w="2885" w:type="dxa"/>
            <w:tcBorders>
              <w:top w:val="single" w:color="auto" w:sz="4" w:space="0"/>
            </w:tcBorders>
            <w:vAlign w:val="center"/>
          </w:tcPr>
          <w:p w14:paraId="68F0675F">
            <w:pPr>
              <w:spacing w:line="400" w:lineRule="exact"/>
              <w:jc w:val="center"/>
              <w:rPr>
                <w:szCs w:val="21"/>
              </w:rPr>
            </w:pPr>
            <w:r>
              <w:rPr>
                <w:szCs w:val="21"/>
              </w:rPr>
              <w:t>约40户，约有人口120人</w:t>
            </w:r>
          </w:p>
        </w:tc>
        <w:tc>
          <w:tcPr>
            <w:tcW w:w="1387" w:type="dxa"/>
            <w:vMerge w:val="continue"/>
            <w:vAlign w:val="center"/>
          </w:tcPr>
          <w:p w14:paraId="774A832D">
            <w:pPr>
              <w:spacing w:line="400" w:lineRule="exact"/>
              <w:jc w:val="center"/>
              <w:rPr>
                <w:szCs w:val="21"/>
              </w:rPr>
            </w:pPr>
          </w:p>
        </w:tc>
      </w:tr>
      <w:tr w14:paraId="4E0616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014DDA5A">
            <w:pPr>
              <w:spacing w:line="400" w:lineRule="exact"/>
              <w:jc w:val="center"/>
              <w:rPr>
                <w:szCs w:val="21"/>
              </w:rPr>
            </w:pPr>
          </w:p>
        </w:tc>
        <w:tc>
          <w:tcPr>
            <w:tcW w:w="1702" w:type="dxa"/>
            <w:vAlign w:val="center"/>
          </w:tcPr>
          <w:p w14:paraId="3CE2A82F">
            <w:pPr>
              <w:spacing w:line="400" w:lineRule="exact"/>
              <w:jc w:val="center"/>
              <w:rPr>
                <w:szCs w:val="21"/>
              </w:rPr>
            </w:pPr>
            <w:r>
              <w:rPr>
                <w:szCs w:val="21"/>
              </w:rPr>
              <w:t>柴庄</w:t>
            </w:r>
          </w:p>
        </w:tc>
        <w:tc>
          <w:tcPr>
            <w:tcW w:w="694" w:type="dxa"/>
            <w:vAlign w:val="center"/>
          </w:tcPr>
          <w:p w14:paraId="3B3A1D43">
            <w:pPr>
              <w:spacing w:line="400" w:lineRule="exact"/>
              <w:jc w:val="center"/>
              <w:rPr>
                <w:szCs w:val="21"/>
              </w:rPr>
            </w:pPr>
            <w:r>
              <w:rPr>
                <w:szCs w:val="21"/>
              </w:rPr>
              <w:t>N</w:t>
            </w:r>
          </w:p>
        </w:tc>
        <w:tc>
          <w:tcPr>
            <w:tcW w:w="1093" w:type="dxa"/>
            <w:vAlign w:val="center"/>
          </w:tcPr>
          <w:p w14:paraId="1956B201">
            <w:pPr>
              <w:spacing w:line="400" w:lineRule="exact"/>
              <w:jc w:val="center"/>
              <w:rPr>
                <w:szCs w:val="21"/>
              </w:rPr>
            </w:pPr>
            <w:r>
              <w:rPr>
                <w:szCs w:val="21"/>
              </w:rPr>
              <w:t>200</w:t>
            </w:r>
          </w:p>
        </w:tc>
        <w:tc>
          <w:tcPr>
            <w:tcW w:w="2885" w:type="dxa"/>
            <w:vAlign w:val="center"/>
          </w:tcPr>
          <w:p w14:paraId="44B98A16">
            <w:pPr>
              <w:spacing w:line="400" w:lineRule="exact"/>
              <w:jc w:val="center"/>
              <w:rPr>
                <w:szCs w:val="21"/>
              </w:rPr>
            </w:pPr>
            <w:r>
              <w:rPr>
                <w:szCs w:val="21"/>
              </w:rPr>
              <w:t>约500户，约有人口1500人</w:t>
            </w:r>
          </w:p>
        </w:tc>
        <w:tc>
          <w:tcPr>
            <w:tcW w:w="1387" w:type="dxa"/>
            <w:vMerge w:val="continue"/>
            <w:vAlign w:val="center"/>
          </w:tcPr>
          <w:p w14:paraId="010081A1">
            <w:pPr>
              <w:spacing w:line="400" w:lineRule="exact"/>
              <w:jc w:val="center"/>
              <w:rPr>
                <w:szCs w:val="21"/>
              </w:rPr>
            </w:pPr>
          </w:p>
        </w:tc>
      </w:tr>
      <w:tr w14:paraId="60F9D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9E42721">
            <w:pPr>
              <w:spacing w:line="400" w:lineRule="exact"/>
              <w:jc w:val="center"/>
              <w:rPr>
                <w:szCs w:val="21"/>
              </w:rPr>
            </w:pPr>
          </w:p>
        </w:tc>
        <w:tc>
          <w:tcPr>
            <w:tcW w:w="1702" w:type="dxa"/>
            <w:vAlign w:val="center"/>
          </w:tcPr>
          <w:p w14:paraId="63BA3E4D">
            <w:pPr>
              <w:spacing w:line="400" w:lineRule="exact"/>
              <w:jc w:val="center"/>
              <w:rPr>
                <w:szCs w:val="21"/>
              </w:rPr>
            </w:pPr>
            <w:r>
              <w:rPr>
                <w:szCs w:val="21"/>
              </w:rPr>
              <w:t>朝阳路2号安置区</w:t>
            </w:r>
          </w:p>
        </w:tc>
        <w:tc>
          <w:tcPr>
            <w:tcW w:w="694" w:type="dxa"/>
            <w:vAlign w:val="center"/>
          </w:tcPr>
          <w:p w14:paraId="7948C349">
            <w:pPr>
              <w:spacing w:line="400" w:lineRule="exact"/>
              <w:jc w:val="center"/>
              <w:rPr>
                <w:szCs w:val="21"/>
              </w:rPr>
            </w:pPr>
            <w:r>
              <w:rPr>
                <w:szCs w:val="21"/>
              </w:rPr>
              <w:t>N\W</w:t>
            </w:r>
          </w:p>
        </w:tc>
        <w:tc>
          <w:tcPr>
            <w:tcW w:w="1093" w:type="dxa"/>
            <w:vAlign w:val="center"/>
          </w:tcPr>
          <w:p w14:paraId="3C497D65">
            <w:pPr>
              <w:spacing w:line="400" w:lineRule="exact"/>
              <w:jc w:val="center"/>
              <w:rPr>
                <w:szCs w:val="21"/>
              </w:rPr>
            </w:pPr>
            <w:r>
              <w:rPr>
                <w:szCs w:val="21"/>
              </w:rPr>
              <w:t>221</w:t>
            </w:r>
          </w:p>
        </w:tc>
        <w:tc>
          <w:tcPr>
            <w:tcW w:w="2885" w:type="dxa"/>
            <w:vAlign w:val="center"/>
          </w:tcPr>
          <w:p w14:paraId="58CF346B">
            <w:pPr>
              <w:spacing w:line="400" w:lineRule="exact"/>
              <w:jc w:val="center"/>
              <w:rPr>
                <w:szCs w:val="21"/>
              </w:rPr>
            </w:pPr>
            <w:r>
              <w:rPr>
                <w:szCs w:val="21"/>
              </w:rPr>
              <w:t>约800户，约有人口2400人</w:t>
            </w:r>
          </w:p>
        </w:tc>
        <w:tc>
          <w:tcPr>
            <w:tcW w:w="1387" w:type="dxa"/>
            <w:vMerge w:val="continue"/>
            <w:vAlign w:val="center"/>
          </w:tcPr>
          <w:p w14:paraId="073A0B63">
            <w:pPr>
              <w:spacing w:line="400" w:lineRule="exact"/>
              <w:jc w:val="center"/>
              <w:rPr>
                <w:szCs w:val="21"/>
              </w:rPr>
            </w:pPr>
          </w:p>
        </w:tc>
      </w:tr>
      <w:tr w14:paraId="2531C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3184882">
            <w:pPr>
              <w:spacing w:line="400" w:lineRule="exact"/>
              <w:jc w:val="center"/>
              <w:rPr>
                <w:szCs w:val="21"/>
              </w:rPr>
            </w:pPr>
          </w:p>
        </w:tc>
        <w:tc>
          <w:tcPr>
            <w:tcW w:w="1702" w:type="dxa"/>
            <w:vAlign w:val="center"/>
          </w:tcPr>
          <w:p w14:paraId="32816CB9">
            <w:pPr>
              <w:spacing w:line="400" w:lineRule="exact"/>
              <w:jc w:val="center"/>
              <w:rPr>
                <w:szCs w:val="21"/>
              </w:rPr>
            </w:pPr>
            <w:r>
              <w:rPr>
                <w:szCs w:val="21"/>
              </w:rPr>
              <w:t>东方城市花园</w:t>
            </w:r>
          </w:p>
        </w:tc>
        <w:tc>
          <w:tcPr>
            <w:tcW w:w="694" w:type="dxa"/>
            <w:vAlign w:val="center"/>
          </w:tcPr>
          <w:p w14:paraId="28A6A67F">
            <w:pPr>
              <w:spacing w:line="400" w:lineRule="exact"/>
              <w:jc w:val="center"/>
              <w:rPr>
                <w:szCs w:val="21"/>
              </w:rPr>
            </w:pPr>
            <w:r>
              <w:rPr>
                <w:szCs w:val="21"/>
              </w:rPr>
              <w:t>SW</w:t>
            </w:r>
          </w:p>
        </w:tc>
        <w:tc>
          <w:tcPr>
            <w:tcW w:w="1093" w:type="dxa"/>
            <w:vAlign w:val="center"/>
          </w:tcPr>
          <w:p w14:paraId="336F5E2E">
            <w:pPr>
              <w:spacing w:line="400" w:lineRule="exact"/>
              <w:jc w:val="center"/>
              <w:rPr>
                <w:szCs w:val="21"/>
              </w:rPr>
            </w:pPr>
            <w:r>
              <w:rPr>
                <w:szCs w:val="21"/>
              </w:rPr>
              <w:t>1460</w:t>
            </w:r>
          </w:p>
        </w:tc>
        <w:tc>
          <w:tcPr>
            <w:tcW w:w="2885" w:type="dxa"/>
            <w:vAlign w:val="center"/>
          </w:tcPr>
          <w:p w14:paraId="06E14C86">
            <w:pPr>
              <w:spacing w:line="400" w:lineRule="exact"/>
              <w:jc w:val="center"/>
              <w:rPr>
                <w:szCs w:val="21"/>
              </w:rPr>
            </w:pPr>
            <w:r>
              <w:rPr>
                <w:szCs w:val="21"/>
              </w:rPr>
              <w:t>约1000户，约有人口3000人</w:t>
            </w:r>
          </w:p>
        </w:tc>
        <w:tc>
          <w:tcPr>
            <w:tcW w:w="1387" w:type="dxa"/>
            <w:vMerge w:val="continue"/>
            <w:vAlign w:val="center"/>
          </w:tcPr>
          <w:p w14:paraId="62024D3F">
            <w:pPr>
              <w:spacing w:line="400" w:lineRule="exact"/>
              <w:jc w:val="center"/>
              <w:rPr>
                <w:szCs w:val="21"/>
              </w:rPr>
            </w:pPr>
          </w:p>
        </w:tc>
      </w:tr>
      <w:tr w14:paraId="2C076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8DE3BBB">
            <w:pPr>
              <w:spacing w:line="400" w:lineRule="exact"/>
              <w:jc w:val="center"/>
              <w:rPr>
                <w:szCs w:val="21"/>
              </w:rPr>
            </w:pPr>
          </w:p>
        </w:tc>
        <w:tc>
          <w:tcPr>
            <w:tcW w:w="1702" w:type="dxa"/>
            <w:vAlign w:val="center"/>
          </w:tcPr>
          <w:p w14:paraId="54E067C8">
            <w:pPr>
              <w:spacing w:line="400" w:lineRule="exact"/>
              <w:jc w:val="center"/>
              <w:rPr>
                <w:szCs w:val="21"/>
              </w:rPr>
            </w:pPr>
            <w:r>
              <w:rPr>
                <w:szCs w:val="21"/>
              </w:rPr>
              <w:t>刘郢村</w:t>
            </w:r>
          </w:p>
        </w:tc>
        <w:tc>
          <w:tcPr>
            <w:tcW w:w="694" w:type="dxa"/>
            <w:vAlign w:val="center"/>
          </w:tcPr>
          <w:p w14:paraId="3BF4C270">
            <w:pPr>
              <w:spacing w:line="400" w:lineRule="exact"/>
              <w:jc w:val="center"/>
              <w:rPr>
                <w:szCs w:val="21"/>
              </w:rPr>
            </w:pPr>
            <w:r>
              <w:rPr>
                <w:szCs w:val="21"/>
              </w:rPr>
              <w:t>NW</w:t>
            </w:r>
          </w:p>
        </w:tc>
        <w:tc>
          <w:tcPr>
            <w:tcW w:w="1093" w:type="dxa"/>
            <w:vAlign w:val="center"/>
          </w:tcPr>
          <w:p w14:paraId="695D2FBB">
            <w:pPr>
              <w:spacing w:line="400" w:lineRule="exact"/>
              <w:jc w:val="center"/>
              <w:rPr>
                <w:szCs w:val="21"/>
              </w:rPr>
            </w:pPr>
            <w:r>
              <w:rPr>
                <w:szCs w:val="21"/>
              </w:rPr>
              <w:t>580</w:t>
            </w:r>
          </w:p>
        </w:tc>
        <w:tc>
          <w:tcPr>
            <w:tcW w:w="2885" w:type="dxa"/>
            <w:vAlign w:val="center"/>
          </w:tcPr>
          <w:p w14:paraId="1D27697B">
            <w:pPr>
              <w:spacing w:line="400" w:lineRule="exact"/>
              <w:jc w:val="center"/>
              <w:rPr>
                <w:szCs w:val="21"/>
              </w:rPr>
            </w:pPr>
            <w:r>
              <w:rPr>
                <w:szCs w:val="21"/>
              </w:rPr>
              <w:t>约100户，约有人口300人</w:t>
            </w:r>
          </w:p>
        </w:tc>
        <w:tc>
          <w:tcPr>
            <w:tcW w:w="1387" w:type="dxa"/>
            <w:vMerge w:val="continue"/>
            <w:vAlign w:val="center"/>
          </w:tcPr>
          <w:p w14:paraId="018DE272">
            <w:pPr>
              <w:spacing w:line="400" w:lineRule="exact"/>
              <w:jc w:val="center"/>
              <w:rPr>
                <w:szCs w:val="21"/>
              </w:rPr>
            </w:pPr>
          </w:p>
        </w:tc>
      </w:tr>
      <w:tr w14:paraId="2097E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72EFADE1">
            <w:pPr>
              <w:spacing w:line="400" w:lineRule="exact"/>
              <w:jc w:val="center"/>
              <w:rPr>
                <w:szCs w:val="21"/>
              </w:rPr>
            </w:pPr>
          </w:p>
        </w:tc>
        <w:tc>
          <w:tcPr>
            <w:tcW w:w="1702" w:type="dxa"/>
            <w:vAlign w:val="center"/>
          </w:tcPr>
          <w:p w14:paraId="6EC8A7E9">
            <w:pPr>
              <w:spacing w:line="400" w:lineRule="exact"/>
              <w:jc w:val="center"/>
              <w:rPr>
                <w:szCs w:val="21"/>
              </w:rPr>
            </w:pPr>
            <w:r>
              <w:rPr>
                <w:szCs w:val="21"/>
              </w:rPr>
              <w:t>淮南农场九队</w:t>
            </w:r>
          </w:p>
        </w:tc>
        <w:tc>
          <w:tcPr>
            <w:tcW w:w="694" w:type="dxa"/>
            <w:vAlign w:val="center"/>
          </w:tcPr>
          <w:p w14:paraId="08249F3E">
            <w:pPr>
              <w:spacing w:line="400" w:lineRule="exact"/>
              <w:jc w:val="center"/>
              <w:rPr>
                <w:szCs w:val="21"/>
              </w:rPr>
            </w:pPr>
            <w:r>
              <w:rPr>
                <w:szCs w:val="21"/>
              </w:rPr>
              <w:t>SE</w:t>
            </w:r>
          </w:p>
        </w:tc>
        <w:tc>
          <w:tcPr>
            <w:tcW w:w="1093" w:type="dxa"/>
            <w:vAlign w:val="center"/>
          </w:tcPr>
          <w:p w14:paraId="5C8530CC">
            <w:pPr>
              <w:spacing w:line="400" w:lineRule="exact"/>
              <w:jc w:val="center"/>
              <w:rPr>
                <w:szCs w:val="21"/>
              </w:rPr>
            </w:pPr>
            <w:r>
              <w:rPr>
                <w:szCs w:val="21"/>
              </w:rPr>
              <w:t>1879</w:t>
            </w:r>
          </w:p>
        </w:tc>
        <w:tc>
          <w:tcPr>
            <w:tcW w:w="2885" w:type="dxa"/>
            <w:vAlign w:val="center"/>
          </w:tcPr>
          <w:p w14:paraId="66BFCAB1">
            <w:pPr>
              <w:spacing w:line="400" w:lineRule="exact"/>
              <w:jc w:val="center"/>
              <w:rPr>
                <w:szCs w:val="21"/>
              </w:rPr>
            </w:pPr>
            <w:r>
              <w:rPr>
                <w:szCs w:val="21"/>
              </w:rPr>
              <w:t>约50户，约有人口150人</w:t>
            </w:r>
          </w:p>
        </w:tc>
        <w:tc>
          <w:tcPr>
            <w:tcW w:w="1387" w:type="dxa"/>
            <w:vMerge w:val="continue"/>
            <w:vAlign w:val="center"/>
          </w:tcPr>
          <w:p w14:paraId="5DBDC647">
            <w:pPr>
              <w:spacing w:line="400" w:lineRule="exact"/>
              <w:jc w:val="center"/>
              <w:rPr>
                <w:szCs w:val="21"/>
              </w:rPr>
            </w:pPr>
          </w:p>
        </w:tc>
      </w:tr>
      <w:tr w14:paraId="59783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7EE14AC">
            <w:pPr>
              <w:spacing w:line="400" w:lineRule="exact"/>
              <w:jc w:val="center"/>
              <w:rPr>
                <w:szCs w:val="21"/>
              </w:rPr>
            </w:pPr>
          </w:p>
        </w:tc>
        <w:tc>
          <w:tcPr>
            <w:tcW w:w="1702" w:type="dxa"/>
            <w:vAlign w:val="center"/>
          </w:tcPr>
          <w:p w14:paraId="4026535C">
            <w:pPr>
              <w:spacing w:line="400" w:lineRule="exact"/>
              <w:jc w:val="center"/>
              <w:rPr>
                <w:szCs w:val="21"/>
              </w:rPr>
            </w:pPr>
            <w:r>
              <w:rPr>
                <w:szCs w:val="21"/>
              </w:rPr>
              <w:t>红光村</w:t>
            </w:r>
          </w:p>
        </w:tc>
        <w:tc>
          <w:tcPr>
            <w:tcW w:w="694" w:type="dxa"/>
            <w:vAlign w:val="center"/>
          </w:tcPr>
          <w:p w14:paraId="0A46B293">
            <w:pPr>
              <w:spacing w:line="400" w:lineRule="exact"/>
              <w:jc w:val="center"/>
              <w:rPr>
                <w:szCs w:val="21"/>
              </w:rPr>
            </w:pPr>
            <w:r>
              <w:rPr>
                <w:szCs w:val="21"/>
              </w:rPr>
              <w:t>E</w:t>
            </w:r>
          </w:p>
        </w:tc>
        <w:tc>
          <w:tcPr>
            <w:tcW w:w="1093" w:type="dxa"/>
            <w:vAlign w:val="center"/>
          </w:tcPr>
          <w:p w14:paraId="132CFF44">
            <w:pPr>
              <w:spacing w:line="400" w:lineRule="exact"/>
              <w:jc w:val="center"/>
              <w:rPr>
                <w:szCs w:val="21"/>
              </w:rPr>
            </w:pPr>
            <w:r>
              <w:rPr>
                <w:szCs w:val="21"/>
              </w:rPr>
              <w:t>2343</w:t>
            </w:r>
          </w:p>
        </w:tc>
        <w:tc>
          <w:tcPr>
            <w:tcW w:w="2885" w:type="dxa"/>
            <w:vAlign w:val="center"/>
          </w:tcPr>
          <w:p w14:paraId="62D175FF">
            <w:pPr>
              <w:spacing w:line="400" w:lineRule="exact"/>
              <w:jc w:val="center"/>
              <w:rPr>
                <w:szCs w:val="21"/>
              </w:rPr>
            </w:pPr>
            <w:r>
              <w:rPr>
                <w:szCs w:val="21"/>
              </w:rPr>
              <w:t>约30户，约有人口90人</w:t>
            </w:r>
          </w:p>
        </w:tc>
        <w:tc>
          <w:tcPr>
            <w:tcW w:w="1387" w:type="dxa"/>
            <w:vMerge w:val="continue"/>
            <w:vAlign w:val="center"/>
          </w:tcPr>
          <w:p w14:paraId="5EC90315">
            <w:pPr>
              <w:spacing w:line="400" w:lineRule="exact"/>
              <w:jc w:val="center"/>
              <w:rPr>
                <w:szCs w:val="21"/>
              </w:rPr>
            </w:pPr>
          </w:p>
        </w:tc>
      </w:tr>
      <w:tr w14:paraId="324E2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0F786611">
            <w:pPr>
              <w:spacing w:line="400" w:lineRule="exact"/>
              <w:jc w:val="center"/>
              <w:rPr>
                <w:szCs w:val="21"/>
              </w:rPr>
            </w:pPr>
          </w:p>
        </w:tc>
        <w:tc>
          <w:tcPr>
            <w:tcW w:w="1702" w:type="dxa"/>
            <w:vAlign w:val="center"/>
          </w:tcPr>
          <w:p w14:paraId="3A670B93">
            <w:pPr>
              <w:spacing w:line="400" w:lineRule="exact"/>
              <w:jc w:val="center"/>
              <w:rPr>
                <w:szCs w:val="21"/>
              </w:rPr>
            </w:pPr>
            <w:r>
              <w:rPr>
                <w:szCs w:val="21"/>
              </w:rPr>
              <w:t>曹家湖</w:t>
            </w:r>
          </w:p>
        </w:tc>
        <w:tc>
          <w:tcPr>
            <w:tcW w:w="694" w:type="dxa"/>
            <w:vAlign w:val="center"/>
          </w:tcPr>
          <w:p w14:paraId="1C61B669">
            <w:pPr>
              <w:spacing w:line="400" w:lineRule="exact"/>
              <w:jc w:val="center"/>
              <w:rPr>
                <w:szCs w:val="21"/>
              </w:rPr>
            </w:pPr>
            <w:r>
              <w:rPr>
                <w:szCs w:val="21"/>
              </w:rPr>
              <w:t>E</w:t>
            </w:r>
          </w:p>
        </w:tc>
        <w:tc>
          <w:tcPr>
            <w:tcW w:w="1093" w:type="dxa"/>
            <w:vAlign w:val="center"/>
          </w:tcPr>
          <w:p w14:paraId="3F1FAB06">
            <w:pPr>
              <w:spacing w:line="400" w:lineRule="exact"/>
              <w:jc w:val="center"/>
              <w:rPr>
                <w:szCs w:val="21"/>
              </w:rPr>
            </w:pPr>
            <w:r>
              <w:rPr>
                <w:szCs w:val="21"/>
              </w:rPr>
              <w:t>2623</w:t>
            </w:r>
          </w:p>
        </w:tc>
        <w:tc>
          <w:tcPr>
            <w:tcW w:w="2885" w:type="dxa"/>
            <w:vAlign w:val="center"/>
          </w:tcPr>
          <w:p w14:paraId="75F5A86A">
            <w:pPr>
              <w:spacing w:line="400" w:lineRule="exact"/>
              <w:jc w:val="center"/>
              <w:rPr>
                <w:szCs w:val="21"/>
              </w:rPr>
            </w:pPr>
            <w:r>
              <w:rPr>
                <w:szCs w:val="21"/>
              </w:rPr>
              <w:t>约50户，约有人口150人</w:t>
            </w:r>
          </w:p>
        </w:tc>
        <w:tc>
          <w:tcPr>
            <w:tcW w:w="1387" w:type="dxa"/>
            <w:vMerge w:val="continue"/>
            <w:vAlign w:val="center"/>
          </w:tcPr>
          <w:p w14:paraId="05C500B3">
            <w:pPr>
              <w:spacing w:line="400" w:lineRule="exact"/>
              <w:jc w:val="center"/>
              <w:rPr>
                <w:szCs w:val="21"/>
              </w:rPr>
            </w:pPr>
          </w:p>
        </w:tc>
      </w:tr>
      <w:tr w14:paraId="1FA0B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CC77A0D">
            <w:pPr>
              <w:spacing w:line="400" w:lineRule="exact"/>
              <w:jc w:val="center"/>
              <w:rPr>
                <w:szCs w:val="21"/>
              </w:rPr>
            </w:pPr>
          </w:p>
        </w:tc>
        <w:tc>
          <w:tcPr>
            <w:tcW w:w="1702" w:type="dxa"/>
            <w:vAlign w:val="center"/>
          </w:tcPr>
          <w:p w14:paraId="25F9D13C">
            <w:pPr>
              <w:spacing w:line="400" w:lineRule="exact"/>
              <w:jc w:val="center"/>
              <w:rPr>
                <w:szCs w:val="21"/>
              </w:rPr>
            </w:pPr>
            <w:r>
              <w:rPr>
                <w:szCs w:val="21"/>
              </w:rPr>
              <w:t>新柳郢</w:t>
            </w:r>
          </w:p>
        </w:tc>
        <w:tc>
          <w:tcPr>
            <w:tcW w:w="694" w:type="dxa"/>
            <w:vAlign w:val="center"/>
          </w:tcPr>
          <w:p w14:paraId="1E76372B">
            <w:pPr>
              <w:spacing w:line="400" w:lineRule="exact"/>
              <w:jc w:val="center"/>
              <w:rPr>
                <w:szCs w:val="21"/>
              </w:rPr>
            </w:pPr>
            <w:r>
              <w:rPr>
                <w:szCs w:val="21"/>
              </w:rPr>
              <w:t>NE</w:t>
            </w:r>
          </w:p>
        </w:tc>
        <w:tc>
          <w:tcPr>
            <w:tcW w:w="1093" w:type="dxa"/>
            <w:vAlign w:val="center"/>
          </w:tcPr>
          <w:p w14:paraId="424DC9F5">
            <w:pPr>
              <w:spacing w:line="400" w:lineRule="exact"/>
              <w:jc w:val="center"/>
              <w:rPr>
                <w:szCs w:val="21"/>
              </w:rPr>
            </w:pPr>
            <w:r>
              <w:rPr>
                <w:szCs w:val="21"/>
              </w:rPr>
              <w:t>1773</w:t>
            </w:r>
          </w:p>
        </w:tc>
        <w:tc>
          <w:tcPr>
            <w:tcW w:w="2885" w:type="dxa"/>
            <w:vAlign w:val="center"/>
          </w:tcPr>
          <w:p w14:paraId="34F0A3DB">
            <w:pPr>
              <w:spacing w:line="400" w:lineRule="exact"/>
              <w:jc w:val="center"/>
              <w:rPr>
                <w:szCs w:val="21"/>
              </w:rPr>
            </w:pPr>
            <w:r>
              <w:rPr>
                <w:szCs w:val="21"/>
              </w:rPr>
              <w:t>约100户，约有人口300人</w:t>
            </w:r>
          </w:p>
        </w:tc>
        <w:tc>
          <w:tcPr>
            <w:tcW w:w="1387" w:type="dxa"/>
            <w:vMerge w:val="continue"/>
            <w:vAlign w:val="center"/>
          </w:tcPr>
          <w:p w14:paraId="076894A2">
            <w:pPr>
              <w:spacing w:line="400" w:lineRule="exact"/>
              <w:jc w:val="center"/>
              <w:rPr>
                <w:szCs w:val="21"/>
              </w:rPr>
            </w:pPr>
          </w:p>
        </w:tc>
      </w:tr>
      <w:tr w14:paraId="38134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75F9877A">
            <w:pPr>
              <w:spacing w:line="400" w:lineRule="exact"/>
              <w:jc w:val="center"/>
              <w:rPr>
                <w:szCs w:val="21"/>
              </w:rPr>
            </w:pPr>
          </w:p>
        </w:tc>
        <w:tc>
          <w:tcPr>
            <w:tcW w:w="1702" w:type="dxa"/>
            <w:vAlign w:val="center"/>
          </w:tcPr>
          <w:p w14:paraId="2617F781">
            <w:pPr>
              <w:spacing w:line="400" w:lineRule="exact"/>
              <w:jc w:val="center"/>
              <w:rPr>
                <w:szCs w:val="21"/>
              </w:rPr>
            </w:pPr>
            <w:r>
              <w:rPr>
                <w:szCs w:val="21"/>
              </w:rPr>
              <w:t>东场</w:t>
            </w:r>
          </w:p>
        </w:tc>
        <w:tc>
          <w:tcPr>
            <w:tcW w:w="694" w:type="dxa"/>
            <w:vAlign w:val="center"/>
          </w:tcPr>
          <w:p w14:paraId="43219AD3">
            <w:pPr>
              <w:spacing w:line="400" w:lineRule="exact"/>
              <w:jc w:val="center"/>
              <w:rPr>
                <w:szCs w:val="21"/>
              </w:rPr>
            </w:pPr>
            <w:r>
              <w:rPr>
                <w:szCs w:val="21"/>
              </w:rPr>
              <w:t>NE</w:t>
            </w:r>
          </w:p>
        </w:tc>
        <w:tc>
          <w:tcPr>
            <w:tcW w:w="1093" w:type="dxa"/>
            <w:vAlign w:val="center"/>
          </w:tcPr>
          <w:p w14:paraId="649A221B">
            <w:pPr>
              <w:spacing w:line="400" w:lineRule="exact"/>
              <w:jc w:val="center"/>
              <w:rPr>
                <w:szCs w:val="21"/>
              </w:rPr>
            </w:pPr>
            <w:r>
              <w:rPr>
                <w:szCs w:val="21"/>
              </w:rPr>
              <w:t>1449</w:t>
            </w:r>
          </w:p>
        </w:tc>
        <w:tc>
          <w:tcPr>
            <w:tcW w:w="2885" w:type="dxa"/>
            <w:vAlign w:val="center"/>
          </w:tcPr>
          <w:p w14:paraId="2C13CCEB">
            <w:pPr>
              <w:spacing w:line="400" w:lineRule="exact"/>
              <w:jc w:val="center"/>
              <w:rPr>
                <w:szCs w:val="21"/>
              </w:rPr>
            </w:pPr>
            <w:r>
              <w:rPr>
                <w:szCs w:val="21"/>
              </w:rPr>
              <w:t>约150户，约有人口450人</w:t>
            </w:r>
          </w:p>
        </w:tc>
        <w:tc>
          <w:tcPr>
            <w:tcW w:w="1387" w:type="dxa"/>
            <w:vMerge w:val="continue"/>
            <w:vAlign w:val="center"/>
          </w:tcPr>
          <w:p w14:paraId="23BCBC74">
            <w:pPr>
              <w:spacing w:line="400" w:lineRule="exact"/>
              <w:jc w:val="center"/>
              <w:rPr>
                <w:szCs w:val="21"/>
              </w:rPr>
            </w:pPr>
          </w:p>
        </w:tc>
      </w:tr>
      <w:tr w14:paraId="208510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74FA2382">
            <w:pPr>
              <w:spacing w:line="400" w:lineRule="exact"/>
              <w:jc w:val="center"/>
              <w:rPr>
                <w:szCs w:val="21"/>
              </w:rPr>
            </w:pPr>
          </w:p>
        </w:tc>
        <w:tc>
          <w:tcPr>
            <w:tcW w:w="1702" w:type="dxa"/>
            <w:vAlign w:val="center"/>
          </w:tcPr>
          <w:p w14:paraId="1E72EA0D">
            <w:pPr>
              <w:spacing w:line="400" w:lineRule="exact"/>
              <w:jc w:val="center"/>
              <w:rPr>
                <w:szCs w:val="21"/>
              </w:rPr>
            </w:pPr>
            <w:r>
              <w:rPr>
                <w:szCs w:val="21"/>
              </w:rPr>
              <w:t>西场</w:t>
            </w:r>
          </w:p>
        </w:tc>
        <w:tc>
          <w:tcPr>
            <w:tcW w:w="694" w:type="dxa"/>
            <w:vAlign w:val="center"/>
          </w:tcPr>
          <w:p w14:paraId="2DD3ED2E">
            <w:pPr>
              <w:spacing w:line="400" w:lineRule="exact"/>
              <w:jc w:val="center"/>
              <w:rPr>
                <w:szCs w:val="21"/>
              </w:rPr>
            </w:pPr>
            <w:r>
              <w:rPr>
                <w:szCs w:val="21"/>
              </w:rPr>
              <w:t>NE</w:t>
            </w:r>
          </w:p>
        </w:tc>
        <w:tc>
          <w:tcPr>
            <w:tcW w:w="1093" w:type="dxa"/>
            <w:vAlign w:val="center"/>
          </w:tcPr>
          <w:p w14:paraId="1B98D69B">
            <w:pPr>
              <w:spacing w:line="400" w:lineRule="exact"/>
              <w:jc w:val="center"/>
              <w:rPr>
                <w:szCs w:val="21"/>
              </w:rPr>
            </w:pPr>
            <w:r>
              <w:rPr>
                <w:szCs w:val="21"/>
              </w:rPr>
              <w:t>1609</w:t>
            </w:r>
          </w:p>
        </w:tc>
        <w:tc>
          <w:tcPr>
            <w:tcW w:w="2885" w:type="dxa"/>
            <w:vAlign w:val="center"/>
          </w:tcPr>
          <w:p w14:paraId="58420348">
            <w:pPr>
              <w:spacing w:line="400" w:lineRule="exact"/>
              <w:jc w:val="center"/>
              <w:rPr>
                <w:szCs w:val="21"/>
              </w:rPr>
            </w:pPr>
            <w:r>
              <w:rPr>
                <w:szCs w:val="21"/>
              </w:rPr>
              <w:t>约100户，约有人口300人</w:t>
            </w:r>
          </w:p>
        </w:tc>
        <w:tc>
          <w:tcPr>
            <w:tcW w:w="1387" w:type="dxa"/>
            <w:vMerge w:val="continue"/>
            <w:vAlign w:val="center"/>
          </w:tcPr>
          <w:p w14:paraId="3C52666A">
            <w:pPr>
              <w:spacing w:line="400" w:lineRule="exact"/>
              <w:jc w:val="center"/>
              <w:rPr>
                <w:szCs w:val="21"/>
              </w:rPr>
            </w:pPr>
          </w:p>
        </w:tc>
      </w:tr>
      <w:tr w14:paraId="538EA6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59D2FE8A">
            <w:pPr>
              <w:spacing w:line="400" w:lineRule="exact"/>
              <w:jc w:val="center"/>
              <w:rPr>
                <w:szCs w:val="21"/>
              </w:rPr>
            </w:pPr>
          </w:p>
        </w:tc>
        <w:tc>
          <w:tcPr>
            <w:tcW w:w="1702" w:type="dxa"/>
            <w:vAlign w:val="center"/>
          </w:tcPr>
          <w:p w14:paraId="1F041C93">
            <w:pPr>
              <w:spacing w:line="400" w:lineRule="exact"/>
              <w:jc w:val="center"/>
              <w:rPr>
                <w:szCs w:val="21"/>
              </w:rPr>
            </w:pPr>
            <w:r>
              <w:rPr>
                <w:szCs w:val="21"/>
              </w:rPr>
              <w:t>七里庙</w:t>
            </w:r>
          </w:p>
        </w:tc>
        <w:tc>
          <w:tcPr>
            <w:tcW w:w="694" w:type="dxa"/>
            <w:vAlign w:val="center"/>
          </w:tcPr>
          <w:p w14:paraId="412C0294">
            <w:pPr>
              <w:spacing w:line="400" w:lineRule="exact"/>
              <w:jc w:val="center"/>
              <w:rPr>
                <w:szCs w:val="21"/>
              </w:rPr>
            </w:pPr>
            <w:r>
              <w:rPr>
                <w:szCs w:val="21"/>
              </w:rPr>
              <w:t>N\W</w:t>
            </w:r>
          </w:p>
        </w:tc>
        <w:tc>
          <w:tcPr>
            <w:tcW w:w="1093" w:type="dxa"/>
            <w:vAlign w:val="center"/>
          </w:tcPr>
          <w:p w14:paraId="287432D3">
            <w:pPr>
              <w:spacing w:line="400" w:lineRule="exact"/>
              <w:jc w:val="center"/>
              <w:rPr>
                <w:szCs w:val="21"/>
              </w:rPr>
            </w:pPr>
            <w:r>
              <w:rPr>
                <w:szCs w:val="21"/>
              </w:rPr>
              <w:t>721</w:t>
            </w:r>
          </w:p>
        </w:tc>
        <w:tc>
          <w:tcPr>
            <w:tcW w:w="2885" w:type="dxa"/>
            <w:vAlign w:val="center"/>
          </w:tcPr>
          <w:p w14:paraId="5479D991">
            <w:pPr>
              <w:spacing w:line="400" w:lineRule="exact"/>
              <w:jc w:val="center"/>
              <w:rPr>
                <w:szCs w:val="21"/>
              </w:rPr>
            </w:pPr>
            <w:r>
              <w:rPr>
                <w:szCs w:val="21"/>
              </w:rPr>
              <w:t>约150户，约有人口450人</w:t>
            </w:r>
          </w:p>
        </w:tc>
        <w:tc>
          <w:tcPr>
            <w:tcW w:w="1387" w:type="dxa"/>
            <w:vMerge w:val="continue"/>
            <w:vAlign w:val="center"/>
          </w:tcPr>
          <w:p w14:paraId="2EBD560A">
            <w:pPr>
              <w:spacing w:line="400" w:lineRule="exact"/>
              <w:jc w:val="center"/>
              <w:rPr>
                <w:szCs w:val="21"/>
              </w:rPr>
            </w:pPr>
          </w:p>
        </w:tc>
      </w:tr>
      <w:tr w14:paraId="64A56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BFE8666">
            <w:pPr>
              <w:spacing w:line="400" w:lineRule="exact"/>
              <w:jc w:val="center"/>
              <w:rPr>
                <w:szCs w:val="21"/>
              </w:rPr>
            </w:pPr>
          </w:p>
        </w:tc>
        <w:tc>
          <w:tcPr>
            <w:tcW w:w="1702" w:type="dxa"/>
            <w:vAlign w:val="center"/>
          </w:tcPr>
          <w:p w14:paraId="16A5D670">
            <w:pPr>
              <w:spacing w:line="400" w:lineRule="exact"/>
              <w:jc w:val="center"/>
              <w:rPr>
                <w:szCs w:val="21"/>
              </w:rPr>
            </w:pPr>
            <w:r>
              <w:rPr>
                <w:szCs w:val="21"/>
              </w:rPr>
              <w:t>桃园</w:t>
            </w:r>
          </w:p>
        </w:tc>
        <w:tc>
          <w:tcPr>
            <w:tcW w:w="694" w:type="dxa"/>
            <w:vAlign w:val="center"/>
          </w:tcPr>
          <w:p w14:paraId="2D8B1AC6">
            <w:pPr>
              <w:spacing w:line="400" w:lineRule="exact"/>
              <w:jc w:val="center"/>
              <w:rPr>
                <w:szCs w:val="21"/>
              </w:rPr>
            </w:pPr>
            <w:r>
              <w:rPr>
                <w:szCs w:val="21"/>
              </w:rPr>
              <w:t>E</w:t>
            </w:r>
          </w:p>
        </w:tc>
        <w:tc>
          <w:tcPr>
            <w:tcW w:w="1093" w:type="dxa"/>
            <w:vAlign w:val="center"/>
          </w:tcPr>
          <w:p w14:paraId="0DEF2C2E">
            <w:pPr>
              <w:spacing w:line="400" w:lineRule="exact"/>
              <w:jc w:val="center"/>
              <w:rPr>
                <w:szCs w:val="21"/>
              </w:rPr>
            </w:pPr>
            <w:r>
              <w:rPr>
                <w:szCs w:val="21"/>
              </w:rPr>
              <w:t>1758</w:t>
            </w:r>
          </w:p>
        </w:tc>
        <w:tc>
          <w:tcPr>
            <w:tcW w:w="2885" w:type="dxa"/>
            <w:vAlign w:val="center"/>
          </w:tcPr>
          <w:p w14:paraId="48BA83E4">
            <w:pPr>
              <w:spacing w:line="400" w:lineRule="exact"/>
              <w:jc w:val="center"/>
              <w:rPr>
                <w:szCs w:val="21"/>
              </w:rPr>
            </w:pPr>
            <w:r>
              <w:rPr>
                <w:szCs w:val="21"/>
              </w:rPr>
              <w:t>约30户，约有人口90人</w:t>
            </w:r>
          </w:p>
        </w:tc>
        <w:tc>
          <w:tcPr>
            <w:tcW w:w="1387" w:type="dxa"/>
            <w:vMerge w:val="continue"/>
            <w:vAlign w:val="center"/>
          </w:tcPr>
          <w:p w14:paraId="169D5769">
            <w:pPr>
              <w:spacing w:line="400" w:lineRule="exact"/>
              <w:jc w:val="center"/>
              <w:rPr>
                <w:szCs w:val="21"/>
              </w:rPr>
            </w:pPr>
          </w:p>
        </w:tc>
      </w:tr>
      <w:tr w14:paraId="4EF6E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2EC3A769">
            <w:pPr>
              <w:spacing w:line="400" w:lineRule="exact"/>
              <w:jc w:val="center"/>
              <w:rPr>
                <w:szCs w:val="21"/>
              </w:rPr>
            </w:pPr>
          </w:p>
        </w:tc>
        <w:tc>
          <w:tcPr>
            <w:tcW w:w="1702" w:type="dxa"/>
            <w:vAlign w:val="center"/>
          </w:tcPr>
          <w:p w14:paraId="6A7B84BD">
            <w:pPr>
              <w:spacing w:line="400" w:lineRule="exact"/>
              <w:jc w:val="center"/>
              <w:rPr>
                <w:szCs w:val="21"/>
              </w:rPr>
            </w:pPr>
            <w:r>
              <w:rPr>
                <w:szCs w:val="21"/>
              </w:rPr>
              <w:t>规划小学</w:t>
            </w:r>
          </w:p>
        </w:tc>
        <w:tc>
          <w:tcPr>
            <w:tcW w:w="694" w:type="dxa"/>
            <w:vAlign w:val="center"/>
          </w:tcPr>
          <w:p w14:paraId="4237E1E4">
            <w:pPr>
              <w:spacing w:line="400" w:lineRule="exact"/>
              <w:jc w:val="center"/>
              <w:rPr>
                <w:szCs w:val="21"/>
              </w:rPr>
            </w:pPr>
            <w:r>
              <w:rPr>
                <w:szCs w:val="21"/>
              </w:rPr>
              <w:t>N</w:t>
            </w:r>
          </w:p>
        </w:tc>
        <w:tc>
          <w:tcPr>
            <w:tcW w:w="1093" w:type="dxa"/>
            <w:vAlign w:val="center"/>
          </w:tcPr>
          <w:p w14:paraId="47E05070">
            <w:pPr>
              <w:spacing w:line="400" w:lineRule="exact"/>
              <w:jc w:val="center"/>
              <w:rPr>
                <w:szCs w:val="21"/>
              </w:rPr>
            </w:pPr>
            <w:r>
              <w:rPr>
                <w:szCs w:val="21"/>
              </w:rPr>
              <w:t>380</w:t>
            </w:r>
          </w:p>
        </w:tc>
        <w:tc>
          <w:tcPr>
            <w:tcW w:w="2885" w:type="dxa"/>
            <w:vAlign w:val="center"/>
          </w:tcPr>
          <w:p w14:paraId="00DDE8B4">
            <w:pPr>
              <w:spacing w:line="400" w:lineRule="exact"/>
              <w:jc w:val="center"/>
              <w:rPr>
                <w:szCs w:val="21"/>
              </w:rPr>
            </w:pPr>
            <w:r>
              <w:rPr>
                <w:szCs w:val="21"/>
              </w:rPr>
              <w:t>学校</w:t>
            </w:r>
          </w:p>
        </w:tc>
        <w:tc>
          <w:tcPr>
            <w:tcW w:w="1387" w:type="dxa"/>
            <w:vMerge w:val="continue"/>
            <w:vAlign w:val="center"/>
          </w:tcPr>
          <w:p w14:paraId="758E3D12">
            <w:pPr>
              <w:spacing w:line="400" w:lineRule="exact"/>
              <w:jc w:val="center"/>
              <w:rPr>
                <w:szCs w:val="21"/>
              </w:rPr>
            </w:pPr>
          </w:p>
        </w:tc>
      </w:tr>
      <w:tr w14:paraId="5DDBDE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F264D13">
            <w:pPr>
              <w:spacing w:line="400" w:lineRule="exact"/>
              <w:jc w:val="center"/>
              <w:rPr>
                <w:szCs w:val="21"/>
              </w:rPr>
            </w:pPr>
          </w:p>
        </w:tc>
        <w:tc>
          <w:tcPr>
            <w:tcW w:w="1702" w:type="dxa"/>
            <w:vAlign w:val="center"/>
          </w:tcPr>
          <w:p w14:paraId="70BD4812">
            <w:pPr>
              <w:spacing w:line="400" w:lineRule="exact"/>
              <w:jc w:val="center"/>
              <w:rPr>
                <w:szCs w:val="21"/>
              </w:rPr>
            </w:pPr>
            <w:r>
              <w:rPr>
                <w:szCs w:val="21"/>
              </w:rPr>
              <w:t>郑郢孜</w:t>
            </w:r>
          </w:p>
        </w:tc>
        <w:tc>
          <w:tcPr>
            <w:tcW w:w="694" w:type="dxa"/>
            <w:vAlign w:val="center"/>
          </w:tcPr>
          <w:p w14:paraId="13733C82">
            <w:pPr>
              <w:spacing w:line="400" w:lineRule="exact"/>
              <w:jc w:val="center"/>
              <w:rPr>
                <w:szCs w:val="21"/>
              </w:rPr>
            </w:pPr>
            <w:r>
              <w:rPr>
                <w:szCs w:val="21"/>
              </w:rPr>
              <w:t>W</w:t>
            </w:r>
          </w:p>
        </w:tc>
        <w:tc>
          <w:tcPr>
            <w:tcW w:w="1093" w:type="dxa"/>
            <w:vAlign w:val="center"/>
          </w:tcPr>
          <w:p w14:paraId="6DE9B052">
            <w:pPr>
              <w:spacing w:line="400" w:lineRule="exact"/>
              <w:jc w:val="center"/>
              <w:rPr>
                <w:szCs w:val="21"/>
              </w:rPr>
            </w:pPr>
            <w:r>
              <w:rPr>
                <w:szCs w:val="21"/>
              </w:rPr>
              <w:t>1130</w:t>
            </w:r>
          </w:p>
        </w:tc>
        <w:tc>
          <w:tcPr>
            <w:tcW w:w="2885" w:type="dxa"/>
            <w:vAlign w:val="center"/>
          </w:tcPr>
          <w:p w14:paraId="7409BC79">
            <w:pPr>
              <w:spacing w:line="400" w:lineRule="exact"/>
              <w:jc w:val="center"/>
              <w:rPr>
                <w:szCs w:val="21"/>
              </w:rPr>
            </w:pPr>
            <w:r>
              <w:rPr>
                <w:szCs w:val="21"/>
              </w:rPr>
              <w:t>约24户，约有人口72人</w:t>
            </w:r>
          </w:p>
        </w:tc>
        <w:tc>
          <w:tcPr>
            <w:tcW w:w="1387" w:type="dxa"/>
            <w:vMerge w:val="continue"/>
            <w:vAlign w:val="center"/>
          </w:tcPr>
          <w:p w14:paraId="246AEB8A">
            <w:pPr>
              <w:spacing w:line="400" w:lineRule="exact"/>
              <w:jc w:val="center"/>
              <w:rPr>
                <w:szCs w:val="21"/>
              </w:rPr>
            </w:pPr>
          </w:p>
        </w:tc>
      </w:tr>
      <w:tr w14:paraId="77AEC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6558E9F">
            <w:pPr>
              <w:spacing w:line="400" w:lineRule="exact"/>
              <w:jc w:val="center"/>
              <w:rPr>
                <w:szCs w:val="21"/>
              </w:rPr>
            </w:pPr>
          </w:p>
        </w:tc>
        <w:tc>
          <w:tcPr>
            <w:tcW w:w="1702" w:type="dxa"/>
            <w:vAlign w:val="center"/>
          </w:tcPr>
          <w:p w14:paraId="570B625C">
            <w:pPr>
              <w:spacing w:line="400" w:lineRule="exact"/>
              <w:jc w:val="center"/>
              <w:rPr>
                <w:szCs w:val="21"/>
              </w:rPr>
            </w:pPr>
            <w:r>
              <w:rPr>
                <w:szCs w:val="21"/>
              </w:rPr>
              <w:t>淮南农场六队</w:t>
            </w:r>
          </w:p>
        </w:tc>
        <w:tc>
          <w:tcPr>
            <w:tcW w:w="694" w:type="dxa"/>
            <w:vAlign w:val="center"/>
          </w:tcPr>
          <w:p w14:paraId="4F511AF8">
            <w:pPr>
              <w:spacing w:line="400" w:lineRule="exact"/>
              <w:jc w:val="center"/>
              <w:rPr>
                <w:szCs w:val="21"/>
              </w:rPr>
            </w:pPr>
            <w:r>
              <w:rPr>
                <w:szCs w:val="21"/>
              </w:rPr>
              <w:t>SE</w:t>
            </w:r>
          </w:p>
        </w:tc>
        <w:tc>
          <w:tcPr>
            <w:tcW w:w="1093" w:type="dxa"/>
            <w:vAlign w:val="center"/>
          </w:tcPr>
          <w:p w14:paraId="760B8239">
            <w:pPr>
              <w:spacing w:line="400" w:lineRule="exact"/>
              <w:jc w:val="center"/>
              <w:rPr>
                <w:szCs w:val="21"/>
              </w:rPr>
            </w:pPr>
            <w:r>
              <w:rPr>
                <w:szCs w:val="21"/>
              </w:rPr>
              <w:t>1160</w:t>
            </w:r>
          </w:p>
        </w:tc>
        <w:tc>
          <w:tcPr>
            <w:tcW w:w="2885" w:type="dxa"/>
            <w:vAlign w:val="center"/>
          </w:tcPr>
          <w:p w14:paraId="304F6B7C">
            <w:pPr>
              <w:spacing w:line="400" w:lineRule="exact"/>
              <w:jc w:val="center"/>
              <w:rPr>
                <w:szCs w:val="21"/>
              </w:rPr>
            </w:pPr>
            <w:r>
              <w:rPr>
                <w:szCs w:val="21"/>
              </w:rPr>
              <w:t>约12户，约有人口36人</w:t>
            </w:r>
          </w:p>
        </w:tc>
        <w:tc>
          <w:tcPr>
            <w:tcW w:w="1387" w:type="dxa"/>
            <w:vMerge w:val="continue"/>
            <w:vAlign w:val="center"/>
          </w:tcPr>
          <w:p w14:paraId="0FA6FF2B">
            <w:pPr>
              <w:spacing w:line="400" w:lineRule="exact"/>
              <w:jc w:val="center"/>
              <w:rPr>
                <w:szCs w:val="21"/>
              </w:rPr>
            </w:pPr>
          </w:p>
        </w:tc>
      </w:tr>
      <w:tr w14:paraId="4ED78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AABEFC9">
            <w:pPr>
              <w:spacing w:line="400" w:lineRule="exact"/>
              <w:jc w:val="center"/>
              <w:rPr>
                <w:szCs w:val="21"/>
              </w:rPr>
            </w:pPr>
          </w:p>
        </w:tc>
        <w:tc>
          <w:tcPr>
            <w:tcW w:w="1702" w:type="dxa"/>
            <w:vAlign w:val="center"/>
          </w:tcPr>
          <w:p w14:paraId="09287258">
            <w:pPr>
              <w:spacing w:line="400" w:lineRule="exact"/>
              <w:jc w:val="center"/>
              <w:rPr>
                <w:szCs w:val="21"/>
              </w:rPr>
            </w:pPr>
            <w:r>
              <w:rPr>
                <w:szCs w:val="21"/>
              </w:rPr>
              <w:t>八岔沟</w:t>
            </w:r>
          </w:p>
        </w:tc>
        <w:tc>
          <w:tcPr>
            <w:tcW w:w="694" w:type="dxa"/>
            <w:vAlign w:val="center"/>
          </w:tcPr>
          <w:p w14:paraId="6B6F59CF">
            <w:pPr>
              <w:spacing w:line="400" w:lineRule="exact"/>
              <w:jc w:val="center"/>
              <w:rPr>
                <w:szCs w:val="21"/>
              </w:rPr>
            </w:pPr>
            <w:r>
              <w:rPr>
                <w:szCs w:val="21"/>
              </w:rPr>
              <w:t>E</w:t>
            </w:r>
          </w:p>
        </w:tc>
        <w:tc>
          <w:tcPr>
            <w:tcW w:w="1093" w:type="dxa"/>
            <w:vAlign w:val="center"/>
          </w:tcPr>
          <w:p w14:paraId="7B949072">
            <w:pPr>
              <w:spacing w:line="400" w:lineRule="exact"/>
              <w:jc w:val="center"/>
              <w:rPr>
                <w:szCs w:val="21"/>
              </w:rPr>
            </w:pPr>
            <w:r>
              <w:rPr>
                <w:szCs w:val="21"/>
              </w:rPr>
              <w:t>2298</w:t>
            </w:r>
          </w:p>
        </w:tc>
        <w:tc>
          <w:tcPr>
            <w:tcW w:w="2885" w:type="dxa"/>
            <w:vAlign w:val="center"/>
          </w:tcPr>
          <w:p w14:paraId="61EC816D">
            <w:pPr>
              <w:spacing w:line="400" w:lineRule="exact"/>
              <w:jc w:val="center"/>
              <w:rPr>
                <w:szCs w:val="21"/>
              </w:rPr>
            </w:pPr>
            <w:r>
              <w:rPr>
                <w:szCs w:val="21"/>
              </w:rPr>
              <w:t>约9户，约有人口27人</w:t>
            </w:r>
          </w:p>
        </w:tc>
        <w:tc>
          <w:tcPr>
            <w:tcW w:w="1387" w:type="dxa"/>
            <w:vMerge w:val="continue"/>
            <w:vAlign w:val="center"/>
          </w:tcPr>
          <w:p w14:paraId="6C47F64F">
            <w:pPr>
              <w:spacing w:line="400" w:lineRule="exact"/>
              <w:jc w:val="center"/>
              <w:rPr>
                <w:szCs w:val="21"/>
              </w:rPr>
            </w:pPr>
          </w:p>
        </w:tc>
      </w:tr>
      <w:tr w14:paraId="7B0029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44D8BFF">
            <w:pPr>
              <w:spacing w:line="400" w:lineRule="exact"/>
              <w:jc w:val="center"/>
              <w:rPr>
                <w:szCs w:val="21"/>
              </w:rPr>
            </w:pPr>
          </w:p>
        </w:tc>
        <w:tc>
          <w:tcPr>
            <w:tcW w:w="1702" w:type="dxa"/>
            <w:vAlign w:val="center"/>
          </w:tcPr>
          <w:p w14:paraId="7E09C120">
            <w:pPr>
              <w:spacing w:line="400" w:lineRule="exact"/>
              <w:jc w:val="center"/>
              <w:rPr>
                <w:szCs w:val="21"/>
              </w:rPr>
            </w:pPr>
            <w:r>
              <w:rPr>
                <w:szCs w:val="21"/>
              </w:rPr>
              <w:t>朱家湖</w:t>
            </w:r>
          </w:p>
        </w:tc>
        <w:tc>
          <w:tcPr>
            <w:tcW w:w="694" w:type="dxa"/>
            <w:vAlign w:val="center"/>
          </w:tcPr>
          <w:p w14:paraId="2B514613">
            <w:pPr>
              <w:spacing w:line="400" w:lineRule="exact"/>
              <w:jc w:val="center"/>
              <w:rPr>
                <w:szCs w:val="21"/>
              </w:rPr>
            </w:pPr>
            <w:r>
              <w:rPr>
                <w:szCs w:val="21"/>
              </w:rPr>
              <w:t>SE</w:t>
            </w:r>
          </w:p>
        </w:tc>
        <w:tc>
          <w:tcPr>
            <w:tcW w:w="1093" w:type="dxa"/>
            <w:vAlign w:val="center"/>
          </w:tcPr>
          <w:p w14:paraId="30E2AF79">
            <w:pPr>
              <w:spacing w:line="400" w:lineRule="exact"/>
              <w:jc w:val="center"/>
              <w:rPr>
                <w:szCs w:val="21"/>
              </w:rPr>
            </w:pPr>
            <w:r>
              <w:rPr>
                <w:szCs w:val="21"/>
              </w:rPr>
              <w:t>1636</w:t>
            </w:r>
          </w:p>
        </w:tc>
        <w:tc>
          <w:tcPr>
            <w:tcW w:w="2885" w:type="dxa"/>
            <w:vAlign w:val="center"/>
          </w:tcPr>
          <w:p w14:paraId="5A018149">
            <w:pPr>
              <w:spacing w:line="400" w:lineRule="exact"/>
              <w:jc w:val="center"/>
              <w:rPr>
                <w:szCs w:val="21"/>
              </w:rPr>
            </w:pPr>
            <w:r>
              <w:rPr>
                <w:szCs w:val="21"/>
              </w:rPr>
              <w:t>约72户，约有人口216人</w:t>
            </w:r>
          </w:p>
        </w:tc>
        <w:tc>
          <w:tcPr>
            <w:tcW w:w="1387" w:type="dxa"/>
            <w:vMerge w:val="continue"/>
            <w:vAlign w:val="center"/>
          </w:tcPr>
          <w:p w14:paraId="56447AFA">
            <w:pPr>
              <w:spacing w:line="400" w:lineRule="exact"/>
              <w:jc w:val="center"/>
              <w:rPr>
                <w:szCs w:val="21"/>
              </w:rPr>
            </w:pPr>
          </w:p>
        </w:tc>
      </w:tr>
      <w:bookmarkEnd w:id="105"/>
      <w:tr w14:paraId="319E4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5" w:hRule="atLeast"/>
          <w:jc w:val="center"/>
        </w:trPr>
        <w:tc>
          <w:tcPr>
            <w:tcW w:w="800" w:type="dxa"/>
            <w:vAlign w:val="center"/>
          </w:tcPr>
          <w:p w14:paraId="5CD573BA">
            <w:pPr>
              <w:spacing w:line="400" w:lineRule="exact"/>
              <w:jc w:val="center"/>
              <w:rPr>
                <w:szCs w:val="21"/>
              </w:rPr>
            </w:pPr>
            <w:r>
              <w:rPr>
                <w:szCs w:val="21"/>
              </w:rPr>
              <w:t>水环境</w:t>
            </w:r>
          </w:p>
        </w:tc>
        <w:tc>
          <w:tcPr>
            <w:tcW w:w="1702" w:type="dxa"/>
            <w:vAlign w:val="center"/>
          </w:tcPr>
          <w:p w14:paraId="5A107FEB">
            <w:pPr>
              <w:spacing w:line="400" w:lineRule="exact"/>
              <w:jc w:val="center"/>
              <w:rPr>
                <w:szCs w:val="21"/>
              </w:rPr>
            </w:pPr>
            <w:r>
              <w:rPr>
                <w:szCs w:val="21"/>
              </w:rPr>
              <w:t>淮河</w:t>
            </w:r>
          </w:p>
        </w:tc>
        <w:tc>
          <w:tcPr>
            <w:tcW w:w="694" w:type="dxa"/>
            <w:vAlign w:val="center"/>
          </w:tcPr>
          <w:p w14:paraId="47D05C99">
            <w:pPr>
              <w:spacing w:line="400" w:lineRule="exact"/>
              <w:jc w:val="center"/>
              <w:rPr>
                <w:szCs w:val="21"/>
              </w:rPr>
            </w:pPr>
            <w:r>
              <w:rPr>
                <w:szCs w:val="21"/>
              </w:rPr>
              <w:t>N</w:t>
            </w:r>
          </w:p>
        </w:tc>
        <w:tc>
          <w:tcPr>
            <w:tcW w:w="1093" w:type="dxa"/>
            <w:vAlign w:val="center"/>
          </w:tcPr>
          <w:p w14:paraId="56EEB382">
            <w:pPr>
              <w:spacing w:line="400" w:lineRule="exact"/>
              <w:jc w:val="center"/>
              <w:rPr>
                <w:szCs w:val="21"/>
              </w:rPr>
            </w:pPr>
            <w:r>
              <w:rPr>
                <w:szCs w:val="21"/>
              </w:rPr>
              <w:t>3532</w:t>
            </w:r>
          </w:p>
        </w:tc>
        <w:tc>
          <w:tcPr>
            <w:tcW w:w="2885" w:type="dxa"/>
            <w:vAlign w:val="center"/>
          </w:tcPr>
          <w:p w14:paraId="6BC8DECF">
            <w:pPr>
              <w:spacing w:line="400" w:lineRule="exact"/>
              <w:jc w:val="center"/>
              <w:rPr>
                <w:szCs w:val="21"/>
              </w:rPr>
            </w:pPr>
            <w:r>
              <w:rPr>
                <w:szCs w:val="21"/>
              </w:rPr>
              <w:t>大型</w:t>
            </w:r>
          </w:p>
        </w:tc>
        <w:tc>
          <w:tcPr>
            <w:tcW w:w="1387" w:type="dxa"/>
            <w:vAlign w:val="center"/>
          </w:tcPr>
          <w:p w14:paraId="1711CF11">
            <w:pPr>
              <w:jc w:val="center"/>
              <w:rPr>
                <w:szCs w:val="21"/>
              </w:rPr>
            </w:pPr>
            <w:r>
              <w:rPr>
                <w:spacing w:val="2"/>
                <w:szCs w:val="21"/>
              </w:rPr>
              <w:t>GB3838-2002中Ⅲ类水质标准</w:t>
            </w:r>
          </w:p>
        </w:tc>
      </w:tr>
      <w:tr w14:paraId="0B43E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00" w:type="dxa"/>
            <w:vAlign w:val="center"/>
          </w:tcPr>
          <w:p w14:paraId="4C740CCB">
            <w:pPr>
              <w:spacing w:line="400" w:lineRule="exact"/>
              <w:jc w:val="center"/>
              <w:rPr>
                <w:szCs w:val="21"/>
              </w:rPr>
            </w:pPr>
            <w:r>
              <w:rPr>
                <w:szCs w:val="21"/>
              </w:rPr>
              <w:t>声环境</w:t>
            </w:r>
          </w:p>
        </w:tc>
        <w:tc>
          <w:tcPr>
            <w:tcW w:w="1702" w:type="dxa"/>
            <w:vAlign w:val="center"/>
          </w:tcPr>
          <w:p w14:paraId="2FE4C72E">
            <w:pPr>
              <w:spacing w:line="400" w:lineRule="exact"/>
              <w:jc w:val="center"/>
              <w:rPr>
                <w:szCs w:val="21"/>
              </w:rPr>
            </w:pPr>
            <w:r>
              <w:rPr>
                <w:szCs w:val="21"/>
              </w:rPr>
              <w:t>项目所在区</w:t>
            </w:r>
          </w:p>
        </w:tc>
        <w:tc>
          <w:tcPr>
            <w:tcW w:w="694" w:type="dxa"/>
            <w:vAlign w:val="center"/>
          </w:tcPr>
          <w:p w14:paraId="4500E6AB">
            <w:pPr>
              <w:spacing w:line="400" w:lineRule="exact"/>
              <w:jc w:val="center"/>
              <w:rPr>
                <w:szCs w:val="21"/>
              </w:rPr>
            </w:pPr>
            <w:r>
              <w:rPr>
                <w:szCs w:val="21"/>
              </w:rPr>
              <w:t>-</w:t>
            </w:r>
          </w:p>
        </w:tc>
        <w:tc>
          <w:tcPr>
            <w:tcW w:w="1093" w:type="dxa"/>
            <w:vAlign w:val="center"/>
          </w:tcPr>
          <w:p w14:paraId="154F5EEA">
            <w:pPr>
              <w:spacing w:line="400" w:lineRule="exact"/>
              <w:jc w:val="center"/>
              <w:rPr>
                <w:szCs w:val="21"/>
              </w:rPr>
            </w:pPr>
            <w:r>
              <w:rPr>
                <w:szCs w:val="21"/>
              </w:rPr>
              <w:t>-</w:t>
            </w:r>
          </w:p>
        </w:tc>
        <w:tc>
          <w:tcPr>
            <w:tcW w:w="2885" w:type="dxa"/>
            <w:vAlign w:val="center"/>
          </w:tcPr>
          <w:p w14:paraId="3566B788">
            <w:pPr>
              <w:spacing w:line="400" w:lineRule="exact"/>
              <w:jc w:val="center"/>
              <w:rPr>
                <w:szCs w:val="21"/>
              </w:rPr>
            </w:pPr>
            <w:r>
              <w:rPr>
                <w:szCs w:val="21"/>
              </w:rPr>
              <w:t>-</w:t>
            </w:r>
          </w:p>
        </w:tc>
        <w:tc>
          <w:tcPr>
            <w:tcW w:w="1387" w:type="dxa"/>
            <w:tcBorders>
              <w:bottom w:val="single" w:color="auto" w:sz="4" w:space="0"/>
            </w:tcBorders>
            <w:vAlign w:val="center"/>
          </w:tcPr>
          <w:p w14:paraId="47A8172A">
            <w:pPr>
              <w:jc w:val="center"/>
              <w:rPr>
                <w:szCs w:val="21"/>
              </w:rPr>
            </w:pPr>
            <w:r>
              <w:rPr>
                <w:spacing w:val="2"/>
                <w:szCs w:val="21"/>
              </w:rPr>
              <w:t>GB3096-20</w:t>
            </w:r>
            <w:r>
              <w:rPr>
                <w:szCs w:val="21"/>
              </w:rPr>
              <w:t>08中3类</w:t>
            </w:r>
          </w:p>
        </w:tc>
      </w:tr>
      <w:tr w14:paraId="582A3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86" w:hRule="atLeast"/>
          <w:jc w:val="center"/>
        </w:trPr>
        <w:tc>
          <w:tcPr>
            <w:tcW w:w="800" w:type="dxa"/>
            <w:tcBorders>
              <w:top w:val="single" w:color="auto" w:sz="4" w:space="0"/>
            </w:tcBorders>
            <w:vAlign w:val="center"/>
          </w:tcPr>
          <w:p w14:paraId="4B88052B">
            <w:pPr>
              <w:spacing w:line="400" w:lineRule="exact"/>
              <w:jc w:val="center"/>
              <w:rPr>
                <w:szCs w:val="21"/>
              </w:rPr>
            </w:pPr>
            <w:r>
              <w:rPr>
                <w:szCs w:val="21"/>
              </w:rPr>
              <w:t>地下水</w:t>
            </w:r>
          </w:p>
        </w:tc>
        <w:tc>
          <w:tcPr>
            <w:tcW w:w="6374" w:type="dxa"/>
            <w:gridSpan w:val="4"/>
            <w:tcBorders>
              <w:top w:val="single" w:color="auto" w:sz="4" w:space="0"/>
              <w:bottom w:val="single" w:color="auto" w:sz="4" w:space="0"/>
            </w:tcBorders>
            <w:vAlign w:val="center"/>
          </w:tcPr>
          <w:p w14:paraId="640918AD">
            <w:pPr>
              <w:spacing w:line="400" w:lineRule="exact"/>
              <w:jc w:val="center"/>
              <w:rPr>
                <w:szCs w:val="21"/>
              </w:rPr>
            </w:pPr>
            <w:r>
              <w:rPr>
                <w:szCs w:val="21"/>
              </w:rPr>
              <w:t>6-20km</w:t>
            </w:r>
            <w:r>
              <w:rPr>
                <w:szCs w:val="21"/>
                <w:vertAlign w:val="superscript"/>
              </w:rPr>
              <w:t>2</w:t>
            </w:r>
          </w:p>
        </w:tc>
        <w:tc>
          <w:tcPr>
            <w:tcW w:w="1387" w:type="dxa"/>
            <w:tcBorders>
              <w:top w:val="single" w:color="auto" w:sz="4" w:space="0"/>
            </w:tcBorders>
            <w:vAlign w:val="center"/>
          </w:tcPr>
          <w:p w14:paraId="61806E93">
            <w:pPr>
              <w:spacing w:line="400" w:lineRule="exact"/>
              <w:ind w:left="-56" w:leftChars="-20" w:right="-56" w:rightChars="-20"/>
              <w:jc w:val="center"/>
              <w:rPr>
                <w:sz w:val="18"/>
                <w:szCs w:val="18"/>
              </w:rPr>
            </w:pPr>
            <w:r>
              <w:rPr>
                <w:sz w:val="18"/>
                <w:szCs w:val="18"/>
              </w:rPr>
              <w:t>《地下水质量标准》（GB/T14848-2017）Ⅲ类标准</w:t>
            </w:r>
          </w:p>
        </w:tc>
      </w:tr>
      <w:tr w14:paraId="629E2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00" w:type="dxa"/>
            <w:vMerge w:val="restart"/>
            <w:tcBorders>
              <w:top w:val="single" w:color="auto" w:sz="4" w:space="0"/>
            </w:tcBorders>
            <w:vAlign w:val="center"/>
          </w:tcPr>
          <w:p w14:paraId="4A86D03F">
            <w:pPr>
              <w:spacing w:line="400" w:lineRule="exact"/>
              <w:jc w:val="center"/>
              <w:rPr>
                <w:szCs w:val="21"/>
              </w:rPr>
            </w:pPr>
            <w:r>
              <w:rPr>
                <w:szCs w:val="21"/>
              </w:rPr>
              <w:t>环境风险</w:t>
            </w:r>
          </w:p>
        </w:tc>
        <w:tc>
          <w:tcPr>
            <w:tcW w:w="1703" w:type="dxa"/>
            <w:tcBorders>
              <w:top w:val="single" w:color="auto" w:sz="4" w:space="0"/>
            </w:tcBorders>
            <w:vAlign w:val="center"/>
          </w:tcPr>
          <w:p w14:paraId="700CBC22">
            <w:pPr>
              <w:jc w:val="center"/>
              <w:rPr>
                <w:szCs w:val="21"/>
              </w:rPr>
            </w:pPr>
            <w:r>
              <w:rPr>
                <w:szCs w:val="21"/>
              </w:rPr>
              <w:t>淮南农场一队</w:t>
            </w:r>
          </w:p>
        </w:tc>
        <w:tc>
          <w:tcPr>
            <w:tcW w:w="693" w:type="dxa"/>
            <w:vAlign w:val="center"/>
          </w:tcPr>
          <w:p w14:paraId="268ACF84">
            <w:pPr>
              <w:jc w:val="center"/>
              <w:rPr>
                <w:szCs w:val="21"/>
              </w:rPr>
            </w:pPr>
            <w:r>
              <w:rPr>
                <w:szCs w:val="21"/>
              </w:rPr>
              <w:t>S</w:t>
            </w:r>
          </w:p>
        </w:tc>
        <w:tc>
          <w:tcPr>
            <w:tcW w:w="1093" w:type="dxa"/>
            <w:vAlign w:val="center"/>
          </w:tcPr>
          <w:p w14:paraId="0C9DB333">
            <w:pPr>
              <w:jc w:val="center"/>
              <w:rPr>
                <w:szCs w:val="21"/>
              </w:rPr>
            </w:pPr>
            <w:r>
              <w:rPr>
                <w:szCs w:val="21"/>
              </w:rPr>
              <w:t>600</w:t>
            </w:r>
          </w:p>
        </w:tc>
        <w:tc>
          <w:tcPr>
            <w:tcW w:w="2885" w:type="dxa"/>
            <w:tcBorders>
              <w:top w:val="single" w:color="auto" w:sz="4" w:space="0"/>
              <w:bottom w:val="single" w:color="auto" w:sz="4" w:space="0"/>
            </w:tcBorders>
            <w:vAlign w:val="center"/>
          </w:tcPr>
          <w:p w14:paraId="1E6156C6">
            <w:pPr>
              <w:jc w:val="center"/>
              <w:rPr>
                <w:szCs w:val="21"/>
              </w:rPr>
            </w:pPr>
            <w:r>
              <w:rPr>
                <w:szCs w:val="21"/>
              </w:rPr>
              <w:t>约600户，约1800人</w:t>
            </w:r>
          </w:p>
        </w:tc>
        <w:tc>
          <w:tcPr>
            <w:tcW w:w="1387" w:type="dxa"/>
            <w:vMerge w:val="restart"/>
            <w:tcBorders>
              <w:top w:val="single" w:color="auto" w:sz="4" w:space="0"/>
            </w:tcBorders>
            <w:vAlign w:val="center"/>
          </w:tcPr>
          <w:p w14:paraId="6D293EAD">
            <w:pPr>
              <w:spacing w:line="400" w:lineRule="exact"/>
              <w:ind w:left="-56" w:leftChars="-20" w:right="-56" w:rightChars="-20"/>
              <w:jc w:val="center"/>
              <w:rPr>
                <w:szCs w:val="21"/>
              </w:rPr>
            </w:pPr>
            <w:r>
              <w:rPr>
                <w:szCs w:val="21"/>
              </w:rPr>
              <w:t>/</w:t>
            </w:r>
          </w:p>
        </w:tc>
      </w:tr>
      <w:tr w14:paraId="123068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E6A901B">
            <w:pPr>
              <w:spacing w:line="400" w:lineRule="exact"/>
              <w:jc w:val="center"/>
              <w:rPr>
                <w:szCs w:val="21"/>
              </w:rPr>
            </w:pPr>
          </w:p>
        </w:tc>
        <w:tc>
          <w:tcPr>
            <w:tcW w:w="1703" w:type="dxa"/>
            <w:vAlign w:val="center"/>
          </w:tcPr>
          <w:p w14:paraId="0C09C57A">
            <w:pPr>
              <w:spacing w:line="400" w:lineRule="exact"/>
              <w:jc w:val="center"/>
              <w:rPr>
                <w:szCs w:val="21"/>
              </w:rPr>
            </w:pPr>
            <w:r>
              <w:rPr>
                <w:szCs w:val="21"/>
              </w:rPr>
              <w:t>淮南农场五队</w:t>
            </w:r>
          </w:p>
        </w:tc>
        <w:tc>
          <w:tcPr>
            <w:tcW w:w="693" w:type="dxa"/>
            <w:vAlign w:val="center"/>
          </w:tcPr>
          <w:p w14:paraId="620DCD28">
            <w:pPr>
              <w:spacing w:line="400" w:lineRule="exact"/>
              <w:jc w:val="center"/>
              <w:rPr>
                <w:szCs w:val="21"/>
              </w:rPr>
            </w:pPr>
            <w:r>
              <w:rPr>
                <w:szCs w:val="21"/>
              </w:rPr>
              <w:t>E</w:t>
            </w:r>
          </w:p>
        </w:tc>
        <w:tc>
          <w:tcPr>
            <w:tcW w:w="1093" w:type="dxa"/>
            <w:vAlign w:val="center"/>
          </w:tcPr>
          <w:p w14:paraId="23D420D7">
            <w:pPr>
              <w:spacing w:line="400" w:lineRule="exact"/>
              <w:jc w:val="center"/>
              <w:rPr>
                <w:szCs w:val="21"/>
              </w:rPr>
            </w:pPr>
            <w:r>
              <w:rPr>
                <w:szCs w:val="21"/>
              </w:rPr>
              <w:t>358</w:t>
            </w:r>
          </w:p>
        </w:tc>
        <w:tc>
          <w:tcPr>
            <w:tcW w:w="2885" w:type="dxa"/>
            <w:tcBorders>
              <w:top w:val="single" w:color="auto" w:sz="4" w:space="0"/>
            </w:tcBorders>
            <w:vAlign w:val="center"/>
          </w:tcPr>
          <w:p w14:paraId="4E9E7036">
            <w:pPr>
              <w:spacing w:line="400" w:lineRule="exact"/>
              <w:jc w:val="center"/>
              <w:rPr>
                <w:szCs w:val="21"/>
              </w:rPr>
            </w:pPr>
            <w:r>
              <w:rPr>
                <w:szCs w:val="21"/>
              </w:rPr>
              <w:t>约50户，约有人口150人</w:t>
            </w:r>
          </w:p>
        </w:tc>
        <w:tc>
          <w:tcPr>
            <w:tcW w:w="1387" w:type="dxa"/>
            <w:vMerge w:val="continue"/>
            <w:vAlign w:val="center"/>
          </w:tcPr>
          <w:p w14:paraId="0BBA333B">
            <w:pPr>
              <w:spacing w:line="400" w:lineRule="exact"/>
              <w:jc w:val="center"/>
              <w:rPr>
                <w:szCs w:val="21"/>
              </w:rPr>
            </w:pPr>
          </w:p>
        </w:tc>
      </w:tr>
      <w:tr w14:paraId="50A19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4453B3D">
            <w:pPr>
              <w:spacing w:line="400" w:lineRule="exact"/>
              <w:jc w:val="center"/>
              <w:rPr>
                <w:szCs w:val="21"/>
              </w:rPr>
            </w:pPr>
          </w:p>
        </w:tc>
        <w:tc>
          <w:tcPr>
            <w:tcW w:w="1703" w:type="dxa"/>
            <w:vAlign w:val="center"/>
          </w:tcPr>
          <w:p w14:paraId="06F55EB8">
            <w:pPr>
              <w:spacing w:line="400" w:lineRule="exact"/>
              <w:jc w:val="center"/>
              <w:rPr>
                <w:szCs w:val="21"/>
              </w:rPr>
            </w:pPr>
            <w:r>
              <w:rPr>
                <w:szCs w:val="21"/>
              </w:rPr>
              <w:t>淮南农场二队</w:t>
            </w:r>
          </w:p>
        </w:tc>
        <w:tc>
          <w:tcPr>
            <w:tcW w:w="693" w:type="dxa"/>
            <w:vAlign w:val="center"/>
          </w:tcPr>
          <w:p w14:paraId="61F7589C">
            <w:pPr>
              <w:spacing w:line="400" w:lineRule="exact"/>
              <w:jc w:val="center"/>
              <w:rPr>
                <w:szCs w:val="21"/>
              </w:rPr>
            </w:pPr>
            <w:r>
              <w:rPr>
                <w:szCs w:val="21"/>
              </w:rPr>
              <w:t>SE</w:t>
            </w:r>
          </w:p>
        </w:tc>
        <w:tc>
          <w:tcPr>
            <w:tcW w:w="1093" w:type="dxa"/>
            <w:vAlign w:val="center"/>
          </w:tcPr>
          <w:p w14:paraId="00250575">
            <w:pPr>
              <w:spacing w:line="400" w:lineRule="exact"/>
              <w:jc w:val="center"/>
              <w:rPr>
                <w:szCs w:val="21"/>
              </w:rPr>
            </w:pPr>
            <w:r>
              <w:rPr>
                <w:szCs w:val="21"/>
              </w:rPr>
              <w:t>2250</w:t>
            </w:r>
          </w:p>
        </w:tc>
        <w:tc>
          <w:tcPr>
            <w:tcW w:w="2885" w:type="dxa"/>
            <w:vAlign w:val="center"/>
          </w:tcPr>
          <w:p w14:paraId="0C3E616F">
            <w:pPr>
              <w:spacing w:line="400" w:lineRule="exact"/>
              <w:jc w:val="center"/>
              <w:rPr>
                <w:szCs w:val="21"/>
              </w:rPr>
            </w:pPr>
            <w:r>
              <w:rPr>
                <w:szCs w:val="21"/>
              </w:rPr>
              <w:t>约40户，约有人口120人</w:t>
            </w:r>
          </w:p>
        </w:tc>
        <w:tc>
          <w:tcPr>
            <w:tcW w:w="1387" w:type="dxa"/>
            <w:vMerge w:val="continue"/>
            <w:vAlign w:val="center"/>
          </w:tcPr>
          <w:p w14:paraId="29667217">
            <w:pPr>
              <w:spacing w:line="400" w:lineRule="exact"/>
              <w:jc w:val="center"/>
              <w:rPr>
                <w:szCs w:val="21"/>
              </w:rPr>
            </w:pPr>
          </w:p>
        </w:tc>
      </w:tr>
      <w:tr w14:paraId="26B2F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DF6A09E">
            <w:pPr>
              <w:spacing w:line="400" w:lineRule="exact"/>
              <w:jc w:val="center"/>
              <w:rPr>
                <w:szCs w:val="21"/>
              </w:rPr>
            </w:pPr>
          </w:p>
        </w:tc>
        <w:tc>
          <w:tcPr>
            <w:tcW w:w="1703" w:type="dxa"/>
            <w:vAlign w:val="center"/>
          </w:tcPr>
          <w:p w14:paraId="14F50D31">
            <w:pPr>
              <w:spacing w:line="400" w:lineRule="exact"/>
              <w:jc w:val="center"/>
              <w:rPr>
                <w:szCs w:val="21"/>
              </w:rPr>
            </w:pPr>
            <w:r>
              <w:rPr>
                <w:szCs w:val="21"/>
              </w:rPr>
              <w:t>柴庄</w:t>
            </w:r>
          </w:p>
        </w:tc>
        <w:tc>
          <w:tcPr>
            <w:tcW w:w="693" w:type="dxa"/>
            <w:vAlign w:val="center"/>
          </w:tcPr>
          <w:p w14:paraId="7878AB3C">
            <w:pPr>
              <w:spacing w:line="400" w:lineRule="exact"/>
              <w:jc w:val="center"/>
              <w:rPr>
                <w:szCs w:val="21"/>
              </w:rPr>
            </w:pPr>
            <w:r>
              <w:rPr>
                <w:szCs w:val="21"/>
              </w:rPr>
              <w:t>N</w:t>
            </w:r>
          </w:p>
        </w:tc>
        <w:tc>
          <w:tcPr>
            <w:tcW w:w="1093" w:type="dxa"/>
            <w:vAlign w:val="center"/>
          </w:tcPr>
          <w:p w14:paraId="117FB7A3">
            <w:pPr>
              <w:spacing w:line="400" w:lineRule="exact"/>
              <w:jc w:val="center"/>
              <w:rPr>
                <w:szCs w:val="21"/>
              </w:rPr>
            </w:pPr>
            <w:r>
              <w:rPr>
                <w:szCs w:val="21"/>
              </w:rPr>
              <w:t>200</w:t>
            </w:r>
          </w:p>
        </w:tc>
        <w:tc>
          <w:tcPr>
            <w:tcW w:w="2885" w:type="dxa"/>
            <w:vAlign w:val="center"/>
          </w:tcPr>
          <w:p w14:paraId="539DE71F">
            <w:pPr>
              <w:spacing w:line="400" w:lineRule="exact"/>
              <w:jc w:val="center"/>
              <w:rPr>
                <w:szCs w:val="21"/>
              </w:rPr>
            </w:pPr>
            <w:r>
              <w:rPr>
                <w:szCs w:val="21"/>
              </w:rPr>
              <w:t>约500户，约有人口1500人</w:t>
            </w:r>
          </w:p>
        </w:tc>
        <w:tc>
          <w:tcPr>
            <w:tcW w:w="1387" w:type="dxa"/>
            <w:vMerge w:val="continue"/>
            <w:vAlign w:val="center"/>
          </w:tcPr>
          <w:p w14:paraId="3F2692C2">
            <w:pPr>
              <w:spacing w:line="400" w:lineRule="exact"/>
              <w:jc w:val="center"/>
              <w:rPr>
                <w:szCs w:val="21"/>
              </w:rPr>
            </w:pPr>
          </w:p>
        </w:tc>
      </w:tr>
      <w:tr w14:paraId="19663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275B04C">
            <w:pPr>
              <w:spacing w:line="400" w:lineRule="exact"/>
              <w:jc w:val="center"/>
              <w:rPr>
                <w:szCs w:val="21"/>
              </w:rPr>
            </w:pPr>
          </w:p>
        </w:tc>
        <w:tc>
          <w:tcPr>
            <w:tcW w:w="1703" w:type="dxa"/>
            <w:vAlign w:val="center"/>
          </w:tcPr>
          <w:p w14:paraId="03B0CDAE">
            <w:pPr>
              <w:spacing w:line="400" w:lineRule="exact"/>
              <w:jc w:val="center"/>
              <w:rPr>
                <w:szCs w:val="21"/>
              </w:rPr>
            </w:pPr>
            <w:r>
              <w:rPr>
                <w:szCs w:val="21"/>
              </w:rPr>
              <w:t>朝阳路2号安置区</w:t>
            </w:r>
          </w:p>
        </w:tc>
        <w:tc>
          <w:tcPr>
            <w:tcW w:w="693" w:type="dxa"/>
            <w:vAlign w:val="center"/>
          </w:tcPr>
          <w:p w14:paraId="6790ABA7">
            <w:pPr>
              <w:spacing w:line="400" w:lineRule="exact"/>
              <w:jc w:val="center"/>
              <w:rPr>
                <w:szCs w:val="21"/>
              </w:rPr>
            </w:pPr>
            <w:r>
              <w:rPr>
                <w:szCs w:val="21"/>
              </w:rPr>
              <w:t>N\W</w:t>
            </w:r>
          </w:p>
        </w:tc>
        <w:tc>
          <w:tcPr>
            <w:tcW w:w="1093" w:type="dxa"/>
            <w:vAlign w:val="center"/>
          </w:tcPr>
          <w:p w14:paraId="282E88CB">
            <w:pPr>
              <w:spacing w:line="400" w:lineRule="exact"/>
              <w:jc w:val="center"/>
              <w:rPr>
                <w:szCs w:val="21"/>
              </w:rPr>
            </w:pPr>
            <w:r>
              <w:rPr>
                <w:szCs w:val="21"/>
              </w:rPr>
              <w:t>221</w:t>
            </w:r>
          </w:p>
        </w:tc>
        <w:tc>
          <w:tcPr>
            <w:tcW w:w="2885" w:type="dxa"/>
            <w:vAlign w:val="center"/>
          </w:tcPr>
          <w:p w14:paraId="0EF5A68D">
            <w:pPr>
              <w:spacing w:line="400" w:lineRule="exact"/>
              <w:jc w:val="center"/>
              <w:rPr>
                <w:szCs w:val="21"/>
              </w:rPr>
            </w:pPr>
            <w:r>
              <w:rPr>
                <w:szCs w:val="21"/>
              </w:rPr>
              <w:t>约800户，约有人口2400人</w:t>
            </w:r>
          </w:p>
        </w:tc>
        <w:tc>
          <w:tcPr>
            <w:tcW w:w="1387" w:type="dxa"/>
            <w:vMerge w:val="continue"/>
            <w:vAlign w:val="center"/>
          </w:tcPr>
          <w:p w14:paraId="6A178456">
            <w:pPr>
              <w:spacing w:line="400" w:lineRule="exact"/>
              <w:jc w:val="center"/>
              <w:rPr>
                <w:szCs w:val="21"/>
              </w:rPr>
            </w:pPr>
          </w:p>
        </w:tc>
      </w:tr>
      <w:tr w14:paraId="190F8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055B9098">
            <w:pPr>
              <w:spacing w:line="400" w:lineRule="exact"/>
              <w:jc w:val="center"/>
              <w:rPr>
                <w:szCs w:val="21"/>
              </w:rPr>
            </w:pPr>
          </w:p>
        </w:tc>
        <w:tc>
          <w:tcPr>
            <w:tcW w:w="1703" w:type="dxa"/>
            <w:vAlign w:val="center"/>
          </w:tcPr>
          <w:p w14:paraId="466BC7A2">
            <w:pPr>
              <w:spacing w:line="400" w:lineRule="exact"/>
              <w:jc w:val="center"/>
              <w:rPr>
                <w:szCs w:val="21"/>
              </w:rPr>
            </w:pPr>
            <w:r>
              <w:rPr>
                <w:szCs w:val="21"/>
              </w:rPr>
              <w:t>东方城市花园</w:t>
            </w:r>
          </w:p>
        </w:tc>
        <w:tc>
          <w:tcPr>
            <w:tcW w:w="693" w:type="dxa"/>
            <w:vAlign w:val="center"/>
          </w:tcPr>
          <w:p w14:paraId="69BE93F0">
            <w:pPr>
              <w:spacing w:line="400" w:lineRule="exact"/>
              <w:jc w:val="center"/>
              <w:rPr>
                <w:szCs w:val="21"/>
              </w:rPr>
            </w:pPr>
            <w:r>
              <w:rPr>
                <w:szCs w:val="21"/>
              </w:rPr>
              <w:t>SW</w:t>
            </w:r>
          </w:p>
        </w:tc>
        <w:tc>
          <w:tcPr>
            <w:tcW w:w="1093" w:type="dxa"/>
            <w:vAlign w:val="center"/>
          </w:tcPr>
          <w:p w14:paraId="79D1E73D">
            <w:pPr>
              <w:spacing w:line="400" w:lineRule="exact"/>
              <w:jc w:val="center"/>
              <w:rPr>
                <w:szCs w:val="21"/>
              </w:rPr>
            </w:pPr>
            <w:r>
              <w:rPr>
                <w:szCs w:val="21"/>
              </w:rPr>
              <w:t>1460</w:t>
            </w:r>
          </w:p>
        </w:tc>
        <w:tc>
          <w:tcPr>
            <w:tcW w:w="2885" w:type="dxa"/>
            <w:vAlign w:val="center"/>
          </w:tcPr>
          <w:p w14:paraId="6233EE72">
            <w:pPr>
              <w:spacing w:line="400" w:lineRule="exact"/>
              <w:jc w:val="center"/>
              <w:rPr>
                <w:szCs w:val="21"/>
              </w:rPr>
            </w:pPr>
            <w:r>
              <w:rPr>
                <w:szCs w:val="21"/>
              </w:rPr>
              <w:t>约1000户，约有人口3000人</w:t>
            </w:r>
          </w:p>
        </w:tc>
        <w:tc>
          <w:tcPr>
            <w:tcW w:w="1387" w:type="dxa"/>
            <w:vMerge w:val="continue"/>
            <w:vAlign w:val="center"/>
          </w:tcPr>
          <w:p w14:paraId="13B0B393">
            <w:pPr>
              <w:spacing w:line="400" w:lineRule="exact"/>
              <w:jc w:val="center"/>
              <w:rPr>
                <w:szCs w:val="21"/>
              </w:rPr>
            </w:pPr>
          </w:p>
        </w:tc>
      </w:tr>
      <w:tr w14:paraId="3A436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BABD69A">
            <w:pPr>
              <w:spacing w:line="400" w:lineRule="exact"/>
              <w:jc w:val="center"/>
              <w:rPr>
                <w:szCs w:val="21"/>
              </w:rPr>
            </w:pPr>
          </w:p>
        </w:tc>
        <w:tc>
          <w:tcPr>
            <w:tcW w:w="1703" w:type="dxa"/>
            <w:vAlign w:val="center"/>
          </w:tcPr>
          <w:p w14:paraId="1E429F47">
            <w:pPr>
              <w:spacing w:line="400" w:lineRule="exact"/>
              <w:jc w:val="center"/>
              <w:rPr>
                <w:szCs w:val="21"/>
              </w:rPr>
            </w:pPr>
            <w:r>
              <w:rPr>
                <w:szCs w:val="21"/>
              </w:rPr>
              <w:t>刘郢村</w:t>
            </w:r>
          </w:p>
        </w:tc>
        <w:tc>
          <w:tcPr>
            <w:tcW w:w="693" w:type="dxa"/>
            <w:vAlign w:val="center"/>
          </w:tcPr>
          <w:p w14:paraId="7FEC23FF">
            <w:pPr>
              <w:spacing w:line="400" w:lineRule="exact"/>
              <w:jc w:val="center"/>
              <w:rPr>
                <w:szCs w:val="21"/>
              </w:rPr>
            </w:pPr>
            <w:r>
              <w:rPr>
                <w:szCs w:val="21"/>
              </w:rPr>
              <w:t>NW</w:t>
            </w:r>
          </w:p>
        </w:tc>
        <w:tc>
          <w:tcPr>
            <w:tcW w:w="1093" w:type="dxa"/>
            <w:vAlign w:val="center"/>
          </w:tcPr>
          <w:p w14:paraId="3265B400">
            <w:pPr>
              <w:spacing w:line="400" w:lineRule="exact"/>
              <w:jc w:val="center"/>
              <w:rPr>
                <w:szCs w:val="21"/>
              </w:rPr>
            </w:pPr>
            <w:r>
              <w:rPr>
                <w:szCs w:val="21"/>
              </w:rPr>
              <w:t>580</w:t>
            </w:r>
          </w:p>
        </w:tc>
        <w:tc>
          <w:tcPr>
            <w:tcW w:w="2885" w:type="dxa"/>
            <w:vAlign w:val="center"/>
          </w:tcPr>
          <w:p w14:paraId="0097EDE4">
            <w:pPr>
              <w:spacing w:line="400" w:lineRule="exact"/>
              <w:jc w:val="center"/>
              <w:rPr>
                <w:szCs w:val="21"/>
              </w:rPr>
            </w:pPr>
            <w:r>
              <w:rPr>
                <w:szCs w:val="21"/>
              </w:rPr>
              <w:t>约100户，约有人口300人</w:t>
            </w:r>
          </w:p>
        </w:tc>
        <w:tc>
          <w:tcPr>
            <w:tcW w:w="1387" w:type="dxa"/>
            <w:vMerge w:val="continue"/>
            <w:vAlign w:val="center"/>
          </w:tcPr>
          <w:p w14:paraId="67B5703C">
            <w:pPr>
              <w:spacing w:line="400" w:lineRule="exact"/>
              <w:jc w:val="center"/>
              <w:rPr>
                <w:szCs w:val="21"/>
              </w:rPr>
            </w:pPr>
          </w:p>
        </w:tc>
      </w:tr>
      <w:tr w14:paraId="76D0E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51532C37">
            <w:pPr>
              <w:spacing w:line="400" w:lineRule="exact"/>
              <w:jc w:val="center"/>
              <w:rPr>
                <w:szCs w:val="21"/>
              </w:rPr>
            </w:pPr>
          </w:p>
        </w:tc>
        <w:tc>
          <w:tcPr>
            <w:tcW w:w="1703" w:type="dxa"/>
            <w:vAlign w:val="center"/>
          </w:tcPr>
          <w:p w14:paraId="6292BF6F">
            <w:pPr>
              <w:spacing w:line="400" w:lineRule="exact"/>
              <w:jc w:val="center"/>
              <w:rPr>
                <w:szCs w:val="21"/>
              </w:rPr>
            </w:pPr>
            <w:r>
              <w:rPr>
                <w:szCs w:val="21"/>
              </w:rPr>
              <w:t>淮南农场九队</w:t>
            </w:r>
          </w:p>
        </w:tc>
        <w:tc>
          <w:tcPr>
            <w:tcW w:w="693" w:type="dxa"/>
            <w:vAlign w:val="center"/>
          </w:tcPr>
          <w:p w14:paraId="4B526893">
            <w:pPr>
              <w:spacing w:line="400" w:lineRule="exact"/>
              <w:jc w:val="center"/>
              <w:rPr>
                <w:szCs w:val="21"/>
              </w:rPr>
            </w:pPr>
            <w:r>
              <w:rPr>
                <w:szCs w:val="21"/>
              </w:rPr>
              <w:t>SE</w:t>
            </w:r>
          </w:p>
        </w:tc>
        <w:tc>
          <w:tcPr>
            <w:tcW w:w="1093" w:type="dxa"/>
            <w:vAlign w:val="center"/>
          </w:tcPr>
          <w:p w14:paraId="53D6E266">
            <w:pPr>
              <w:spacing w:line="400" w:lineRule="exact"/>
              <w:jc w:val="center"/>
              <w:rPr>
                <w:szCs w:val="21"/>
              </w:rPr>
            </w:pPr>
            <w:r>
              <w:rPr>
                <w:szCs w:val="21"/>
              </w:rPr>
              <w:t>1879</w:t>
            </w:r>
          </w:p>
        </w:tc>
        <w:tc>
          <w:tcPr>
            <w:tcW w:w="2885" w:type="dxa"/>
            <w:vAlign w:val="center"/>
          </w:tcPr>
          <w:p w14:paraId="3CEDD564">
            <w:pPr>
              <w:spacing w:line="400" w:lineRule="exact"/>
              <w:jc w:val="center"/>
              <w:rPr>
                <w:szCs w:val="21"/>
              </w:rPr>
            </w:pPr>
            <w:r>
              <w:rPr>
                <w:szCs w:val="21"/>
              </w:rPr>
              <w:t>约50户，约有人口150人</w:t>
            </w:r>
          </w:p>
        </w:tc>
        <w:tc>
          <w:tcPr>
            <w:tcW w:w="1387" w:type="dxa"/>
            <w:vMerge w:val="continue"/>
            <w:vAlign w:val="center"/>
          </w:tcPr>
          <w:p w14:paraId="23C206AA">
            <w:pPr>
              <w:spacing w:line="400" w:lineRule="exact"/>
              <w:jc w:val="center"/>
              <w:rPr>
                <w:szCs w:val="21"/>
              </w:rPr>
            </w:pPr>
          </w:p>
        </w:tc>
      </w:tr>
      <w:tr w14:paraId="57FE7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6BB1E85B">
            <w:pPr>
              <w:spacing w:line="400" w:lineRule="exact"/>
              <w:jc w:val="center"/>
              <w:rPr>
                <w:szCs w:val="21"/>
              </w:rPr>
            </w:pPr>
          </w:p>
        </w:tc>
        <w:tc>
          <w:tcPr>
            <w:tcW w:w="1703" w:type="dxa"/>
            <w:vAlign w:val="center"/>
          </w:tcPr>
          <w:p w14:paraId="38465C38">
            <w:pPr>
              <w:spacing w:line="400" w:lineRule="exact"/>
              <w:jc w:val="center"/>
              <w:rPr>
                <w:szCs w:val="21"/>
              </w:rPr>
            </w:pPr>
            <w:r>
              <w:rPr>
                <w:szCs w:val="21"/>
              </w:rPr>
              <w:t>红光村</w:t>
            </w:r>
          </w:p>
        </w:tc>
        <w:tc>
          <w:tcPr>
            <w:tcW w:w="693" w:type="dxa"/>
            <w:vAlign w:val="center"/>
          </w:tcPr>
          <w:p w14:paraId="4311CFC0">
            <w:pPr>
              <w:spacing w:line="400" w:lineRule="exact"/>
              <w:jc w:val="center"/>
              <w:rPr>
                <w:szCs w:val="21"/>
              </w:rPr>
            </w:pPr>
            <w:r>
              <w:rPr>
                <w:szCs w:val="21"/>
              </w:rPr>
              <w:t>E</w:t>
            </w:r>
          </w:p>
        </w:tc>
        <w:tc>
          <w:tcPr>
            <w:tcW w:w="1093" w:type="dxa"/>
            <w:vAlign w:val="center"/>
          </w:tcPr>
          <w:p w14:paraId="3EBF3539">
            <w:pPr>
              <w:spacing w:line="400" w:lineRule="exact"/>
              <w:jc w:val="center"/>
              <w:rPr>
                <w:szCs w:val="21"/>
              </w:rPr>
            </w:pPr>
            <w:r>
              <w:rPr>
                <w:szCs w:val="21"/>
              </w:rPr>
              <w:t>2343</w:t>
            </w:r>
          </w:p>
        </w:tc>
        <w:tc>
          <w:tcPr>
            <w:tcW w:w="2885" w:type="dxa"/>
            <w:vAlign w:val="center"/>
          </w:tcPr>
          <w:p w14:paraId="73F3C8B8">
            <w:pPr>
              <w:spacing w:line="400" w:lineRule="exact"/>
              <w:jc w:val="center"/>
              <w:rPr>
                <w:szCs w:val="21"/>
              </w:rPr>
            </w:pPr>
            <w:r>
              <w:rPr>
                <w:szCs w:val="21"/>
              </w:rPr>
              <w:t>约30户，约有人口90人</w:t>
            </w:r>
          </w:p>
        </w:tc>
        <w:tc>
          <w:tcPr>
            <w:tcW w:w="1387" w:type="dxa"/>
            <w:vMerge w:val="continue"/>
            <w:vAlign w:val="center"/>
          </w:tcPr>
          <w:p w14:paraId="35DD76A2">
            <w:pPr>
              <w:spacing w:line="400" w:lineRule="exact"/>
              <w:jc w:val="center"/>
              <w:rPr>
                <w:szCs w:val="21"/>
              </w:rPr>
            </w:pPr>
          </w:p>
        </w:tc>
      </w:tr>
      <w:tr w14:paraId="43A8CD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F18EB27">
            <w:pPr>
              <w:spacing w:line="400" w:lineRule="exact"/>
              <w:jc w:val="center"/>
              <w:rPr>
                <w:szCs w:val="21"/>
              </w:rPr>
            </w:pPr>
          </w:p>
        </w:tc>
        <w:tc>
          <w:tcPr>
            <w:tcW w:w="1703" w:type="dxa"/>
            <w:vAlign w:val="center"/>
          </w:tcPr>
          <w:p w14:paraId="70005F77">
            <w:pPr>
              <w:spacing w:line="400" w:lineRule="exact"/>
              <w:jc w:val="center"/>
              <w:rPr>
                <w:szCs w:val="21"/>
              </w:rPr>
            </w:pPr>
            <w:r>
              <w:rPr>
                <w:szCs w:val="21"/>
              </w:rPr>
              <w:t>曹家湖</w:t>
            </w:r>
          </w:p>
        </w:tc>
        <w:tc>
          <w:tcPr>
            <w:tcW w:w="693" w:type="dxa"/>
            <w:vAlign w:val="center"/>
          </w:tcPr>
          <w:p w14:paraId="46D0B026">
            <w:pPr>
              <w:spacing w:line="400" w:lineRule="exact"/>
              <w:jc w:val="center"/>
              <w:rPr>
                <w:szCs w:val="21"/>
              </w:rPr>
            </w:pPr>
            <w:r>
              <w:rPr>
                <w:szCs w:val="21"/>
              </w:rPr>
              <w:t>E</w:t>
            </w:r>
          </w:p>
        </w:tc>
        <w:tc>
          <w:tcPr>
            <w:tcW w:w="1093" w:type="dxa"/>
            <w:vAlign w:val="center"/>
          </w:tcPr>
          <w:p w14:paraId="049A971F">
            <w:pPr>
              <w:spacing w:line="400" w:lineRule="exact"/>
              <w:jc w:val="center"/>
              <w:rPr>
                <w:szCs w:val="21"/>
              </w:rPr>
            </w:pPr>
            <w:r>
              <w:rPr>
                <w:szCs w:val="21"/>
              </w:rPr>
              <w:t>2623</w:t>
            </w:r>
          </w:p>
        </w:tc>
        <w:tc>
          <w:tcPr>
            <w:tcW w:w="2885" w:type="dxa"/>
            <w:vAlign w:val="center"/>
          </w:tcPr>
          <w:p w14:paraId="08808E8C">
            <w:pPr>
              <w:spacing w:line="400" w:lineRule="exact"/>
              <w:jc w:val="center"/>
              <w:rPr>
                <w:szCs w:val="21"/>
              </w:rPr>
            </w:pPr>
            <w:r>
              <w:rPr>
                <w:szCs w:val="21"/>
              </w:rPr>
              <w:t>约50户，约有人口150人</w:t>
            </w:r>
          </w:p>
        </w:tc>
        <w:tc>
          <w:tcPr>
            <w:tcW w:w="1387" w:type="dxa"/>
            <w:vMerge w:val="continue"/>
            <w:vAlign w:val="center"/>
          </w:tcPr>
          <w:p w14:paraId="72ACF7C2">
            <w:pPr>
              <w:spacing w:line="400" w:lineRule="exact"/>
              <w:jc w:val="center"/>
              <w:rPr>
                <w:szCs w:val="21"/>
              </w:rPr>
            </w:pPr>
          </w:p>
        </w:tc>
      </w:tr>
      <w:tr w14:paraId="2B7511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2A1ED79">
            <w:pPr>
              <w:spacing w:line="400" w:lineRule="exact"/>
              <w:jc w:val="center"/>
              <w:rPr>
                <w:szCs w:val="21"/>
              </w:rPr>
            </w:pPr>
          </w:p>
        </w:tc>
        <w:tc>
          <w:tcPr>
            <w:tcW w:w="1703" w:type="dxa"/>
            <w:vAlign w:val="center"/>
          </w:tcPr>
          <w:p w14:paraId="7E556F4A">
            <w:pPr>
              <w:spacing w:line="400" w:lineRule="exact"/>
              <w:jc w:val="center"/>
              <w:rPr>
                <w:szCs w:val="21"/>
              </w:rPr>
            </w:pPr>
            <w:r>
              <w:rPr>
                <w:szCs w:val="21"/>
              </w:rPr>
              <w:t>新柳郢</w:t>
            </w:r>
          </w:p>
        </w:tc>
        <w:tc>
          <w:tcPr>
            <w:tcW w:w="693" w:type="dxa"/>
            <w:vAlign w:val="center"/>
          </w:tcPr>
          <w:p w14:paraId="2FA6364A">
            <w:pPr>
              <w:spacing w:line="400" w:lineRule="exact"/>
              <w:jc w:val="center"/>
              <w:rPr>
                <w:szCs w:val="21"/>
              </w:rPr>
            </w:pPr>
            <w:r>
              <w:rPr>
                <w:szCs w:val="21"/>
              </w:rPr>
              <w:t>NE</w:t>
            </w:r>
          </w:p>
        </w:tc>
        <w:tc>
          <w:tcPr>
            <w:tcW w:w="1093" w:type="dxa"/>
            <w:vAlign w:val="center"/>
          </w:tcPr>
          <w:p w14:paraId="464F3D5A">
            <w:pPr>
              <w:spacing w:line="400" w:lineRule="exact"/>
              <w:jc w:val="center"/>
              <w:rPr>
                <w:szCs w:val="21"/>
              </w:rPr>
            </w:pPr>
            <w:r>
              <w:rPr>
                <w:szCs w:val="21"/>
              </w:rPr>
              <w:t>1773</w:t>
            </w:r>
          </w:p>
        </w:tc>
        <w:tc>
          <w:tcPr>
            <w:tcW w:w="2885" w:type="dxa"/>
            <w:vAlign w:val="center"/>
          </w:tcPr>
          <w:p w14:paraId="0F3EA248">
            <w:pPr>
              <w:spacing w:line="400" w:lineRule="exact"/>
              <w:jc w:val="center"/>
              <w:rPr>
                <w:szCs w:val="21"/>
              </w:rPr>
            </w:pPr>
            <w:r>
              <w:rPr>
                <w:szCs w:val="21"/>
              </w:rPr>
              <w:t>约100户，约有人口300人</w:t>
            </w:r>
          </w:p>
        </w:tc>
        <w:tc>
          <w:tcPr>
            <w:tcW w:w="1387" w:type="dxa"/>
            <w:vMerge w:val="continue"/>
            <w:vAlign w:val="center"/>
          </w:tcPr>
          <w:p w14:paraId="12C4C204">
            <w:pPr>
              <w:spacing w:line="400" w:lineRule="exact"/>
              <w:jc w:val="center"/>
              <w:rPr>
                <w:szCs w:val="21"/>
              </w:rPr>
            </w:pPr>
          </w:p>
        </w:tc>
      </w:tr>
      <w:tr w14:paraId="598E3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B1DA9C0">
            <w:pPr>
              <w:spacing w:line="400" w:lineRule="exact"/>
              <w:jc w:val="center"/>
              <w:rPr>
                <w:szCs w:val="21"/>
              </w:rPr>
            </w:pPr>
          </w:p>
        </w:tc>
        <w:tc>
          <w:tcPr>
            <w:tcW w:w="1703" w:type="dxa"/>
            <w:vAlign w:val="center"/>
          </w:tcPr>
          <w:p w14:paraId="57847F73">
            <w:pPr>
              <w:spacing w:line="400" w:lineRule="exact"/>
              <w:jc w:val="center"/>
              <w:rPr>
                <w:szCs w:val="21"/>
              </w:rPr>
            </w:pPr>
            <w:r>
              <w:rPr>
                <w:szCs w:val="21"/>
              </w:rPr>
              <w:t>东场</w:t>
            </w:r>
          </w:p>
        </w:tc>
        <w:tc>
          <w:tcPr>
            <w:tcW w:w="693" w:type="dxa"/>
            <w:vAlign w:val="center"/>
          </w:tcPr>
          <w:p w14:paraId="5736776A">
            <w:pPr>
              <w:spacing w:line="400" w:lineRule="exact"/>
              <w:jc w:val="center"/>
              <w:rPr>
                <w:szCs w:val="21"/>
              </w:rPr>
            </w:pPr>
            <w:r>
              <w:rPr>
                <w:szCs w:val="21"/>
              </w:rPr>
              <w:t>NE</w:t>
            </w:r>
          </w:p>
        </w:tc>
        <w:tc>
          <w:tcPr>
            <w:tcW w:w="1093" w:type="dxa"/>
            <w:vAlign w:val="center"/>
          </w:tcPr>
          <w:p w14:paraId="07E46C9D">
            <w:pPr>
              <w:spacing w:line="400" w:lineRule="exact"/>
              <w:jc w:val="center"/>
              <w:rPr>
                <w:szCs w:val="21"/>
              </w:rPr>
            </w:pPr>
            <w:r>
              <w:rPr>
                <w:szCs w:val="21"/>
              </w:rPr>
              <w:t>1449</w:t>
            </w:r>
          </w:p>
        </w:tc>
        <w:tc>
          <w:tcPr>
            <w:tcW w:w="2885" w:type="dxa"/>
            <w:vAlign w:val="center"/>
          </w:tcPr>
          <w:p w14:paraId="65902487">
            <w:pPr>
              <w:spacing w:line="400" w:lineRule="exact"/>
              <w:jc w:val="center"/>
              <w:rPr>
                <w:szCs w:val="21"/>
              </w:rPr>
            </w:pPr>
            <w:r>
              <w:rPr>
                <w:szCs w:val="21"/>
              </w:rPr>
              <w:t>约150户，约有人口450人</w:t>
            </w:r>
          </w:p>
        </w:tc>
        <w:tc>
          <w:tcPr>
            <w:tcW w:w="1387" w:type="dxa"/>
            <w:vMerge w:val="continue"/>
            <w:vAlign w:val="center"/>
          </w:tcPr>
          <w:p w14:paraId="468819CD">
            <w:pPr>
              <w:spacing w:line="400" w:lineRule="exact"/>
              <w:jc w:val="center"/>
              <w:rPr>
                <w:szCs w:val="21"/>
              </w:rPr>
            </w:pPr>
          </w:p>
        </w:tc>
      </w:tr>
      <w:tr w14:paraId="24806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70EB47E5">
            <w:pPr>
              <w:spacing w:line="400" w:lineRule="exact"/>
              <w:jc w:val="center"/>
              <w:rPr>
                <w:szCs w:val="21"/>
              </w:rPr>
            </w:pPr>
          </w:p>
        </w:tc>
        <w:tc>
          <w:tcPr>
            <w:tcW w:w="1703" w:type="dxa"/>
            <w:vAlign w:val="center"/>
          </w:tcPr>
          <w:p w14:paraId="4329031C">
            <w:pPr>
              <w:spacing w:line="400" w:lineRule="exact"/>
              <w:jc w:val="center"/>
              <w:rPr>
                <w:szCs w:val="21"/>
              </w:rPr>
            </w:pPr>
            <w:r>
              <w:rPr>
                <w:szCs w:val="21"/>
              </w:rPr>
              <w:t>西场</w:t>
            </w:r>
          </w:p>
        </w:tc>
        <w:tc>
          <w:tcPr>
            <w:tcW w:w="693" w:type="dxa"/>
            <w:vAlign w:val="center"/>
          </w:tcPr>
          <w:p w14:paraId="74047E6F">
            <w:pPr>
              <w:spacing w:line="400" w:lineRule="exact"/>
              <w:jc w:val="center"/>
              <w:rPr>
                <w:szCs w:val="21"/>
              </w:rPr>
            </w:pPr>
            <w:r>
              <w:rPr>
                <w:szCs w:val="21"/>
              </w:rPr>
              <w:t>NE</w:t>
            </w:r>
          </w:p>
        </w:tc>
        <w:tc>
          <w:tcPr>
            <w:tcW w:w="1093" w:type="dxa"/>
            <w:vAlign w:val="center"/>
          </w:tcPr>
          <w:p w14:paraId="3B3F3C41">
            <w:pPr>
              <w:spacing w:line="400" w:lineRule="exact"/>
              <w:jc w:val="center"/>
              <w:rPr>
                <w:szCs w:val="21"/>
              </w:rPr>
            </w:pPr>
            <w:r>
              <w:rPr>
                <w:szCs w:val="21"/>
              </w:rPr>
              <w:t>1609</w:t>
            </w:r>
          </w:p>
        </w:tc>
        <w:tc>
          <w:tcPr>
            <w:tcW w:w="2885" w:type="dxa"/>
            <w:vAlign w:val="center"/>
          </w:tcPr>
          <w:p w14:paraId="2CC3F271">
            <w:pPr>
              <w:spacing w:line="400" w:lineRule="exact"/>
              <w:jc w:val="center"/>
              <w:rPr>
                <w:szCs w:val="21"/>
              </w:rPr>
            </w:pPr>
            <w:r>
              <w:rPr>
                <w:szCs w:val="21"/>
              </w:rPr>
              <w:t>约100户，约有人口300人</w:t>
            </w:r>
          </w:p>
        </w:tc>
        <w:tc>
          <w:tcPr>
            <w:tcW w:w="1387" w:type="dxa"/>
            <w:vMerge w:val="continue"/>
            <w:vAlign w:val="center"/>
          </w:tcPr>
          <w:p w14:paraId="5E1E6B02">
            <w:pPr>
              <w:spacing w:line="400" w:lineRule="exact"/>
              <w:jc w:val="center"/>
              <w:rPr>
                <w:szCs w:val="21"/>
              </w:rPr>
            </w:pPr>
          </w:p>
        </w:tc>
      </w:tr>
      <w:tr w14:paraId="4E1048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55BCABF1">
            <w:pPr>
              <w:spacing w:line="400" w:lineRule="exact"/>
              <w:jc w:val="center"/>
              <w:rPr>
                <w:szCs w:val="21"/>
              </w:rPr>
            </w:pPr>
          </w:p>
        </w:tc>
        <w:tc>
          <w:tcPr>
            <w:tcW w:w="1703" w:type="dxa"/>
            <w:vAlign w:val="center"/>
          </w:tcPr>
          <w:p w14:paraId="7A9F489F">
            <w:pPr>
              <w:spacing w:line="400" w:lineRule="exact"/>
              <w:jc w:val="center"/>
              <w:rPr>
                <w:szCs w:val="21"/>
              </w:rPr>
            </w:pPr>
            <w:r>
              <w:rPr>
                <w:szCs w:val="21"/>
              </w:rPr>
              <w:t>七里庙</w:t>
            </w:r>
          </w:p>
        </w:tc>
        <w:tc>
          <w:tcPr>
            <w:tcW w:w="693" w:type="dxa"/>
            <w:vAlign w:val="center"/>
          </w:tcPr>
          <w:p w14:paraId="1246C873">
            <w:pPr>
              <w:spacing w:line="400" w:lineRule="exact"/>
              <w:jc w:val="center"/>
              <w:rPr>
                <w:szCs w:val="21"/>
              </w:rPr>
            </w:pPr>
            <w:r>
              <w:rPr>
                <w:szCs w:val="21"/>
              </w:rPr>
              <w:t>N\W</w:t>
            </w:r>
          </w:p>
        </w:tc>
        <w:tc>
          <w:tcPr>
            <w:tcW w:w="1093" w:type="dxa"/>
            <w:vAlign w:val="center"/>
          </w:tcPr>
          <w:p w14:paraId="26A7EB03">
            <w:pPr>
              <w:spacing w:line="400" w:lineRule="exact"/>
              <w:jc w:val="center"/>
              <w:rPr>
                <w:szCs w:val="21"/>
              </w:rPr>
            </w:pPr>
            <w:r>
              <w:rPr>
                <w:szCs w:val="21"/>
              </w:rPr>
              <w:t>721</w:t>
            </w:r>
          </w:p>
        </w:tc>
        <w:tc>
          <w:tcPr>
            <w:tcW w:w="2885" w:type="dxa"/>
            <w:vAlign w:val="center"/>
          </w:tcPr>
          <w:p w14:paraId="08B026FC">
            <w:pPr>
              <w:spacing w:line="400" w:lineRule="exact"/>
              <w:jc w:val="center"/>
              <w:rPr>
                <w:szCs w:val="21"/>
              </w:rPr>
            </w:pPr>
            <w:r>
              <w:rPr>
                <w:szCs w:val="21"/>
              </w:rPr>
              <w:t>约150户，约有人口450人</w:t>
            </w:r>
          </w:p>
        </w:tc>
        <w:tc>
          <w:tcPr>
            <w:tcW w:w="1387" w:type="dxa"/>
            <w:vMerge w:val="continue"/>
            <w:vAlign w:val="center"/>
          </w:tcPr>
          <w:p w14:paraId="4732D041">
            <w:pPr>
              <w:spacing w:line="400" w:lineRule="exact"/>
              <w:jc w:val="center"/>
              <w:rPr>
                <w:szCs w:val="21"/>
              </w:rPr>
            </w:pPr>
          </w:p>
        </w:tc>
      </w:tr>
      <w:tr w14:paraId="551A3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3CC20B93">
            <w:pPr>
              <w:spacing w:line="400" w:lineRule="exact"/>
              <w:jc w:val="center"/>
              <w:rPr>
                <w:szCs w:val="21"/>
              </w:rPr>
            </w:pPr>
          </w:p>
        </w:tc>
        <w:tc>
          <w:tcPr>
            <w:tcW w:w="1703" w:type="dxa"/>
            <w:vAlign w:val="center"/>
          </w:tcPr>
          <w:p w14:paraId="228CD995">
            <w:pPr>
              <w:spacing w:line="400" w:lineRule="exact"/>
              <w:jc w:val="center"/>
              <w:rPr>
                <w:szCs w:val="21"/>
              </w:rPr>
            </w:pPr>
            <w:r>
              <w:rPr>
                <w:szCs w:val="21"/>
              </w:rPr>
              <w:t>桃园</w:t>
            </w:r>
          </w:p>
        </w:tc>
        <w:tc>
          <w:tcPr>
            <w:tcW w:w="693" w:type="dxa"/>
            <w:vAlign w:val="center"/>
          </w:tcPr>
          <w:p w14:paraId="68EC3C42">
            <w:pPr>
              <w:spacing w:line="400" w:lineRule="exact"/>
              <w:jc w:val="center"/>
              <w:rPr>
                <w:szCs w:val="21"/>
              </w:rPr>
            </w:pPr>
            <w:r>
              <w:rPr>
                <w:szCs w:val="21"/>
              </w:rPr>
              <w:t>E</w:t>
            </w:r>
          </w:p>
        </w:tc>
        <w:tc>
          <w:tcPr>
            <w:tcW w:w="1093" w:type="dxa"/>
            <w:vAlign w:val="center"/>
          </w:tcPr>
          <w:p w14:paraId="6E1883C4">
            <w:pPr>
              <w:spacing w:line="400" w:lineRule="exact"/>
              <w:jc w:val="center"/>
              <w:rPr>
                <w:szCs w:val="21"/>
              </w:rPr>
            </w:pPr>
            <w:r>
              <w:rPr>
                <w:szCs w:val="21"/>
              </w:rPr>
              <w:t>1758</w:t>
            </w:r>
          </w:p>
        </w:tc>
        <w:tc>
          <w:tcPr>
            <w:tcW w:w="2885" w:type="dxa"/>
            <w:vAlign w:val="center"/>
          </w:tcPr>
          <w:p w14:paraId="74F852FA">
            <w:pPr>
              <w:spacing w:line="400" w:lineRule="exact"/>
              <w:jc w:val="center"/>
              <w:rPr>
                <w:szCs w:val="21"/>
              </w:rPr>
            </w:pPr>
            <w:r>
              <w:rPr>
                <w:szCs w:val="21"/>
              </w:rPr>
              <w:t>约30户，约有人口90人</w:t>
            </w:r>
          </w:p>
        </w:tc>
        <w:tc>
          <w:tcPr>
            <w:tcW w:w="1387" w:type="dxa"/>
            <w:vMerge w:val="continue"/>
            <w:vAlign w:val="center"/>
          </w:tcPr>
          <w:p w14:paraId="52892581">
            <w:pPr>
              <w:spacing w:line="400" w:lineRule="exact"/>
              <w:jc w:val="center"/>
              <w:rPr>
                <w:szCs w:val="21"/>
              </w:rPr>
            </w:pPr>
          </w:p>
        </w:tc>
      </w:tr>
      <w:tr w14:paraId="71673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76FB7DF2">
            <w:pPr>
              <w:spacing w:line="400" w:lineRule="exact"/>
              <w:jc w:val="center"/>
              <w:rPr>
                <w:szCs w:val="21"/>
              </w:rPr>
            </w:pPr>
          </w:p>
        </w:tc>
        <w:tc>
          <w:tcPr>
            <w:tcW w:w="1703" w:type="dxa"/>
            <w:vAlign w:val="center"/>
          </w:tcPr>
          <w:p w14:paraId="3714C7F2">
            <w:pPr>
              <w:spacing w:line="400" w:lineRule="exact"/>
              <w:jc w:val="center"/>
              <w:rPr>
                <w:szCs w:val="21"/>
              </w:rPr>
            </w:pPr>
            <w:r>
              <w:rPr>
                <w:szCs w:val="21"/>
              </w:rPr>
              <w:t>规划小学</w:t>
            </w:r>
          </w:p>
        </w:tc>
        <w:tc>
          <w:tcPr>
            <w:tcW w:w="693" w:type="dxa"/>
            <w:vAlign w:val="center"/>
          </w:tcPr>
          <w:p w14:paraId="167FECF5">
            <w:pPr>
              <w:spacing w:line="400" w:lineRule="exact"/>
              <w:jc w:val="center"/>
              <w:rPr>
                <w:szCs w:val="21"/>
              </w:rPr>
            </w:pPr>
            <w:r>
              <w:rPr>
                <w:szCs w:val="21"/>
              </w:rPr>
              <w:t>N</w:t>
            </w:r>
          </w:p>
        </w:tc>
        <w:tc>
          <w:tcPr>
            <w:tcW w:w="1093" w:type="dxa"/>
            <w:vAlign w:val="center"/>
          </w:tcPr>
          <w:p w14:paraId="2111F2B3">
            <w:pPr>
              <w:spacing w:line="400" w:lineRule="exact"/>
              <w:jc w:val="center"/>
              <w:rPr>
                <w:szCs w:val="21"/>
              </w:rPr>
            </w:pPr>
            <w:r>
              <w:rPr>
                <w:szCs w:val="21"/>
              </w:rPr>
              <w:t>380</w:t>
            </w:r>
          </w:p>
        </w:tc>
        <w:tc>
          <w:tcPr>
            <w:tcW w:w="2885" w:type="dxa"/>
            <w:vAlign w:val="center"/>
          </w:tcPr>
          <w:p w14:paraId="4B4A289C">
            <w:pPr>
              <w:spacing w:line="400" w:lineRule="exact"/>
              <w:jc w:val="center"/>
              <w:rPr>
                <w:szCs w:val="21"/>
              </w:rPr>
            </w:pPr>
            <w:r>
              <w:rPr>
                <w:szCs w:val="21"/>
              </w:rPr>
              <w:t>学校</w:t>
            </w:r>
          </w:p>
        </w:tc>
        <w:tc>
          <w:tcPr>
            <w:tcW w:w="1387" w:type="dxa"/>
            <w:vMerge w:val="continue"/>
            <w:vAlign w:val="center"/>
          </w:tcPr>
          <w:p w14:paraId="20C33D3E">
            <w:pPr>
              <w:spacing w:line="400" w:lineRule="exact"/>
              <w:jc w:val="center"/>
              <w:rPr>
                <w:szCs w:val="21"/>
              </w:rPr>
            </w:pPr>
          </w:p>
        </w:tc>
      </w:tr>
      <w:tr w14:paraId="3A221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1029C756">
            <w:pPr>
              <w:spacing w:line="400" w:lineRule="exact"/>
              <w:jc w:val="center"/>
              <w:rPr>
                <w:szCs w:val="21"/>
              </w:rPr>
            </w:pPr>
          </w:p>
        </w:tc>
        <w:tc>
          <w:tcPr>
            <w:tcW w:w="1703" w:type="dxa"/>
            <w:vAlign w:val="center"/>
          </w:tcPr>
          <w:p w14:paraId="2F73E9D7">
            <w:pPr>
              <w:spacing w:line="400" w:lineRule="exact"/>
              <w:jc w:val="center"/>
              <w:rPr>
                <w:szCs w:val="21"/>
              </w:rPr>
            </w:pPr>
            <w:r>
              <w:rPr>
                <w:szCs w:val="21"/>
              </w:rPr>
              <w:t>郑郢孜</w:t>
            </w:r>
          </w:p>
        </w:tc>
        <w:tc>
          <w:tcPr>
            <w:tcW w:w="693" w:type="dxa"/>
            <w:vAlign w:val="center"/>
          </w:tcPr>
          <w:p w14:paraId="698914C0">
            <w:pPr>
              <w:spacing w:line="400" w:lineRule="exact"/>
              <w:jc w:val="center"/>
              <w:rPr>
                <w:szCs w:val="21"/>
              </w:rPr>
            </w:pPr>
            <w:r>
              <w:rPr>
                <w:szCs w:val="21"/>
              </w:rPr>
              <w:t>W</w:t>
            </w:r>
          </w:p>
        </w:tc>
        <w:tc>
          <w:tcPr>
            <w:tcW w:w="1093" w:type="dxa"/>
            <w:vAlign w:val="center"/>
          </w:tcPr>
          <w:p w14:paraId="0D6444F2">
            <w:pPr>
              <w:spacing w:line="400" w:lineRule="exact"/>
              <w:jc w:val="center"/>
              <w:rPr>
                <w:szCs w:val="21"/>
              </w:rPr>
            </w:pPr>
            <w:r>
              <w:rPr>
                <w:szCs w:val="21"/>
              </w:rPr>
              <w:t>1130</w:t>
            </w:r>
          </w:p>
        </w:tc>
        <w:tc>
          <w:tcPr>
            <w:tcW w:w="2885" w:type="dxa"/>
            <w:vAlign w:val="center"/>
          </w:tcPr>
          <w:p w14:paraId="31F6EB2A">
            <w:pPr>
              <w:spacing w:line="400" w:lineRule="exact"/>
              <w:jc w:val="center"/>
              <w:rPr>
                <w:szCs w:val="21"/>
              </w:rPr>
            </w:pPr>
            <w:r>
              <w:rPr>
                <w:szCs w:val="21"/>
              </w:rPr>
              <w:t>约24户，约有人口72人</w:t>
            </w:r>
          </w:p>
        </w:tc>
        <w:tc>
          <w:tcPr>
            <w:tcW w:w="1387" w:type="dxa"/>
            <w:vMerge w:val="continue"/>
            <w:vAlign w:val="center"/>
          </w:tcPr>
          <w:p w14:paraId="15E55E0D">
            <w:pPr>
              <w:spacing w:line="400" w:lineRule="exact"/>
              <w:jc w:val="center"/>
              <w:rPr>
                <w:szCs w:val="21"/>
              </w:rPr>
            </w:pPr>
          </w:p>
        </w:tc>
      </w:tr>
      <w:tr w14:paraId="72DED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4949CC63">
            <w:pPr>
              <w:spacing w:line="400" w:lineRule="exact"/>
              <w:jc w:val="center"/>
              <w:rPr>
                <w:szCs w:val="21"/>
              </w:rPr>
            </w:pPr>
          </w:p>
        </w:tc>
        <w:tc>
          <w:tcPr>
            <w:tcW w:w="1703" w:type="dxa"/>
            <w:vAlign w:val="center"/>
          </w:tcPr>
          <w:p w14:paraId="6B05EBB3">
            <w:pPr>
              <w:spacing w:line="400" w:lineRule="exact"/>
              <w:jc w:val="center"/>
              <w:rPr>
                <w:szCs w:val="21"/>
              </w:rPr>
            </w:pPr>
            <w:r>
              <w:rPr>
                <w:szCs w:val="21"/>
              </w:rPr>
              <w:t>淮南农场六队</w:t>
            </w:r>
          </w:p>
        </w:tc>
        <w:tc>
          <w:tcPr>
            <w:tcW w:w="693" w:type="dxa"/>
            <w:vAlign w:val="center"/>
          </w:tcPr>
          <w:p w14:paraId="39B772E2">
            <w:pPr>
              <w:spacing w:line="400" w:lineRule="exact"/>
              <w:jc w:val="center"/>
              <w:rPr>
                <w:szCs w:val="21"/>
              </w:rPr>
            </w:pPr>
            <w:r>
              <w:rPr>
                <w:szCs w:val="21"/>
              </w:rPr>
              <w:t>SE</w:t>
            </w:r>
          </w:p>
        </w:tc>
        <w:tc>
          <w:tcPr>
            <w:tcW w:w="1093" w:type="dxa"/>
            <w:vAlign w:val="center"/>
          </w:tcPr>
          <w:p w14:paraId="7C5E293C">
            <w:pPr>
              <w:spacing w:line="400" w:lineRule="exact"/>
              <w:jc w:val="center"/>
              <w:rPr>
                <w:szCs w:val="21"/>
              </w:rPr>
            </w:pPr>
            <w:r>
              <w:rPr>
                <w:szCs w:val="21"/>
              </w:rPr>
              <w:t>1160</w:t>
            </w:r>
          </w:p>
        </w:tc>
        <w:tc>
          <w:tcPr>
            <w:tcW w:w="2885" w:type="dxa"/>
            <w:vAlign w:val="center"/>
          </w:tcPr>
          <w:p w14:paraId="4D9E6249">
            <w:pPr>
              <w:spacing w:line="400" w:lineRule="exact"/>
              <w:jc w:val="center"/>
              <w:rPr>
                <w:szCs w:val="21"/>
              </w:rPr>
            </w:pPr>
            <w:r>
              <w:rPr>
                <w:szCs w:val="21"/>
              </w:rPr>
              <w:t>约12户，约有人口36人</w:t>
            </w:r>
          </w:p>
        </w:tc>
        <w:tc>
          <w:tcPr>
            <w:tcW w:w="1387" w:type="dxa"/>
            <w:vMerge w:val="continue"/>
            <w:vAlign w:val="center"/>
          </w:tcPr>
          <w:p w14:paraId="10A19D1D">
            <w:pPr>
              <w:spacing w:line="400" w:lineRule="exact"/>
              <w:jc w:val="center"/>
              <w:rPr>
                <w:szCs w:val="21"/>
              </w:rPr>
            </w:pPr>
          </w:p>
        </w:tc>
      </w:tr>
      <w:tr w14:paraId="0DEDF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23D4552F">
            <w:pPr>
              <w:spacing w:line="400" w:lineRule="exact"/>
              <w:jc w:val="center"/>
              <w:rPr>
                <w:szCs w:val="21"/>
              </w:rPr>
            </w:pPr>
          </w:p>
        </w:tc>
        <w:tc>
          <w:tcPr>
            <w:tcW w:w="1703" w:type="dxa"/>
            <w:vAlign w:val="center"/>
          </w:tcPr>
          <w:p w14:paraId="4F862515">
            <w:pPr>
              <w:spacing w:line="400" w:lineRule="exact"/>
              <w:jc w:val="center"/>
              <w:rPr>
                <w:szCs w:val="21"/>
              </w:rPr>
            </w:pPr>
            <w:r>
              <w:rPr>
                <w:szCs w:val="21"/>
              </w:rPr>
              <w:t>八岔沟</w:t>
            </w:r>
          </w:p>
        </w:tc>
        <w:tc>
          <w:tcPr>
            <w:tcW w:w="693" w:type="dxa"/>
            <w:vAlign w:val="center"/>
          </w:tcPr>
          <w:p w14:paraId="6293944F">
            <w:pPr>
              <w:spacing w:line="400" w:lineRule="exact"/>
              <w:jc w:val="center"/>
              <w:rPr>
                <w:szCs w:val="21"/>
              </w:rPr>
            </w:pPr>
            <w:r>
              <w:rPr>
                <w:szCs w:val="21"/>
              </w:rPr>
              <w:t>E</w:t>
            </w:r>
          </w:p>
        </w:tc>
        <w:tc>
          <w:tcPr>
            <w:tcW w:w="1093" w:type="dxa"/>
            <w:vAlign w:val="center"/>
          </w:tcPr>
          <w:p w14:paraId="376E211C">
            <w:pPr>
              <w:spacing w:line="400" w:lineRule="exact"/>
              <w:jc w:val="center"/>
              <w:rPr>
                <w:szCs w:val="21"/>
              </w:rPr>
            </w:pPr>
            <w:r>
              <w:rPr>
                <w:szCs w:val="21"/>
              </w:rPr>
              <w:t>2298</w:t>
            </w:r>
          </w:p>
        </w:tc>
        <w:tc>
          <w:tcPr>
            <w:tcW w:w="2885" w:type="dxa"/>
            <w:vAlign w:val="center"/>
          </w:tcPr>
          <w:p w14:paraId="2673B603">
            <w:pPr>
              <w:spacing w:line="400" w:lineRule="exact"/>
              <w:jc w:val="center"/>
              <w:rPr>
                <w:szCs w:val="21"/>
              </w:rPr>
            </w:pPr>
            <w:r>
              <w:rPr>
                <w:szCs w:val="21"/>
              </w:rPr>
              <w:t>约9户，约有人口27人</w:t>
            </w:r>
          </w:p>
        </w:tc>
        <w:tc>
          <w:tcPr>
            <w:tcW w:w="1387" w:type="dxa"/>
            <w:vMerge w:val="continue"/>
            <w:vAlign w:val="center"/>
          </w:tcPr>
          <w:p w14:paraId="76428E95">
            <w:pPr>
              <w:spacing w:line="400" w:lineRule="exact"/>
              <w:jc w:val="center"/>
              <w:rPr>
                <w:szCs w:val="21"/>
              </w:rPr>
            </w:pPr>
          </w:p>
        </w:tc>
      </w:tr>
      <w:tr w14:paraId="6DE67C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 w:type="dxa"/>
            <w:vMerge w:val="continue"/>
            <w:vAlign w:val="center"/>
          </w:tcPr>
          <w:p w14:paraId="090FE08C">
            <w:pPr>
              <w:spacing w:line="400" w:lineRule="exact"/>
              <w:jc w:val="center"/>
              <w:rPr>
                <w:szCs w:val="21"/>
              </w:rPr>
            </w:pPr>
          </w:p>
        </w:tc>
        <w:tc>
          <w:tcPr>
            <w:tcW w:w="1703" w:type="dxa"/>
            <w:vAlign w:val="center"/>
          </w:tcPr>
          <w:p w14:paraId="579594A8">
            <w:pPr>
              <w:spacing w:line="400" w:lineRule="exact"/>
              <w:jc w:val="center"/>
              <w:rPr>
                <w:szCs w:val="21"/>
              </w:rPr>
            </w:pPr>
            <w:r>
              <w:rPr>
                <w:szCs w:val="21"/>
              </w:rPr>
              <w:t>朱家湖</w:t>
            </w:r>
          </w:p>
        </w:tc>
        <w:tc>
          <w:tcPr>
            <w:tcW w:w="693" w:type="dxa"/>
            <w:vAlign w:val="center"/>
          </w:tcPr>
          <w:p w14:paraId="39E93064">
            <w:pPr>
              <w:spacing w:line="400" w:lineRule="exact"/>
              <w:jc w:val="center"/>
              <w:rPr>
                <w:szCs w:val="21"/>
              </w:rPr>
            </w:pPr>
            <w:r>
              <w:rPr>
                <w:szCs w:val="21"/>
              </w:rPr>
              <w:t>SE</w:t>
            </w:r>
          </w:p>
        </w:tc>
        <w:tc>
          <w:tcPr>
            <w:tcW w:w="1093" w:type="dxa"/>
            <w:vAlign w:val="center"/>
          </w:tcPr>
          <w:p w14:paraId="3093200B">
            <w:pPr>
              <w:spacing w:line="400" w:lineRule="exact"/>
              <w:jc w:val="center"/>
              <w:rPr>
                <w:szCs w:val="21"/>
              </w:rPr>
            </w:pPr>
            <w:r>
              <w:rPr>
                <w:szCs w:val="21"/>
              </w:rPr>
              <w:t>1636</w:t>
            </w:r>
          </w:p>
        </w:tc>
        <w:tc>
          <w:tcPr>
            <w:tcW w:w="2885" w:type="dxa"/>
            <w:vAlign w:val="center"/>
          </w:tcPr>
          <w:p w14:paraId="03897D6B">
            <w:pPr>
              <w:spacing w:line="400" w:lineRule="exact"/>
              <w:jc w:val="center"/>
              <w:rPr>
                <w:szCs w:val="21"/>
              </w:rPr>
            </w:pPr>
            <w:r>
              <w:rPr>
                <w:szCs w:val="21"/>
              </w:rPr>
              <w:t>约72户，约有人口216人</w:t>
            </w:r>
          </w:p>
        </w:tc>
        <w:tc>
          <w:tcPr>
            <w:tcW w:w="1387" w:type="dxa"/>
            <w:vMerge w:val="continue"/>
            <w:vAlign w:val="center"/>
          </w:tcPr>
          <w:p w14:paraId="672C3A2A">
            <w:pPr>
              <w:spacing w:line="400" w:lineRule="exact"/>
              <w:jc w:val="center"/>
              <w:rPr>
                <w:szCs w:val="21"/>
              </w:rPr>
            </w:pPr>
          </w:p>
        </w:tc>
      </w:tr>
    </w:tbl>
    <w:p w14:paraId="6551F876">
      <w:pPr>
        <w:pStyle w:val="57"/>
        <w:spacing w:line="360" w:lineRule="auto"/>
        <w:rPr>
          <w:rFonts w:ascii="Times New Roman" w:hAnsi="Times New Roman" w:eastAsia="宋体"/>
          <w:b/>
        </w:rPr>
      </w:pPr>
      <w:r>
        <w:rPr>
          <w:rFonts w:ascii="Times New Roman" w:hAnsi="Times New Roman" w:eastAsia="宋体"/>
          <w:b/>
        </w:rPr>
        <w:t>6.2.3规划使用标准</w:t>
      </w:r>
    </w:p>
    <w:p w14:paraId="26A51022">
      <w:pPr>
        <w:numPr>
          <w:ilvl w:val="0"/>
          <w:numId w:val="10"/>
        </w:numPr>
        <w:adjustRightInd w:val="0"/>
        <w:spacing w:line="360" w:lineRule="auto"/>
        <w:ind w:firstLine="360" w:firstLineChars="150"/>
        <w:rPr>
          <w:sz w:val="24"/>
          <w:szCs w:val="24"/>
        </w:rPr>
      </w:pPr>
      <w:bookmarkStart w:id="106" w:name="_Toc451445064"/>
      <w:r>
        <w:rPr>
          <w:sz w:val="24"/>
          <w:szCs w:val="28"/>
        </w:rPr>
        <w:t>地表水</w:t>
      </w:r>
      <w:r>
        <w:rPr>
          <w:sz w:val="24"/>
          <w:szCs w:val="24"/>
        </w:rPr>
        <w:t>：</w:t>
      </w:r>
      <w:r>
        <w:rPr>
          <w:kern w:val="0"/>
          <w:sz w:val="24"/>
          <w:szCs w:val="24"/>
        </w:rPr>
        <w:t>淮河执行</w:t>
      </w:r>
      <w:r>
        <w:rPr>
          <w:sz w:val="24"/>
          <w:szCs w:val="24"/>
        </w:rPr>
        <w:t>（GB3838－2002）中Ⅲ类标准；</w:t>
      </w:r>
    </w:p>
    <w:p w14:paraId="5D9AF2F7">
      <w:pPr>
        <w:adjustRightInd w:val="0"/>
        <w:spacing w:line="360" w:lineRule="auto"/>
        <w:rPr>
          <w:sz w:val="24"/>
          <w:szCs w:val="24"/>
        </w:rPr>
      </w:pPr>
      <w:r>
        <w:rPr>
          <w:sz w:val="24"/>
          <w:szCs w:val="24"/>
        </w:rPr>
        <w:t>（2）地下水：执行《地下水质量标准》（GB/T14848-2017）Ⅲ类标准。</w:t>
      </w:r>
    </w:p>
    <w:p w14:paraId="611CEB34">
      <w:pPr>
        <w:adjustRightInd w:val="0"/>
        <w:spacing w:line="360" w:lineRule="auto"/>
        <w:ind w:firstLine="360" w:firstLineChars="150"/>
        <w:rPr>
          <w:sz w:val="24"/>
          <w:szCs w:val="28"/>
        </w:rPr>
      </w:pPr>
      <w:r>
        <w:rPr>
          <w:sz w:val="24"/>
          <w:szCs w:val="24"/>
        </w:rPr>
        <w:t>（3）环境空气：环境空气质量执行《环境空气质量标准》（GB3095-2012）中的二级标准；该标准中未列入的污染物指标执行《环境影响评价技术导则大气环境》（HJ2.2-2018）附录D中空气质量浓度参考限值</w:t>
      </w:r>
      <w:r>
        <w:rPr>
          <w:sz w:val="24"/>
          <w:szCs w:val="28"/>
        </w:rPr>
        <w:t>；</w:t>
      </w:r>
    </w:p>
    <w:p w14:paraId="0B7018B0">
      <w:pPr>
        <w:adjustRightInd w:val="0"/>
        <w:spacing w:line="360" w:lineRule="auto"/>
        <w:ind w:firstLine="360" w:firstLineChars="150"/>
        <w:rPr>
          <w:sz w:val="24"/>
          <w:szCs w:val="28"/>
        </w:rPr>
      </w:pPr>
      <w:r>
        <w:rPr>
          <w:sz w:val="24"/>
          <w:szCs w:val="28"/>
        </w:rPr>
        <w:t>（4）声环境：区域声环境执行《声环境质量标准》（GB3096-2008）中标准。其中：居住、商业混杂区域执行2类，工业生产、仓储物流区执行3类，规划建设城市快速路、城市主干路、城市次干路两侧一定距离之内（参考GB/T15190第8.3条规定）区域执行4a类标准；</w:t>
      </w:r>
    </w:p>
    <w:p w14:paraId="735AFD5E">
      <w:pPr>
        <w:adjustRightInd w:val="0"/>
        <w:spacing w:line="360" w:lineRule="auto"/>
        <w:ind w:firstLine="480" w:firstLineChars="200"/>
        <w:rPr>
          <w:sz w:val="24"/>
          <w:szCs w:val="28"/>
        </w:rPr>
      </w:pPr>
      <w:r>
        <w:rPr>
          <w:sz w:val="24"/>
          <w:szCs w:val="28"/>
        </w:rPr>
        <w:t>（5）土壤：</w:t>
      </w:r>
      <w:r>
        <w:rPr>
          <w:sz w:val="24"/>
        </w:rPr>
        <w:t>执行GB36600-2018《建设用地土壤污染风险管控标准》中的筛选值中第二类用地(一般工业)执行的限值。</w:t>
      </w:r>
    </w:p>
    <w:p w14:paraId="61022481">
      <w:pPr>
        <w:pStyle w:val="57"/>
        <w:spacing w:line="360" w:lineRule="auto"/>
        <w:rPr>
          <w:rFonts w:ascii="Times New Roman" w:hAnsi="Times New Roman" w:eastAsia="宋体"/>
          <w:b/>
        </w:rPr>
      </w:pPr>
      <w:r>
        <w:rPr>
          <w:rFonts w:ascii="Times New Roman" w:hAnsi="Times New Roman" w:eastAsia="宋体"/>
          <w:b/>
        </w:rPr>
        <w:t>6.2.4污染物排放标准</w:t>
      </w:r>
    </w:p>
    <w:p w14:paraId="701CE551">
      <w:pPr>
        <w:adjustRightInd w:val="0"/>
        <w:spacing w:line="360" w:lineRule="auto"/>
        <w:ind w:firstLine="480"/>
        <w:rPr>
          <w:sz w:val="24"/>
          <w:szCs w:val="28"/>
        </w:rPr>
      </w:pPr>
      <w:r>
        <w:rPr>
          <w:sz w:val="24"/>
          <w:szCs w:val="28"/>
        </w:rPr>
        <w:t>（1）废水</w:t>
      </w:r>
    </w:p>
    <w:p w14:paraId="576CCEB2">
      <w:pPr>
        <w:adjustRightInd w:val="0"/>
        <w:spacing w:line="360" w:lineRule="auto"/>
        <w:ind w:firstLine="480"/>
        <w:rPr>
          <w:sz w:val="24"/>
          <w:szCs w:val="28"/>
        </w:rPr>
      </w:pPr>
      <w:r>
        <w:rPr>
          <w:sz w:val="24"/>
          <w:szCs w:val="24"/>
        </w:rPr>
        <w:t>化工园区废水排放执行淮南经济技术开发区污水处理厂接管标准，未明确的因子执行执行《污水综合排放标准》（GB8978-1996）三级标准</w:t>
      </w:r>
      <w:r>
        <w:rPr>
          <w:sz w:val="24"/>
          <w:szCs w:val="28"/>
        </w:rPr>
        <w:t>；</w:t>
      </w:r>
    </w:p>
    <w:p w14:paraId="645EF04B">
      <w:pPr>
        <w:adjustRightInd w:val="0"/>
        <w:spacing w:line="360" w:lineRule="auto"/>
        <w:ind w:firstLine="480"/>
        <w:rPr>
          <w:sz w:val="24"/>
          <w:szCs w:val="28"/>
        </w:rPr>
      </w:pPr>
      <w:r>
        <w:rPr>
          <w:sz w:val="24"/>
          <w:szCs w:val="28"/>
        </w:rPr>
        <w:t>（2）废气</w:t>
      </w:r>
    </w:p>
    <w:p w14:paraId="3EE96E41">
      <w:pPr>
        <w:adjustRightInd w:val="0"/>
        <w:spacing w:line="360" w:lineRule="auto"/>
        <w:ind w:firstLine="480"/>
        <w:rPr>
          <w:sz w:val="24"/>
          <w:szCs w:val="28"/>
        </w:rPr>
      </w:pPr>
      <w:r>
        <w:rPr>
          <w:sz w:val="24"/>
          <w:szCs w:val="28"/>
        </w:rPr>
        <w:t>废气排放执行《大气污染物综合排放标准》（GB16297-1996）表2中二级标准；</w:t>
      </w:r>
    </w:p>
    <w:p w14:paraId="702632D7">
      <w:pPr>
        <w:adjustRightInd w:val="0"/>
        <w:spacing w:line="360" w:lineRule="auto"/>
        <w:ind w:firstLine="480"/>
        <w:rPr>
          <w:sz w:val="24"/>
          <w:szCs w:val="28"/>
        </w:rPr>
      </w:pPr>
      <w:r>
        <w:rPr>
          <w:sz w:val="24"/>
          <w:szCs w:val="28"/>
        </w:rPr>
        <w:t>锅炉大气污染物排放执行《锅炉大气污染物排放标准》（GB13271-2014）标准中特别排放限值；</w:t>
      </w:r>
    </w:p>
    <w:p w14:paraId="3729FF0D">
      <w:pPr>
        <w:adjustRightInd w:val="0"/>
        <w:spacing w:line="360" w:lineRule="auto"/>
        <w:ind w:firstLine="480"/>
        <w:rPr>
          <w:sz w:val="24"/>
          <w:szCs w:val="28"/>
        </w:rPr>
      </w:pPr>
      <w:r>
        <w:rPr>
          <w:sz w:val="24"/>
          <w:szCs w:val="28"/>
        </w:rPr>
        <w:t>污水处理站氨和硫化氢废气排放执行《恶臭污染物排放标准》（GB14554-93）中的二级标准；</w:t>
      </w:r>
    </w:p>
    <w:p w14:paraId="3CBE31CD">
      <w:pPr>
        <w:adjustRightInd w:val="0"/>
        <w:spacing w:line="360" w:lineRule="auto"/>
        <w:ind w:firstLine="480"/>
        <w:rPr>
          <w:sz w:val="24"/>
          <w:szCs w:val="28"/>
        </w:rPr>
      </w:pPr>
      <w:r>
        <w:rPr>
          <w:sz w:val="24"/>
          <w:szCs w:val="28"/>
        </w:rPr>
        <w:t>（3）噪声</w:t>
      </w:r>
    </w:p>
    <w:p w14:paraId="75786041">
      <w:pPr>
        <w:adjustRightInd w:val="0"/>
        <w:spacing w:line="360" w:lineRule="auto"/>
        <w:ind w:firstLine="480"/>
        <w:rPr>
          <w:sz w:val="24"/>
          <w:szCs w:val="28"/>
        </w:rPr>
      </w:pPr>
      <w:r>
        <w:rPr>
          <w:sz w:val="24"/>
          <w:szCs w:val="28"/>
        </w:rPr>
        <w:t>施工期噪声执行《建筑施工场界环境噪声排放标准》（GB12523-2011）中标准限值；化工园区各企业厂界噪声排放执行《工业企业厂界环境噪声排放标准》（GB12348-2008）中3类区标准。</w:t>
      </w:r>
    </w:p>
    <w:p w14:paraId="229D8CE5">
      <w:pPr>
        <w:spacing w:line="360" w:lineRule="auto"/>
        <w:ind w:firstLine="480" w:firstLineChars="200"/>
        <w:rPr>
          <w:sz w:val="24"/>
          <w:szCs w:val="24"/>
        </w:rPr>
      </w:pPr>
      <w:r>
        <w:rPr>
          <w:sz w:val="24"/>
          <w:szCs w:val="24"/>
        </w:rPr>
        <w:t>（4）固废：一般工业固体废物参照《中华人民共和国固体废物污染环境防治法》中的相关规定；固废危险性鉴别执行《国家危险废物名录》和《危险废物鉴别标准-通则》（GB5085.7-2019）》；危险废物贮存及处置执行《危险废物贮存污染控制标准》（GB18597-2001）及其修改单中的有关规定</w:t>
      </w:r>
      <w:r>
        <w:rPr>
          <w:rFonts w:hint="eastAsia"/>
          <w:sz w:val="24"/>
          <w:szCs w:val="24"/>
        </w:rPr>
        <w:t>；一般工业固体废物贮存和填埋执行 《一般工业固体废物贮存和填埋污染控制标准》（</w:t>
      </w:r>
      <w:r>
        <w:rPr>
          <w:sz w:val="24"/>
          <w:szCs w:val="24"/>
        </w:rPr>
        <w:t>GB1859</w:t>
      </w:r>
      <w:r>
        <w:rPr>
          <w:rFonts w:hint="eastAsia"/>
          <w:sz w:val="24"/>
          <w:szCs w:val="24"/>
        </w:rPr>
        <w:t>9</w:t>
      </w:r>
      <w:r>
        <w:rPr>
          <w:sz w:val="24"/>
          <w:szCs w:val="24"/>
        </w:rPr>
        <w:t>-20</w:t>
      </w:r>
      <w:r>
        <w:rPr>
          <w:rFonts w:hint="eastAsia"/>
          <w:sz w:val="24"/>
          <w:szCs w:val="24"/>
        </w:rPr>
        <w:t>20）</w:t>
      </w:r>
      <w:r>
        <w:rPr>
          <w:sz w:val="24"/>
          <w:szCs w:val="24"/>
        </w:rPr>
        <w:t>。</w:t>
      </w:r>
    </w:p>
    <w:p w14:paraId="2838A449">
      <w:pPr>
        <w:spacing w:line="360" w:lineRule="auto"/>
        <w:ind w:firstLine="480" w:firstLineChars="200"/>
        <w:rPr>
          <w:sz w:val="24"/>
          <w:szCs w:val="24"/>
        </w:rPr>
      </w:pPr>
      <w:r>
        <w:rPr>
          <w:sz w:val="24"/>
          <w:szCs w:val="24"/>
        </w:rPr>
        <w:t>（5）入区企业“三废”排放有行业标准的执行相应的行业标准。</w:t>
      </w:r>
    </w:p>
    <w:p w14:paraId="6379A9E4">
      <w:pPr>
        <w:widowControl/>
        <w:spacing w:line="360" w:lineRule="auto"/>
        <w:ind w:firstLine="600" w:firstLineChars="250"/>
        <w:rPr>
          <w:kern w:val="0"/>
          <w:sz w:val="24"/>
          <w:szCs w:val="24"/>
        </w:rPr>
      </w:pPr>
      <w:r>
        <w:rPr>
          <w:kern w:val="0"/>
          <w:sz w:val="24"/>
          <w:szCs w:val="24"/>
        </w:rPr>
        <w:t>本规划具体污染控制指标如下表：</w:t>
      </w:r>
    </w:p>
    <w:tbl>
      <w:tblPr>
        <w:tblStyle w:val="25"/>
        <w:tblW w:w="7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639"/>
        <w:gridCol w:w="2955"/>
        <w:gridCol w:w="1222"/>
        <w:gridCol w:w="1276"/>
        <w:gridCol w:w="1134"/>
      </w:tblGrid>
      <w:tr w14:paraId="5F3B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blHeader/>
          <w:jc w:val="center"/>
        </w:trPr>
        <w:tc>
          <w:tcPr>
            <w:tcW w:w="1279" w:type="dxa"/>
            <w:gridSpan w:val="2"/>
            <w:tcBorders>
              <w:tl2br w:val="single" w:color="000000" w:sz="6" w:space="0"/>
            </w:tcBorders>
            <w:vAlign w:val="center"/>
          </w:tcPr>
          <w:p w14:paraId="17ADD10B">
            <w:pPr>
              <w:widowControl/>
              <w:spacing w:line="240" w:lineRule="exact"/>
              <w:ind w:firstLine="360"/>
              <w:jc w:val="center"/>
              <w:rPr>
                <w:kern w:val="0"/>
                <w:szCs w:val="21"/>
              </w:rPr>
            </w:pPr>
            <w:r>
              <w:rPr>
                <w:kern w:val="0"/>
                <w:szCs w:val="21"/>
              </w:rPr>
              <w:t>类别</w:t>
            </w:r>
          </w:p>
        </w:tc>
        <w:tc>
          <w:tcPr>
            <w:tcW w:w="2955" w:type="dxa"/>
            <w:vAlign w:val="center"/>
          </w:tcPr>
          <w:p w14:paraId="5C11E134">
            <w:pPr>
              <w:widowControl/>
              <w:spacing w:line="240" w:lineRule="exact"/>
              <w:jc w:val="center"/>
              <w:rPr>
                <w:kern w:val="0"/>
                <w:szCs w:val="21"/>
              </w:rPr>
            </w:pPr>
            <w:r>
              <w:rPr>
                <w:kern w:val="0"/>
                <w:szCs w:val="21"/>
              </w:rPr>
              <w:t>评价指标</w:t>
            </w:r>
          </w:p>
        </w:tc>
        <w:tc>
          <w:tcPr>
            <w:tcW w:w="1222" w:type="dxa"/>
            <w:vAlign w:val="center"/>
          </w:tcPr>
          <w:p w14:paraId="7959DD0B">
            <w:pPr>
              <w:widowControl/>
              <w:spacing w:line="240" w:lineRule="exact"/>
              <w:jc w:val="center"/>
              <w:rPr>
                <w:kern w:val="0"/>
                <w:szCs w:val="21"/>
              </w:rPr>
            </w:pPr>
            <w:r>
              <w:rPr>
                <w:kern w:val="0"/>
                <w:szCs w:val="21"/>
              </w:rPr>
              <w:t>基准值</w:t>
            </w:r>
          </w:p>
        </w:tc>
        <w:tc>
          <w:tcPr>
            <w:tcW w:w="1276" w:type="dxa"/>
            <w:vAlign w:val="center"/>
          </w:tcPr>
          <w:p w14:paraId="38339BB9">
            <w:pPr>
              <w:widowControl/>
              <w:spacing w:line="240" w:lineRule="exact"/>
              <w:jc w:val="center"/>
              <w:rPr>
                <w:kern w:val="0"/>
                <w:szCs w:val="21"/>
              </w:rPr>
            </w:pPr>
            <w:r>
              <w:rPr>
                <w:kern w:val="0"/>
                <w:szCs w:val="21"/>
              </w:rPr>
              <w:t>规划值</w:t>
            </w:r>
          </w:p>
        </w:tc>
        <w:tc>
          <w:tcPr>
            <w:tcW w:w="1134" w:type="dxa"/>
            <w:vAlign w:val="center"/>
          </w:tcPr>
          <w:p w14:paraId="7D75F6D9">
            <w:pPr>
              <w:widowControl/>
              <w:spacing w:line="240" w:lineRule="exact"/>
              <w:rPr>
                <w:kern w:val="0"/>
                <w:szCs w:val="21"/>
              </w:rPr>
            </w:pPr>
            <w:r>
              <w:rPr>
                <w:kern w:val="0"/>
                <w:szCs w:val="21"/>
              </w:rPr>
              <w:t>备注</w:t>
            </w:r>
          </w:p>
        </w:tc>
      </w:tr>
      <w:tr w14:paraId="3F14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640" w:type="dxa"/>
            <w:vMerge w:val="restart"/>
            <w:vAlign w:val="center"/>
          </w:tcPr>
          <w:p w14:paraId="10B37F38">
            <w:pPr>
              <w:widowControl/>
              <w:spacing w:line="240" w:lineRule="exact"/>
              <w:jc w:val="center"/>
              <w:rPr>
                <w:kern w:val="0"/>
                <w:szCs w:val="21"/>
              </w:rPr>
            </w:pPr>
            <w:r>
              <w:rPr>
                <w:kern w:val="0"/>
                <w:szCs w:val="21"/>
              </w:rPr>
              <w:t>污染</w:t>
            </w:r>
          </w:p>
          <w:p w14:paraId="2726A147">
            <w:pPr>
              <w:widowControl/>
              <w:spacing w:line="240" w:lineRule="exact"/>
              <w:jc w:val="center"/>
              <w:rPr>
                <w:kern w:val="0"/>
                <w:szCs w:val="21"/>
              </w:rPr>
            </w:pPr>
            <w:r>
              <w:rPr>
                <w:kern w:val="0"/>
                <w:szCs w:val="21"/>
              </w:rPr>
              <w:t>控制</w:t>
            </w:r>
          </w:p>
          <w:p w14:paraId="18CEF0FA">
            <w:pPr>
              <w:widowControl/>
              <w:spacing w:line="240" w:lineRule="exact"/>
              <w:jc w:val="center"/>
              <w:rPr>
                <w:kern w:val="0"/>
                <w:szCs w:val="21"/>
              </w:rPr>
            </w:pPr>
            <w:r>
              <w:rPr>
                <w:kern w:val="0"/>
                <w:szCs w:val="21"/>
              </w:rPr>
              <w:t>指标</w:t>
            </w:r>
          </w:p>
          <w:p w14:paraId="5E028073">
            <w:pPr>
              <w:widowControl/>
              <w:spacing w:line="240" w:lineRule="exact"/>
              <w:jc w:val="left"/>
              <w:rPr>
                <w:kern w:val="0"/>
                <w:szCs w:val="21"/>
              </w:rPr>
            </w:pPr>
          </w:p>
          <w:p w14:paraId="357F2B37">
            <w:pPr>
              <w:spacing w:line="240" w:lineRule="exact"/>
              <w:ind w:firstLine="480"/>
              <w:jc w:val="left"/>
              <w:rPr>
                <w:kern w:val="0"/>
                <w:szCs w:val="21"/>
              </w:rPr>
            </w:pPr>
            <w:r>
              <w:rPr>
                <w:kern w:val="0"/>
                <w:szCs w:val="21"/>
              </w:rPr>
              <w:t>　</w:t>
            </w:r>
          </w:p>
        </w:tc>
        <w:tc>
          <w:tcPr>
            <w:tcW w:w="639" w:type="dxa"/>
            <w:vMerge w:val="restart"/>
            <w:vAlign w:val="center"/>
          </w:tcPr>
          <w:p w14:paraId="256386CD">
            <w:pPr>
              <w:widowControl/>
              <w:spacing w:line="240" w:lineRule="exact"/>
              <w:jc w:val="center"/>
              <w:rPr>
                <w:kern w:val="0"/>
                <w:szCs w:val="21"/>
              </w:rPr>
            </w:pPr>
            <w:r>
              <w:rPr>
                <w:kern w:val="0"/>
                <w:szCs w:val="21"/>
              </w:rPr>
              <w:t>废气</w:t>
            </w:r>
          </w:p>
        </w:tc>
        <w:tc>
          <w:tcPr>
            <w:tcW w:w="2955" w:type="dxa"/>
            <w:vAlign w:val="center"/>
          </w:tcPr>
          <w:p w14:paraId="3A26F95E">
            <w:pPr>
              <w:widowControl/>
              <w:spacing w:line="240" w:lineRule="exact"/>
              <w:jc w:val="center"/>
              <w:rPr>
                <w:kern w:val="0"/>
                <w:szCs w:val="21"/>
              </w:rPr>
            </w:pPr>
            <w:r>
              <w:rPr>
                <w:kern w:val="0"/>
                <w:szCs w:val="21"/>
              </w:rPr>
              <w:t>单位工业增加值SO</w:t>
            </w:r>
            <w:r>
              <w:rPr>
                <w:kern w:val="0"/>
                <w:szCs w:val="21"/>
                <w:vertAlign w:val="subscript"/>
              </w:rPr>
              <w:t>2</w:t>
            </w:r>
            <w:r>
              <w:rPr>
                <w:kern w:val="0"/>
                <w:szCs w:val="21"/>
              </w:rPr>
              <w:t>排放量(kg/万元)</w:t>
            </w:r>
          </w:p>
        </w:tc>
        <w:tc>
          <w:tcPr>
            <w:tcW w:w="1222" w:type="dxa"/>
            <w:vAlign w:val="center"/>
          </w:tcPr>
          <w:p w14:paraId="2CDE7641">
            <w:pPr>
              <w:widowControl/>
              <w:spacing w:line="240" w:lineRule="exact"/>
              <w:jc w:val="center"/>
              <w:rPr>
                <w:kern w:val="0"/>
                <w:szCs w:val="21"/>
              </w:rPr>
            </w:pPr>
            <w:r>
              <w:rPr>
                <w:kern w:val="0"/>
                <w:szCs w:val="21"/>
              </w:rPr>
              <w:t>≤1</w:t>
            </w:r>
          </w:p>
        </w:tc>
        <w:tc>
          <w:tcPr>
            <w:tcW w:w="1276" w:type="dxa"/>
            <w:vAlign w:val="center"/>
          </w:tcPr>
          <w:p w14:paraId="03D3E49E">
            <w:pPr>
              <w:widowControl/>
              <w:spacing w:line="240" w:lineRule="exact"/>
              <w:jc w:val="center"/>
              <w:rPr>
                <w:kern w:val="0"/>
                <w:szCs w:val="21"/>
              </w:rPr>
            </w:pPr>
            <w:r>
              <w:rPr>
                <w:kern w:val="0"/>
                <w:szCs w:val="21"/>
              </w:rPr>
              <w:t>0.1</w:t>
            </w:r>
          </w:p>
        </w:tc>
        <w:tc>
          <w:tcPr>
            <w:tcW w:w="1134" w:type="dxa"/>
            <w:vAlign w:val="center"/>
          </w:tcPr>
          <w:p w14:paraId="2E2A666D">
            <w:pPr>
              <w:widowControl/>
              <w:spacing w:line="240" w:lineRule="exact"/>
              <w:jc w:val="center"/>
              <w:rPr>
                <w:kern w:val="0"/>
                <w:szCs w:val="21"/>
              </w:rPr>
            </w:pPr>
          </w:p>
        </w:tc>
      </w:tr>
      <w:tr w14:paraId="5C1B3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continue"/>
            <w:vAlign w:val="center"/>
          </w:tcPr>
          <w:p w14:paraId="0812093F">
            <w:pPr>
              <w:spacing w:line="240" w:lineRule="exact"/>
              <w:ind w:firstLine="360"/>
              <w:jc w:val="left"/>
              <w:rPr>
                <w:kern w:val="0"/>
                <w:szCs w:val="21"/>
              </w:rPr>
            </w:pPr>
          </w:p>
        </w:tc>
        <w:tc>
          <w:tcPr>
            <w:tcW w:w="639" w:type="dxa"/>
            <w:vMerge w:val="continue"/>
            <w:vAlign w:val="center"/>
          </w:tcPr>
          <w:p w14:paraId="0E306165">
            <w:pPr>
              <w:widowControl/>
              <w:spacing w:line="240" w:lineRule="exact"/>
              <w:jc w:val="left"/>
              <w:rPr>
                <w:kern w:val="0"/>
                <w:szCs w:val="21"/>
              </w:rPr>
            </w:pPr>
          </w:p>
        </w:tc>
        <w:tc>
          <w:tcPr>
            <w:tcW w:w="2955" w:type="dxa"/>
            <w:vAlign w:val="center"/>
          </w:tcPr>
          <w:p w14:paraId="35AFC8D4">
            <w:pPr>
              <w:widowControl/>
              <w:spacing w:line="240" w:lineRule="exact"/>
              <w:jc w:val="center"/>
              <w:rPr>
                <w:kern w:val="0"/>
                <w:szCs w:val="21"/>
              </w:rPr>
            </w:pPr>
            <w:r>
              <w:rPr>
                <w:kern w:val="0"/>
                <w:szCs w:val="21"/>
              </w:rPr>
              <w:t>单位工业增加值NO</w:t>
            </w:r>
            <w:r>
              <w:rPr>
                <w:kern w:val="0"/>
                <w:szCs w:val="21"/>
                <w:vertAlign w:val="subscript"/>
              </w:rPr>
              <w:t>x</w:t>
            </w:r>
            <w:r>
              <w:rPr>
                <w:kern w:val="0"/>
                <w:szCs w:val="21"/>
              </w:rPr>
              <w:t>排放量(kg/万元)</w:t>
            </w:r>
          </w:p>
        </w:tc>
        <w:tc>
          <w:tcPr>
            <w:tcW w:w="1222" w:type="dxa"/>
            <w:vAlign w:val="center"/>
          </w:tcPr>
          <w:p w14:paraId="559DEF03">
            <w:pPr>
              <w:widowControl/>
              <w:spacing w:line="240" w:lineRule="exact"/>
              <w:jc w:val="center"/>
              <w:rPr>
                <w:kern w:val="0"/>
                <w:szCs w:val="21"/>
              </w:rPr>
            </w:pPr>
            <w:r>
              <w:rPr>
                <w:kern w:val="0"/>
                <w:szCs w:val="21"/>
              </w:rPr>
              <w:t>≤1</w:t>
            </w:r>
          </w:p>
        </w:tc>
        <w:tc>
          <w:tcPr>
            <w:tcW w:w="1276" w:type="dxa"/>
            <w:vAlign w:val="center"/>
          </w:tcPr>
          <w:p w14:paraId="7468755B">
            <w:pPr>
              <w:widowControl/>
              <w:spacing w:line="240" w:lineRule="exact"/>
              <w:jc w:val="center"/>
              <w:rPr>
                <w:kern w:val="0"/>
                <w:szCs w:val="21"/>
              </w:rPr>
            </w:pPr>
            <w:r>
              <w:rPr>
                <w:kern w:val="0"/>
                <w:szCs w:val="21"/>
              </w:rPr>
              <w:t>0.1</w:t>
            </w:r>
          </w:p>
        </w:tc>
        <w:tc>
          <w:tcPr>
            <w:tcW w:w="1134" w:type="dxa"/>
            <w:vAlign w:val="center"/>
          </w:tcPr>
          <w:p w14:paraId="742C2E31">
            <w:pPr>
              <w:widowControl/>
              <w:spacing w:line="240" w:lineRule="exact"/>
              <w:jc w:val="center"/>
              <w:rPr>
                <w:kern w:val="0"/>
                <w:szCs w:val="21"/>
              </w:rPr>
            </w:pPr>
          </w:p>
        </w:tc>
      </w:tr>
      <w:tr w14:paraId="68C2B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continue"/>
            <w:vAlign w:val="center"/>
          </w:tcPr>
          <w:p w14:paraId="7D1C2CBC">
            <w:pPr>
              <w:spacing w:line="240" w:lineRule="exact"/>
              <w:ind w:firstLine="360"/>
              <w:jc w:val="left"/>
              <w:rPr>
                <w:kern w:val="0"/>
                <w:szCs w:val="21"/>
              </w:rPr>
            </w:pPr>
          </w:p>
        </w:tc>
        <w:tc>
          <w:tcPr>
            <w:tcW w:w="639" w:type="dxa"/>
            <w:vMerge w:val="restart"/>
            <w:vAlign w:val="center"/>
          </w:tcPr>
          <w:p w14:paraId="160A50A1">
            <w:pPr>
              <w:widowControl/>
              <w:spacing w:line="240" w:lineRule="exact"/>
              <w:jc w:val="center"/>
              <w:rPr>
                <w:kern w:val="0"/>
                <w:szCs w:val="21"/>
              </w:rPr>
            </w:pPr>
            <w:r>
              <w:rPr>
                <w:kern w:val="0"/>
                <w:szCs w:val="21"/>
              </w:rPr>
              <w:t>废水</w:t>
            </w:r>
          </w:p>
        </w:tc>
        <w:tc>
          <w:tcPr>
            <w:tcW w:w="2955" w:type="dxa"/>
            <w:vAlign w:val="center"/>
          </w:tcPr>
          <w:p w14:paraId="721EB8E1">
            <w:pPr>
              <w:widowControl/>
              <w:spacing w:line="240" w:lineRule="exact"/>
              <w:jc w:val="center"/>
              <w:rPr>
                <w:kern w:val="0"/>
                <w:szCs w:val="21"/>
              </w:rPr>
            </w:pPr>
            <w:r>
              <w:rPr>
                <w:kern w:val="0"/>
                <w:szCs w:val="21"/>
              </w:rPr>
              <w:t>单位工业增加值废水排放量(m</w:t>
            </w:r>
            <w:r>
              <w:rPr>
                <w:kern w:val="0"/>
                <w:szCs w:val="21"/>
                <w:vertAlign w:val="superscript"/>
              </w:rPr>
              <w:t>3</w:t>
            </w:r>
            <w:r>
              <w:rPr>
                <w:kern w:val="0"/>
                <w:szCs w:val="21"/>
              </w:rPr>
              <w:t>/万元)</w:t>
            </w:r>
          </w:p>
        </w:tc>
        <w:tc>
          <w:tcPr>
            <w:tcW w:w="1222" w:type="dxa"/>
            <w:vAlign w:val="center"/>
          </w:tcPr>
          <w:p w14:paraId="6C4F7B1C">
            <w:pPr>
              <w:widowControl/>
              <w:spacing w:line="240" w:lineRule="exact"/>
              <w:jc w:val="center"/>
              <w:rPr>
                <w:kern w:val="0"/>
                <w:szCs w:val="21"/>
              </w:rPr>
            </w:pPr>
            <w:r>
              <w:rPr>
                <w:kern w:val="0"/>
                <w:szCs w:val="21"/>
              </w:rPr>
              <w:t>≤8</w:t>
            </w:r>
          </w:p>
        </w:tc>
        <w:tc>
          <w:tcPr>
            <w:tcW w:w="1276" w:type="dxa"/>
            <w:vAlign w:val="center"/>
          </w:tcPr>
          <w:p w14:paraId="0D5EF137">
            <w:pPr>
              <w:widowControl/>
              <w:spacing w:line="240" w:lineRule="exact"/>
              <w:jc w:val="center"/>
              <w:rPr>
                <w:kern w:val="0"/>
                <w:szCs w:val="21"/>
              </w:rPr>
            </w:pPr>
            <w:r>
              <w:rPr>
                <w:kern w:val="0"/>
                <w:szCs w:val="21"/>
              </w:rPr>
              <w:t>7</w:t>
            </w:r>
          </w:p>
        </w:tc>
        <w:tc>
          <w:tcPr>
            <w:tcW w:w="1134" w:type="dxa"/>
            <w:vAlign w:val="center"/>
          </w:tcPr>
          <w:p w14:paraId="09FD05D6">
            <w:pPr>
              <w:widowControl/>
              <w:spacing w:line="240" w:lineRule="exact"/>
              <w:jc w:val="center"/>
              <w:rPr>
                <w:kern w:val="0"/>
                <w:szCs w:val="21"/>
              </w:rPr>
            </w:pPr>
          </w:p>
        </w:tc>
      </w:tr>
      <w:tr w14:paraId="3575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continue"/>
            <w:vAlign w:val="center"/>
          </w:tcPr>
          <w:p w14:paraId="7D64436C">
            <w:pPr>
              <w:spacing w:line="240" w:lineRule="exact"/>
              <w:ind w:firstLine="480"/>
              <w:jc w:val="left"/>
              <w:rPr>
                <w:kern w:val="0"/>
                <w:szCs w:val="21"/>
              </w:rPr>
            </w:pPr>
          </w:p>
        </w:tc>
        <w:tc>
          <w:tcPr>
            <w:tcW w:w="639" w:type="dxa"/>
            <w:vMerge w:val="continue"/>
            <w:vAlign w:val="center"/>
          </w:tcPr>
          <w:p w14:paraId="4D716762">
            <w:pPr>
              <w:widowControl/>
              <w:spacing w:line="240" w:lineRule="exact"/>
              <w:jc w:val="left"/>
              <w:rPr>
                <w:kern w:val="0"/>
                <w:szCs w:val="21"/>
              </w:rPr>
            </w:pPr>
          </w:p>
        </w:tc>
        <w:tc>
          <w:tcPr>
            <w:tcW w:w="2955" w:type="dxa"/>
            <w:vAlign w:val="center"/>
          </w:tcPr>
          <w:p w14:paraId="10806B0E">
            <w:pPr>
              <w:widowControl/>
              <w:spacing w:line="240" w:lineRule="exact"/>
              <w:jc w:val="center"/>
              <w:rPr>
                <w:kern w:val="0"/>
                <w:szCs w:val="21"/>
              </w:rPr>
            </w:pPr>
            <w:r>
              <w:rPr>
                <w:kern w:val="0"/>
                <w:szCs w:val="21"/>
              </w:rPr>
              <w:t>单位工业增加值COD排放量(kg/万元)</w:t>
            </w:r>
          </w:p>
        </w:tc>
        <w:tc>
          <w:tcPr>
            <w:tcW w:w="1222" w:type="dxa"/>
            <w:vAlign w:val="center"/>
          </w:tcPr>
          <w:p w14:paraId="3040DBD0">
            <w:pPr>
              <w:widowControl/>
              <w:spacing w:line="240" w:lineRule="exact"/>
              <w:jc w:val="center"/>
              <w:rPr>
                <w:kern w:val="0"/>
                <w:szCs w:val="21"/>
              </w:rPr>
            </w:pPr>
            <w:r>
              <w:rPr>
                <w:kern w:val="0"/>
                <w:szCs w:val="21"/>
              </w:rPr>
              <w:t>≤1</w:t>
            </w:r>
          </w:p>
        </w:tc>
        <w:tc>
          <w:tcPr>
            <w:tcW w:w="1276" w:type="dxa"/>
            <w:vAlign w:val="center"/>
          </w:tcPr>
          <w:p w14:paraId="7934193F">
            <w:pPr>
              <w:widowControl/>
              <w:spacing w:line="240" w:lineRule="exact"/>
              <w:jc w:val="center"/>
              <w:rPr>
                <w:kern w:val="0"/>
                <w:szCs w:val="21"/>
              </w:rPr>
            </w:pPr>
            <w:r>
              <w:rPr>
                <w:kern w:val="0"/>
                <w:szCs w:val="21"/>
              </w:rPr>
              <w:t>0.5</w:t>
            </w:r>
          </w:p>
        </w:tc>
        <w:tc>
          <w:tcPr>
            <w:tcW w:w="1134" w:type="dxa"/>
            <w:vAlign w:val="center"/>
          </w:tcPr>
          <w:p w14:paraId="34CD7053">
            <w:pPr>
              <w:widowControl/>
              <w:spacing w:line="240" w:lineRule="exact"/>
              <w:jc w:val="center"/>
              <w:rPr>
                <w:kern w:val="0"/>
                <w:szCs w:val="21"/>
              </w:rPr>
            </w:pPr>
          </w:p>
        </w:tc>
      </w:tr>
      <w:tr w14:paraId="2279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continue"/>
            <w:vAlign w:val="center"/>
          </w:tcPr>
          <w:p w14:paraId="30DB9599">
            <w:pPr>
              <w:spacing w:line="240" w:lineRule="exact"/>
              <w:ind w:firstLine="480"/>
              <w:jc w:val="left"/>
              <w:rPr>
                <w:kern w:val="0"/>
                <w:szCs w:val="21"/>
              </w:rPr>
            </w:pPr>
          </w:p>
        </w:tc>
        <w:tc>
          <w:tcPr>
            <w:tcW w:w="639" w:type="dxa"/>
            <w:vMerge w:val="continue"/>
            <w:vAlign w:val="center"/>
          </w:tcPr>
          <w:p w14:paraId="302E99EC">
            <w:pPr>
              <w:widowControl/>
              <w:spacing w:line="240" w:lineRule="exact"/>
              <w:jc w:val="left"/>
              <w:rPr>
                <w:kern w:val="0"/>
                <w:szCs w:val="21"/>
              </w:rPr>
            </w:pPr>
          </w:p>
        </w:tc>
        <w:tc>
          <w:tcPr>
            <w:tcW w:w="2955" w:type="dxa"/>
            <w:vAlign w:val="center"/>
          </w:tcPr>
          <w:p w14:paraId="02DA0963">
            <w:pPr>
              <w:widowControl/>
              <w:spacing w:line="240" w:lineRule="exact"/>
              <w:jc w:val="center"/>
              <w:rPr>
                <w:kern w:val="0"/>
                <w:szCs w:val="21"/>
              </w:rPr>
            </w:pPr>
            <w:r>
              <w:rPr>
                <w:kern w:val="0"/>
                <w:szCs w:val="21"/>
              </w:rPr>
              <w:t>工业废水集中处理率与达标率(%)</w:t>
            </w:r>
          </w:p>
        </w:tc>
        <w:tc>
          <w:tcPr>
            <w:tcW w:w="1222" w:type="dxa"/>
            <w:vAlign w:val="center"/>
          </w:tcPr>
          <w:p w14:paraId="67E2668A">
            <w:pPr>
              <w:widowControl/>
              <w:spacing w:line="240" w:lineRule="exact"/>
              <w:jc w:val="center"/>
              <w:rPr>
                <w:kern w:val="0"/>
                <w:szCs w:val="21"/>
              </w:rPr>
            </w:pPr>
            <w:r>
              <w:rPr>
                <w:kern w:val="0"/>
                <w:szCs w:val="21"/>
              </w:rPr>
              <w:t>100</w:t>
            </w:r>
          </w:p>
        </w:tc>
        <w:tc>
          <w:tcPr>
            <w:tcW w:w="1276" w:type="dxa"/>
            <w:vAlign w:val="center"/>
          </w:tcPr>
          <w:p w14:paraId="44CD70B4">
            <w:pPr>
              <w:widowControl/>
              <w:spacing w:line="240" w:lineRule="exact"/>
              <w:jc w:val="center"/>
              <w:rPr>
                <w:kern w:val="0"/>
                <w:szCs w:val="21"/>
              </w:rPr>
            </w:pPr>
            <w:r>
              <w:rPr>
                <w:kern w:val="0"/>
                <w:szCs w:val="21"/>
              </w:rPr>
              <w:t>100</w:t>
            </w:r>
          </w:p>
        </w:tc>
        <w:tc>
          <w:tcPr>
            <w:tcW w:w="1134" w:type="dxa"/>
            <w:vAlign w:val="center"/>
          </w:tcPr>
          <w:p w14:paraId="149B91CE">
            <w:pPr>
              <w:widowControl/>
              <w:spacing w:line="240" w:lineRule="exact"/>
              <w:jc w:val="center"/>
              <w:rPr>
                <w:kern w:val="0"/>
                <w:szCs w:val="21"/>
              </w:rPr>
            </w:pPr>
          </w:p>
        </w:tc>
      </w:tr>
      <w:tr w14:paraId="5351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640" w:type="dxa"/>
            <w:vMerge w:val="continue"/>
            <w:vAlign w:val="center"/>
          </w:tcPr>
          <w:p w14:paraId="383CF9C3">
            <w:pPr>
              <w:spacing w:line="240" w:lineRule="exact"/>
              <w:ind w:firstLine="480"/>
              <w:jc w:val="left"/>
              <w:rPr>
                <w:kern w:val="0"/>
                <w:szCs w:val="21"/>
              </w:rPr>
            </w:pPr>
          </w:p>
        </w:tc>
        <w:tc>
          <w:tcPr>
            <w:tcW w:w="639" w:type="dxa"/>
            <w:vMerge w:val="continue"/>
            <w:vAlign w:val="center"/>
          </w:tcPr>
          <w:p w14:paraId="5D5F1C83">
            <w:pPr>
              <w:widowControl/>
              <w:spacing w:line="240" w:lineRule="exact"/>
              <w:jc w:val="left"/>
              <w:rPr>
                <w:kern w:val="0"/>
                <w:szCs w:val="21"/>
              </w:rPr>
            </w:pPr>
          </w:p>
        </w:tc>
        <w:tc>
          <w:tcPr>
            <w:tcW w:w="2955" w:type="dxa"/>
            <w:vAlign w:val="center"/>
          </w:tcPr>
          <w:p w14:paraId="11A9860B">
            <w:pPr>
              <w:widowControl/>
              <w:spacing w:line="240" w:lineRule="exact"/>
              <w:jc w:val="center"/>
              <w:rPr>
                <w:kern w:val="0"/>
                <w:szCs w:val="21"/>
              </w:rPr>
            </w:pPr>
            <w:r>
              <w:rPr>
                <w:kern w:val="0"/>
                <w:szCs w:val="21"/>
              </w:rPr>
              <w:t>生活污水集中处理率(%)</w:t>
            </w:r>
          </w:p>
        </w:tc>
        <w:tc>
          <w:tcPr>
            <w:tcW w:w="1222" w:type="dxa"/>
            <w:vAlign w:val="center"/>
          </w:tcPr>
          <w:p w14:paraId="3C0A942F">
            <w:pPr>
              <w:widowControl/>
              <w:spacing w:line="240" w:lineRule="exact"/>
              <w:jc w:val="center"/>
              <w:rPr>
                <w:kern w:val="0"/>
                <w:szCs w:val="21"/>
              </w:rPr>
            </w:pPr>
            <w:r>
              <w:rPr>
                <w:kern w:val="0"/>
                <w:szCs w:val="21"/>
              </w:rPr>
              <w:t>≥85</w:t>
            </w:r>
          </w:p>
        </w:tc>
        <w:tc>
          <w:tcPr>
            <w:tcW w:w="1276" w:type="dxa"/>
            <w:vAlign w:val="center"/>
          </w:tcPr>
          <w:p w14:paraId="234E9489">
            <w:pPr>
              <w:widowControl/>
              <w:spacing w:line="240" w:lineRule="exact"/>
              <w:jc w:val="center"/>
              <w:rPr>
                <w:kern w:val="0"/>
                <w:szCs w:val="21"/>
              </w:rPr>
            </w:pPr>
            <w:r>
              <w:rPr>
                <w:kern w:val="0"/>
                <w:szCs w:val="21"/>
              </w:rPr>
              <w:t>90</w:t>
            </w:r>
          </w:p>
        </w:tc>
        <w:tc>
          <w:tcPr>
            <w:tcW w:w="1134" w:type="dxa"/>
            <w:vAlign w:val="center"/>
          </w:tcPr>
          <w:p w14:paraId="5E9598C3">
            <w:pPr>
              <w:widowControl/>
              <w:spacing w:line="240" w:lineRule="exact"/>
              <w:jc w:val="center"/>
              <w:rPr>
                <w:kern w:val="0"/>
                <w:szCs w:val="21"/>
              </w:rPr>
            </w:pPr>
          </w:p>
        </w:tc>
      </w:tr>
      <w:tr w14:paraId="208C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continue"/>
            <w:vAlign w:val="center"/>
          </w:tcPr>
          <w:p w14:paraId="5D21EA3E">
            <w:pPr>
              <w:spacing w:line="240" w:lineRule="exact"/>
              <w:ind w:firstLine="480"/>
              <w:jc w:val="left"/>
              <w:rPr>
                <w:kern w:val="0"/>
                <w:szCs w:val="21"/>
              </w:rPr>
            </w:pPr>
          </w:p>
        </w:tc>
        <w:tc>
          <w:tcPr>
            <w:tcW w:w="639" w:type="dxa"/>
            <w:vMerge w:val="restart"/>
            <w:vAlign w:val="center"/>
          </w:tcPr>
          <w:p w14:paraId="7B9C89D9">
            <w:pPr>
              <w:widowControl/>
              <w:spacing w:line="240" w:lineRule="exact"/>
              <w:jc w:val="center"/>
              <w:rPr>
                <w:kern w:val="0"/>
                <w:szCs w:val="21"/>
              </w:rPr>
            </w:pPr>
            <w:r>
              <w:rPr>
                <w:kern w:val="0"/>
                <w:szCs w:val="21"/>
              </w:rPr>
              <w:t>固体</w:t>
            </w:r>
          </w:p>
          <w:p w14:paraId="79AA2EF4">
            <w:pPr>
              <w:widowControl/>
              <w:spacing w:line="240" w:lineRule="exact"/>
              <w:jc w:val="center"/>
              <w:rPr>
                <w:kern w:val="0"/>
                <w:szCs w:val="21"/>
              </w:rPr>
            </w:pPr>
            <w:r>
              <w:rPr>
                <w:kern w:val="0"/>
                <w:szCs w:val="21"/>
              </w:rPr>
              <w:t>废物</w:t>
            </w:r>
          </w:p>
          <w:p w14:paraId="3ADE4238">
            <w:pPr>
              <w:spacing w:line="240" w:lineRule="exact"/>
              <w:ind w:firstLine="480"/>
              <w:jc w:val="left"/>
              <w:rPr>
                <w:kern w:val="0"/>
                <w:szCs w:val="21"/>
              </w:rPr>
            </w:pPr>
            <w:r>
              <w:rPr>
                <w:kern w:val="0"/>
                <w:szCs w:val="21"/>
              </w:rPr>
              <w:t>　</w:t>
            </w:r>
          </w:p>
        </w:tc>
        <w:tc>
          <w:tcPr>
            <w:tcW w:w="2955" w:type="dxa"/>
            <w:vAlign w:val="center"/>
          </w:tcPr>
          <w:p w14:paraId="1C8FF589">
            <w:pPr>
              <w:widowControl/>
              <w:spacing w:line="240" w:lineRule="exact"/>
              <w:jc w:val="center"/>
              <w:rPr>
                <w:kern w:val="0"/>
                <w:szCs w:val="21"/>
              </w:rPr>
            </w:pPr>
            <w:r>
              <w:rPr>
                <w:kern w:val="0"/>
                <w:szCs w:val="21"/>
              </w:rPr>
              <w:t>单位工业增加值固废产生量(t/万元)</w:t>
            </w:r>
          </w:p>
        </w:tc>
        <w:tc>
          <w:tcPr>
            <w:tcW w:w="1222" w:type="dxa"/>
            <w:vAlign w:val="center"/>
          </w:tcPr>
          <w:p w14:paraId="26F6FB78">
            <w:pPr>
              <w:widowControl/>
              <w:spacing w:line="240" w:lineRule="exact"/>
              <w:jc w:val="center"/>
              <w:rPr>
                <w:kern w:val="0"/>
                <w:szCs w:val="21"/>
              </w:rPr>
            </w:pPr>
            <w:r>
              <w:rPr>
                <w:kern w:val="0"/>
                <w:szCs w:val="21"/>
              </w:rPr>
              <w:t>≤0.1</w:t>
            </w:r>
          </w:p>
        </w:tc>
        <w:tc>
          <w:tcPr>
            <w:tcW w:w="1276" w:type="dxa"/>
            <w:vAlign w:val="center"/>
          </w:tcPr>
          <w:p w14:paraId="76485A51">
            <w:pPr>
              <w:widowControl/>
              <w:spacing w:line="240" w:lineRule="exact"/>
              <w:jc w:val="center"/>
              <w:rPr>
                <w:kern w:val="0"/>
                <w:szCs w:val="21"/>
              </w:rPr>
            </w:pPr>
            <w:r>
              <w:rPr>
                <w:kern w:val="0"/>
                <w:szCs w:val="21"/>
              </w:rPr>
              <w:t>0.05</w:t>
            </w:r>
          </w:p>
        </w:tc>
        <w:tc>
          <w:tcPr>
            <w:tcW w:w="1134" w:type="dxa"/>
            <w:vAlign w:val="center"/>
          </w:tcPr>
          <w:p w14:paraId="61AF3399">
            <w:pPr>
              <w:widowControl/>
              <w:spacing w:line="240" w:lineRule="exact"/>
              <w:jc w:val="center"/>
              <w:rPr>
                <w:kern w:val="0"/>
                <w:szCs w:val="21"/>
              </w:rPr>
            </w:pPr>
          </w:p>
        </w:tc>
      </w:tr>
      <w:tr w14:paraId="288C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0" w:type="dxa"/>
            <w:vMerge w:val="continue"/>
            <w:vAlign w:val="center"/>
          </w:tcPr>
          <w:p w14:paraId="426E88C4">
            <w:pPr>
              <w:spacing w:line="240" w:lineRule="exact"/>
              <w:ind w:firstLine="480"/>
              <w:jc w:val="left"/>
              <w:rPr>
                <w:kern w:val="0"/>
                <w:szCs w:val="21"/>
              </w:rPr>
            </w:pPr>
          </w:p>
        </w:tc>
        <w:tc>
          <w:tcPr>
            <w:tcW w:w="639" w:type="dxa"/>
            <w:vMerge w:val="continue"/>
            <w:vAlign w:val="center"/>
          </w:tcPr>
          <w:p w14:paraId="1AD58AC3">
            <w:pPr>
              <w:spacing w:line="240" w:lineRule="exact"/>
              <w:ind w:firstLine="360"/>
              <w:jc w:val="left"/>
              <w:rPr>
                <w:kern w:val="0"/>
                <w:szCs w:val="21"/>
              </w:rPr>
            </w:pPr>
          </w:p>
        </w:tc>
        <w:tc>
          <w:tcPr>
            <w:tcW w:w="2955" w:type="dxa"/>
            <w:vAlign w:val="center"/>
          </w:tcPr>
          <w:p w14:paraId="73C1797A">
            <w:pPr>
              <w:widowControl/>
              <w:spacing w:line="240" w:lineRule="exact"/>
              <w:jc w:val="center"/>
              <w:rPr>
                <w:kern w:val="0"/>
                <w:szCs w:val="21"/>
              </w:rPr>
            </w:pPr>
            <w:r>
              <w:rPr>
                <w:kern w:val="0"/>
                <w:szCs w:val="21"/>
              </w:rPr>
              <w:t>工业固体废物综合利用率(%)</w:t>
            </w:r>
          </w:p>
        </w:tc>
        <w:tc>
          <w:tcPr>
            <w:tcW w:w="1222" w:type="dxa"/>
            <w:vAlign w:val="center"/>
          </w:tcPr>
          <w:p w14:paraId="1AAFDFDE">
            <w:pPr>
              <w:widowControl/>
              <w:spacing w:line="240" w:lineRule="exact"/>
              <w:jc w:val="center"/>
              <w:rPr>
                <w:kern w:val="0"/>
                <w:szCs w:val="21"/>
              </w:rPr>
            </w:pPr>
            <w:r>
              <w:rPr>
                <w:kern w:val="0"/>
                <w:szCs w:val="21"/>
              </w:rPr>
              <w:t>≥85</w:t>
            </w:r>
          </w:p>
        </w:tc>
        <w:tc>
          <w:tcPr>
            <w:tcW w:w="1276" w:type="dxa"/>
            <w:vAlign w:val="center"/>
          </w:tcPr>
          <w:p w14:paraId="05DBC3AB">
            <w:pPr>
              <w:widowControl/>
              <w:spacing w:line="240" w:lineRule="exact"/>
              <w:jc w:val="center"/>
              <w:rPr>
                <w:kern w:val="0"/>
                <w:szCs w:val="21"/>
              </w:rPr>
            </w:pPr>
            <w:r>
              <w:rPr>
                <w:kern w:val="0"/>
                <w:szCs w:val="21"/>
              </w:rPr>
              <w:t>95</w:t>
            </w:r>
          </w:p>
        </w:tc>
        <w:tc>
          <w:tcPr>
            <w:tcW w:w="1134" w:type="dxa"/>
            <w:vAlign w:val="center"/>
          </w:tcPr>
          <w:p w14:paraId="6D2741A8">
            <w:pPr>
              <w:widowControl/>
              <w:spacing w:line="240" w:lineRule="exact"/>
              <w:jc w:val="center"/>
              <w:rPr>
                <w:kern w:val="0"/>
                <w:szCs w:val="21"/>
              </w:rPr>
            </w:pPr>
          </w:p>
        </w:tc>
      </w:tr>
      <w:tr w14:paraId="396E4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640" w:type="dxa"/>
            <w:vMerge w:val="continue"/>
            <w:vAlign w:val="center"/>
          </w:tcPr>
          <w:p w14:paraId="687395D4">
            <w:pPr>
              <w:spacing w:line="240" w:lineRule="exact"/>
              <w:ind w:firstLine="480"/>
              <w:jc w:val="left"/>
              <w:rPr>
                <w:kern w:val="0"/>
                <w:szCs w:val="21"/>
              </w:rPr>
            </w:pPr>
          </w:p>
        </w:tc>
        <w:tc>
          <w:tcPr>
            <w:tcW w:w="639" w:type="dxa"/>
            <w:vMerge w:val="continue"/>
            <w:vAlign w:val="center"/>
          </w:tcPr>
          <w:p w14:paraId="613AA93B">
            <w:pPr>
              <w:spacing w:line="240" w:lineRule="exact"/>
              <w:ind w:firstLine="480"/>
              <w:jc w:val="left"/>
              <w:rPr>
                <w:kern w:val="0"/>
                <w:szCs w:val="21"/>
              </w:rPr>
            </w:pPr>
          </w:p>
        </w:tc>
        <w:tc>
          <w:tcPr>
            <w:tcW w:w="2955" w:type="dxa"/>
            <w:vAlign w:val="center"/>
          </w:tcPr>
          <w:p w14:paraId="5CA468E5">
            <w:pPr>
              <w:widowControl/>
              <w:spacing w:line="240" w:lineRule="exact"/>
              <w:jc w:val="center"/>
              <w:rPr>
                <w:kern w:val="0"/>
                <w:szCs w:val="21"/>
              </w:rPr>
            </w:pPr>
            <w:r>
              <w:rPr>
                <w:kern w:val="0"/>
                <w:szCs w:val="21"/>
              </w:rPr>
              <w:t>危险废物处理处置率(%)</w:t>
            </w:r>
          </w:p>
        </w:tc>
        <w:tc>
          <w:tcPr>
            <w:tcW w:w="1222" w:type="dxa"/>
            <w:vAlign w:val="center"/>
          </w:tcPr>
          <w:p w14:paraId="33F70A3A">
            <w:pPr>
              <w:widowControl/>
              <w:spacing w:line="240" w:lineRule="exact"/>
              <w:jc w:val="center"/>
              <w:rPr>
                <w:kern w:val="0"/>
                <w:szCs w:val="21"/>
              </w:rPr>
            </w:pPr>
            <w:r>
              <w:rPr>
                <w:kern w:val="0"/>
                <w:szCs w:val="21"/>
              </w:rPr>
              <w:t>100</w:t>
            </w:r>
          </w:p>
        </w:tc>
        <w:tc>
          <w:tcPr>
            <w:tcW w:w="1276" w:type="dxa"/>
            <w:vAlign w:val="center"/>
          </w:tcPr>
          <w:p w14:paraId="40CFB684">
            <w:pPr>
              <w:widowControl/>
              <w:spacing w:line="240" w:lineRule="exact"/>
              <w:jc w:val="center"/>
              <w:rPr>
                <w:kern w:val="0"/>
                <w:szCs w:val="21"/>
              </w:rPr>
            </w:pPr>
            <w:r>
              <w:rPr>
                <w:kern w:val="0"/>
                <w:szCs w:val="21"/>
              </w:rPr>
              <w:t>100</w:t>
            </w:r>
          </w:p>
        </w:tc>
        <w:tc>
          <w:tcPr>
            <w:tcW w:w="1134" w:type="dxa"/>
            <w:vAlign w:val="center"/>
          </w:tcPr>
          <w:p w14:paraId="2D37C0D8">
            <w:pPr>
              <w:widowControl/>
              <w:spacing w:line="240" w:lineRule="exact"/>
              <w:jc w:val="center"/>
              <w:rPr>
                <w:kern w:val="0"/>
                <w:szCs w:val="21"/>
              </w:rPr>
            </w:pPr>
          </w:p>
        </w:tc>
      </w:tr>
      <w:tr w14:paraId="49893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40" w:type="dxa"/>
            <w:vMerge w:val="continue"/>
            <w:vAlign w:val="center"/>
          </w:tcPr>
          <w:p w14:paraId="23B179B9">
            <w:pPr>
              <w:spacing w:line="240" w:lineRule="exact"/>
              <w:ind w:firstLine="480"/>
              <w:jc w:val="left"/>
              <w:rPr>
                <w:kern w:val="0"/>
                <w:szCs w:val="21"/>
              </w:rPr>
            </w:pPr>
          </w:p>
        </w:tc>
        <w:tc>
          <w:tcPr>
            <w:tcW w:w="639" w:type="dxa"/>
            <w:vMerge w:val="continue"/>
            <w:vAlign w:val="center"/>
          </w:tcPr>
          <w:p w14:paraId="522E8C0B">
            <w:pPr>
              <w:widowControl/>
              <w:spacing w:line="240" w:lineRule="exact"/>
              <w:jc w:val="left"/>
              <w:rPr>
                <w:kern w:val="0"/>
                <w:szCs w:val="21"/>
              </w:rPr>
            </w:pPr>
          </w:p>
        </w:tc>
        <w:tc>
          <w:tcPr>
            <w:tcW w:w="2955" w:type="dxa"/>
            <w:vAlign w:val="center"/>
          </w:tcPr>
          <w:p w14:paraId="544653A9">
            <w:pPr>
              <w:widowControl/>
              <w:spacing w:line="240" w:lineRule="exact"/>
              <w:jc w:val="center"/>
              <w:rPr>
                <w:kern w:val="0"/>
                <w:szCs w:val="21"/>
              </w:rPr>
            </w:pPr>
            <w:r>
              <w:rPr>
                <w:kern w:val="0"/>
                <w:szCs w:val="21"/>
              </w:rPr>
              <w:t>生活垃圾无害化处理率(%)</w:t>
            </w:r>
          </w:p>
        </w:tc>
        <w:tc>
          <w:tcPr>
            <w:tcW w:w="1222" w:type="dxa"/>
            <w:vAlign w:val="center"/>
          </w:tcPr>
          <w:p w14:paraId="273674A2">
            <w:pPr>
              <w:widowControl/>
              <w:spacing w:line="240" w:lineRule="exact"/>
              <w:jc w:val="center"/>
              <w:rPr>
                <w:kern w:val="0"/>
                <w:szCs w:val="21"/>
              </w:rPr>
            </w:pPr>
            <w:r>
              <w:rPr>
                <w:kern w:val="0"/>
                <w:szCs w:val="21"/>
              </w:rPr>
              <w:t>100</w:t>
            </w:r>
          </w:p>
        </w:tc>
        <w:tc>
          <w:tcPr>
            <w:tcW w:w="1276" w:type="dxa"/>
            <w:vAlign w:val="center"/>
          </w:tcPr>
          <w:p w14:paraId="00BEDE1F">
            <w:pPr>
              <w:widowControl/>
              <w:spacing w:line="240" w:lineRule="exact"/>
              <w:jc w:val="center"/>
              <w:rPr>
                <w:kern w:val="0"/>
                <w:szCs w:val="21"/>
              </w:rPr>
            </w:pPr>
            <w:r>
              <w:rPr>
                <w:kern w:val="0"/>
                <w:szCs w:val="21"/>
              </w:rPr>
              <w:t>100</w:t>
            </w:r>
          </w:p>
        </w:tc>
        <w:tc>
          <w:tcPr>
            <w:tcW w:w="1134" w:type="dxa"/>
            <w:vAlign w:val="center"/>
          </w:tcPr>
          <w:p w14:paraId="29214FF6">
            <w:pPr>
              <w:widowControl/>
              <w:spacing w:line="240" w:lineRule="exact"/>
              <w:jc w:val="center"/>
              <w:rPr>
                <w:kern w:val="0"/>
                <w:szCs w:val="21"/>
              </w:rPr>
            </w:pPr>
          </w:p>
        </w:tc>
      </w:tr>
      <w:tr w14:paraId="4DDBD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40" w:type="dxa"/>
            <w:vMerge w:val="continue"/>
            <w:vAlign w:val="center"/>
          </w:tcPr>
          <w:p w14:paraId="7D31F319">
            <w:pPr>
              <w:widowControl/>
              <w:spacing w:line="240" w:lineRule="exact"/>
              <w:jc w:val="left"/>
              <w:rPr>
                <w:kern w:val="0"/>
                <w:szCs w:val="21"/>
              </w:rPr>
            </w:pPr>
          </w:p>
        </w:tc>
        <w:tc>
          <w:tcPr>
            <w:tcW w:w="639" w:type="dxa"/>
            <w:vAlign w:val="center"/>
          </w:tcPr>
          <w:p w14:paraId="12E0F06F">
            <w:pPr>
              <w:widowControl/>
              <w:spacing w:line="240" w:lineRule="exact"/>
              <w:jc w:val="center"/>
              <w:rPr>
                <w:kern w:val="0"/>
                <w:szCs w:val="21"/>
              </w:rPr>
            </w:pPr>
            <w:r>
              <w:rPr>
                <w:kern w:val="0"/>
                <w:szCs w:val="21"/>
              </w:rPr>
              <w:t>噪声</w:t>
            </w:r>
          </w:p>
        </w:tc>
        <w:tc>
          <w:tcPr>
            <w:tcW w:w="2955" w:type="dxa"/>
            <w:vAlign w:val="center"/>
          </w:tcPr>
          <w:p w14:paraId="2C1A8F60">
            <w:pPr>
              <w:widowControl/>
              <w:spacing w:line="240" w:lineRule="exact"/>
              <w:jc w:val="center"/>
              <w:rPr>
                <w:kern w:val="0"/>
                <w:szCs w:val="21"/>
              </w:rPr>
            </w:pPr>
            <w:r>
              <w:rPr>
                <w:kern w:val="0"/>
                <w:szCs w:val="21"/>
              </w:rPr>
              <w:t>区域</w:t>
            </w:r>
          </w:p>
        </w:tc>
        <w:tc>
          <w:tcPr>
            <w:tcW w:w="1222" w:type="dxa"/>
            <w:vAlign w:val="center"/>
          </w:tcPr>
          <w:p w14:paraId="76758CA8">
            <w:pPr>
              <w:widowControl/>
              <w:spacing w:line="240" w:lineRule="exact"/>
              <w:jc w:val="center"/>
              <w:rPr>
                <w:kern w:val="0"/>
                <w:szCs w:val="21"/>
              </w:rPr>
            </w:pPr>
            <w:r>
              <w:rPr>
                <w:kern w:val="0"/>
                <w:szCs w:val="21"/>
              </w:rPr>
              <w:t>各类区域满足相应噪声标准</w:t>
            </w:r>
          </w:p>
        </w:tc>
        <w:tc>
          <w:tcPr>
            <w:tcW w:w="1276" w:type="dxa"/>
            <w:vAlign w:val="center"/>
          </w:tcPr>
          <w:p w14:paraId="3714666F">
            <w:pPr>
              <w:widowControl/>
              <w:spacing w:line="240" w:lineRule="exact"/>
              <w:jc w:val="center"/>
              <w:rPr>
                <w:kern w:val="0"/>
                <w:szCs w:val="21"/>
              </w:rPr>
            </w:pPr>
            <w:r>
              <w:rPr>
                <w:kern w:val="0"/>
                <w:szCs w:val="21"/>
              </w:rPr>
              <w:t>达标</w:t>
            </w:r>
          </w:p>
        </w:tc>
        <w:tc>
          <w:tcPr>
            <w:tcW w:w="1134" w:type="dxa"/>
            <w:vAlign w:val="center"/>
          </w:tcPr>
          <w:p w14:paraId="603BBFD8">
            <w:pPr>
              <w:widowControl/>
              <w:spacing w:line="240" w:lineRule="exact"/>
              <w:jc w:val="center"/>
              <w:rPr>
                <w:kern w:val="0"/>
                <w:szCs w:val="21"/>
              </w:rPr>
            </w:pPr>
          </w:p>
        </w:tc>
      </w:tr>
      <w:tr w14:paraId="7FE9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restart"/>
            <w:vAlign w:val="center"/>
          </w:tcPr>
          <w:p w14:paraId="431936A3">
            <w:pPr>
              <w:widowControl/>
              <w:spacing w:line="240" w:lineRule="exact"/>
              <w:jc w:val="center"/>
              <w:rPr>
                <w:kern w:val="0"/>
                <w:szCs w:val="21"/>
              </w:rPr>
            </w:pPr>
            <w:r>
              <w:rPr>
                <w:kern w:val="0"/>
                <w:szCs w:val="21"/>
              </w:rPr>
              <w:t>环境</w:t>
            </w:r>
          </w:p>
          <w:p w14:paraId="673AE095">
            <w:pPr>
              <w:widowControl/>
              <w:spacing w:line="240" w:lineRule="exact"/>
              <w:jc w:val="center"/>
              <w:rPr>
                <w:kern w:val="0"/>
                <w:szCs w:val="21"/>
              </w:rPr>
            </w:pPr>
            <w:r>
              <w:rPr>
                <w:kern w:val="0"/>
                <w:szCs w:val="21"/>
              </w:rPr>
              <w:t>质量</w:t>
            </w:r>
          </w:p>
          <w:p w14:paraId="60486D9D">
            <w:pPr>
              <w:widowControl/>
              <w:spacing w:line="240" w:lineRule="exact"/>
              <w:jc w:val="center"/>
              <w:rPr>
                <w:kern w:val="0"/>
                <w:szCs w:val="21"/>
              </w:rPr>
            </w:pPr>
            <w:r>
              <w:rPr>
                <w:kern w:val="0"/>
                <w:szCs w:val="21"/>
              </w:rPr>
              <w:t>指标</w:t>
            </w:r>
          </w:p>
          <w:p w14:paraId="10ED45C4">
            <w:pPr>
              <w:spacing w:line="240" w:lineRule="exact"/>
              <w:ind w:firstLine="480"/>
              <w:jc w:val="left"/>
              <w:rPr>
                <w:kern w:val="0"/>
                <w:szCs w:val="21"/>
              </w:rPr>
            </w:pPr>
            <w:r>
              <w:rPr>
                <w:kern w:val="0"/>
                <w:szCs w:val="21"/>
              </w:rPr>
              <w:t>　</w:t>
            </w:r>
          </w:p>
        </w:tc>
        <w:tc>
          <w:tcPr>
            <w:tcW w:w="639" w:type="dxa"/>
            <w:vAlign w:val="center"/>
          </w:tcPr>
          <w:p w14:paraId="722C786A">
            <w:pPr>
              <w:widowControl/>
              <w:spacing w:line="240" w:lineRule="exact"/>
              <w:jc w:val="center"/>
              <w:rPr>
                <w:kern w:val="0"/>
                <w:szCs w:val="21"/>
              </w:rPr>
            </w:pPr>
            <w:r>
              <w:rPr>
                <w:kern w:val="0"/>
                <w:szCs w:val="21"/>
              </w:rPr>
              <w:t>环境空气</w:t>
            </w:r>
          </w:p>
        </w:tc>
        <w:tc>
          <w:tcPr>
            <w:tcW w:w="2955" w:type="dxa"/>
            <w:vAlign w:val="center"/>
          </w:tcPr>
          <w:p w14:paraId="489BDD6A">
            <w:pPr>
              <w:widowControl/>
              <w:spacing w:line="240" w:lineRule="exact"/>
              <w:jc w:val="center"/>
              <w:rPr>
                <w:kern w:val="0"/>
                <w:szCs w:val="21"/>
              </w:rPr>
            </w:pPr>
            <w:r>
              <w:rPr>
                <w:kern w:val="0"/>
                <w:szCs w:val="21"/>
              </w:rPr>
              <w:t>区域</w:t>
            </w:r>
          </w:p>
        </w:tc>
        <w:tc>
          <w:tcPr>
            <w:tcW w:w="1222" w:type="dxa"/>
            <w:vAlign w:val="center"/>
          </w:tcPr>
          <w:p w14:paraId="1308919F">
            <w:pPr>
              <w:widowControl/>
              <w:spacing w:line="240" w:lineRule="exact"/>
              <w:jc w:val="center"/>
              <w:rPr>
                <w:kern w:val="0"/>
                <w:szCs w:val="21"/>
              </w:rPr>
            </w:pPr>
            <w:r>
              <w:rPr>
                <w:kern w:val="0"/>
                <w:szCs w:val="21"/>
              </w:rPr>
              <w:t>二级</w:t>
            </w:r>
          </w:p>
        </w:tc>
        <w:tc>
          <w:tcPr>
            <w:tcW w:w="1276" w:type="dxa"/>
            <w:vAlign w:val="center"/>
          </w:tcPr>
          <w:p w14:paraId="0267E4AC">
            <w:pPr>
              <w:widowControl/>
              <w:spacing w:line="240" w:lineRule="exact"/>
              <w:jc w:val="center"/>
              <w:rPr>
                <w:kern w:val="0"/>
                <w:szCs w:val="21"/>
              </w:rPr>
            </w:pPr>
            <w:r>
              <w:rPr>
                <w:kern w:val="0"/>
                <w:szCs w:val="21"/>
              </w:rPr>
              <w:t>二级</w:t>
            </w:r>
          </w:p>
        </w:tc>
        <w:tc>
          <w:tcPr>
            <w:tcW w:w="1134" w:type="dxa"/>
            <w:vAlign w:val="center"/>
          </w:tcPr>
          <w:p w14:paraId="3BBA3727">
            <w:pPr>
              <w:widowControl/>
              <w:spacing w:line="240" w:lineRule="exact"/>
              <w:jc w:val="center"/>
              <w:rPr>
                <w:kern w:val="0"/>
                <w:szCs w:val="21"/>
              </w:rPr>
            </w:pPr>
          </w:p>
        </w:tc>
      </w:tr>
      <w:tr w14:paraId="056B8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40" w:type="dxa"/>
            <w:vMerge w:val="continue"/>
            <w:vAlign w:val="center"/>
          </w:tcPr>
          <w:p w14:paraId="5666E34B">
            <w:pPr>
              <w:spacing w:line="240" w:lineRule="exact"/>
              <w:ind w:firstLine="360"/>
              <w:jc w:val="left"/>
              <w:rPr>
                <w:kern w:val="0"/>
                <w:szCs w:val="21"/>
              </w:rPr>
            </w:pPr>
          </w:p>
        </w:tc>
        <w:tc>
          <w:tcPr>
            <w:tcW w:w="639" w:type="dxa"/>
            <w:vMerge w:val="restart"/>
            <w:vAlign w:val="center"/>
          </w:tcPr>
          <w:p w14:paraId="70C9BCDA">
            <w:pPr>
              <w:widowControl/>
              <w:spacing w:line="240" w:lineRule="exact"/>
              <w:jc w:val="center"/>
              <w:rPr>
                <w:kern w:val="0"/>
                <w:szCs w:val="21"/>
              </w:rPr>
            </w:pPr>
            <w:r>
              <w:rPr>
                <w:kern w:val="0"/>
                <w:szCs w:val="21"/>
              </w:rPr>
              <w:t>水环境</w:t>
            </w:r>
          </w:p>
        </w:tc>
        <w:tc>
          <w:tcPr>
            <w:tcW w:w="2955" w:type="dxa"/>
            <w:vAlign w:val="center"/>
          </w:tcPr>
          <w:p w14:paraId="156F0EB3">
            <w:pPr>
              <w:widowControl/>
              <w:spacing w:line="240" w:lineRule="exact"/>
              <w:jc w:val="center"/>
              <w:rPr>
                <w:kern w:val="0"/>
                <w:szCs w:val="21"/>
              </w:rPr>
            </w:pPr>
            <w:r>
              <w:rPr>
                <w:kern w:val="0"/>
                <w:szCs w:val="21"/>
              </w:rPr>
              <w:t>地表水环境质量</w:t>
            </w:r>
          </w:p>
        </w:tc>
        <w:tc>
          <w:tcPr>
            <w:tcW w:w="1222" w:type="dxa"/>
            <w:vAlign w:val="center"/>
          </w:tcPr>
          <w:p w14:paraId="248EAE02">
            <w:pPr>
              <w:widowControl/>
              <w:spacing w:line="240" w:lineRule="exact"/>
              <w:jc w:val="center"/>
              <w:rPr>
                <w:kern w:val="0"/>
                <w:szCs w:val="21"/>
              </w:rPr>
            </w:pPr>
            <w:r>
              <w:rPr>
                <w:kern w:val="0"/>
                <w:szCs w:val="21"/>
              </w:rPr>
              <w:t>淮河水体水质为Ⅲ类</w:t>
            </w:r>
          </w:p>
        </w:tc>
        <w:tc>
          <w:tcPr>
            <w:tcW w:w="1276" w:type="dxa"/>
            <w:vAlign w:val="center"/>
          </w:tcPr>
          <w:p w14:paraId="7B2B33F4">
            <w:pPr>
              <w:widowControl/>
              <w:spacing w:line="240" w:lineRule="exact"/>
              <w:jc w:val="center"/>
              <w:rPr>
                <w:kern w:val="0"/>
                <w:szCs w:val="21"/>
              </w:rPr>
            </w:pPr>
            <w:r>
              <w:rPr>
                <w:kern w:val="0"/>
                <w:szCs w:val="21"/>
              </w:rPr>
              <w:t>满足</w:t>
            </w:r>
          </w:p>
        </w:tc>
        <w:tc>
          <w:tcPr>
            <w:tcW w:w="1134" w:type="dxa"/>
            <w:vAlign w:val="center"/>
          </w:tcPr>
          <w:p w14:paraId="717A5A0F">
            <w:pPr>
              <w:widowControl/>
              <w:spacing w:line="240" w:lineRule="exact"/>
              <w:jc w:val="center"/>
              <w:rPr>
                <w:kern w:val="0"/>
                <w:szCs w:val="21"/>
              </w:rPr>
            </w:pPr>
          </w:p>
        </w:tc>
      </w:tr>
      <w:tr w14:paraId="14B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40" w:type="dxa"/>
            <w:vMerge w:val="continue"/>
            <w:vAlign w:val="center"/>
          </w:tcPr>
          <w:p w14:paraId="05E3E13E">
            <w:pPr>
              <w:spacing w:line="240" w:lineRule="exact"/>
              <w:ind w:firstLine="360"/>
              <w:jc w:val="left"/>
              <w:rPr>
                <w:kern w:val="0"/>
                <w:szCs w:val="21"/>
              </w:rPr>
            </w:pPr>
          </w:p>
        </w:tc>
        <w:tc>
          <w:tcPr>
            <w:tcW w:w="639" w:type="dxa"/>
            <w:vMerge w:val="continue"/>
            <w:vAlign w:val="center"/>
          </w:tcPr>
          <w:p w14:paraId="541CD89F">
            <w:pPr>
              <w:widowControl/>
              <w:spacing w:line="240" w:lineRule="exact"/>
              <w:jc w:val="left"/>
              <w:rPr>
                <w:kern w:val="0"/>
                <w:szCs w:val="21"/>
              </w:rPr>
            </w:pPr>
          </w:p>
        </w:tc>
        <w:tc>
          <w:tcPr>
            <w:tcW w:w="2955" w:type="dxa"/>
            <w:vAlign w:val="center"/>
          </w:tcPr>
          <w:p w14:paraId="4CCCA7F9">
            <w:pPr>
              <w:widowControl/>
              <w:spacing w:line="240" w:lineRule="exact"/>
              <w:jc w:val="center"/>
              <w:rPr>
                <w:kern w:val="0"/>
                <w:szCs w:val="21"/>
              </w:rPr>
            </w:pPr>
            <w:r>
              <w:rPr>
                <w:kern w:val="0"/>
                <w:szCs w:val="21"/>
              </w:rPr>
              <w:t>地下水环境质量</w:t>
            </w:r>
          </w:p>
        </w:tc>
        <w:tc>
          <w:tcPr>
            <w:tcW w:w="1222" w:type="dxa"/>
            <w:vAlign w:val="center"/>
          </w:tcPr>
          <w:p w14:paraId="3FF10EAA">
            <w:pPr>
              <w:widowControl/>
              <w:spacing w:line="240" w:lineRule="exact"/>
              <w:jc w:val="center"/>
              <w:rPr>
                <w:kern w:val="0"/>
                <w:szCs w:val="21"/>
              </w:rPr>
            </w:pPr>
            <w:r>
              <w:rPr>
                <w:kern w:val="0"/>
                <w:szCs w:val="21"/>
              </w:rPr>
              <w:t>III类</w:t>
            </w:r>
          </w:p>
        </w:tc>
        <w:tc>
          <w:tcPr>
            <w:tcW w:w="1276" w:type="dxa"/>
            <w:vAlign w:val="center"/>
          </w:tcPr>
          <w:p w14:paraId="5AAEFC51">
            <w:pPr>
              <w:widowControl/>
              <w:spacing w:line="240" w:lineRule="exact"/>
              <w:jc w:val="center"/>
              <w:rPr>
                <w:kern w:val="0"/>
                <w:szCs w:val="21"/>
              </w:rPr>
            </w:pPr>
            <w:r>
              <w:rPr>
                <w:kern w:val="0"/>
                <w:szCs w:val="21"/>
              </w:rPr>
              <w:t>III类</w:t>
            </w:r>
          </w:p>
        </w:tc>
        <w:tc>
          <w:tcPr>
            <w:tcW w:w="1134" w:type="dxa"/>
            <w:vAlign w:val="center"/>
          </w:tcPr>
          <w:p w14:paraId="538DC02D">
            <w:pPr>
              <w:widowControl/>
              <w:spacing w:line="240" w:lineRule="exact"/>
              <w:jc w:val="center"/>
              <w:rPr>
                <w:kern w:val="0"/>
                <w:szCs w:val="21"/>
              </w:rPr>
            </w:pPr>
          </w:p>
        </w:tc>
      </w:tr>
      <w:tr w14:paraId="6C38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jc w:val="center"/>
        </w:trPr>
        <w:tc>
          <w:tcPr>
            <w:tcW w:w="640" w:type="dxa"/>
            <w:vMerge w:val="continue"/>
            <w:vAlign w:val="center"/>
          </w:tcPr>
          <w:p w14:paraId="3F1C4245">
            <w:pPr>
              <w:widowControl/>
              <w:spacing w:line="240" w:lineRule="exact"/>
              <w:jc w:val="left"/>
              <w:rPr>
                <w:kern w:val="0"/>
                <w:szCs w:val="21"/>
              </w:rPr>
            </w:pPr>
          </w:p>
        </w:tc>
        <w:tc>
          <w:tcPr>
            <w:tcW w:w="639" w:type="dxa"/>
            <w:vAlign w:val="center"/>
          </w:tcPr>
          <w:p w14:paraId="32151D3D">
            <w:pPr>
              <w:widowControl/>
              <w:spacing w:line="240" w:lineRule="exact"/>
              <w:jc w:val="center"/>
              <w:rPr>
                <w:kern w:val="0"/>
                <w:szCs w:val="21"/>
              </w:rPr>
            </w:pPr>
            <w:r>
              <w:rPr>
                <w:kern w:val="0"/>
                <w:szCs w:val="21"/>
              </w:rPr>
              <w:t>声环境</w:t>
            </w:r>
          </w:p>
        </w:tc>
        <w:tc>
          <w:tcPr>
            <w:tcW w:w="2955" w:type="dxa"/>
            <w:vAlign w:val="center"/>
          </w:tcPr>
          <w:p w14:paraId="091143F8">
            <w:pPr>
              <w:widowControl/>
              <w:spacing w:line="240" w:lineRule="exact"/>
              <w:jc w:val="center"/>
              <w:rPr>
                <w:kern w:val="0"/>
                <w:szCs w:val="21"/>
              </w:rPr>
            </w:pPr>
            <w:r>
              <w:rPr>
                <w:kern w:val="0"/>
                <w:szCs w:val="21"/>
              </w:rPr>
              <w:t>区域</w:t>
            </w:r>
          </w:p>
        </w:tc>
        <w:tc>
          <w:tcPr>
            <w:tcW w:w="1222" w:type="dxa"/>
            <w:vAlign w:val="center"/>
          </w:tcPr>
          <w:p w14:paraId="53DB12F4">
            <w:pPr>
              <w:widowControl/>
              <w:spacing w:line="240" w:lineRule="exact"/>
              <w:jc w:val="center"/>
              <w:rPr>
                <w:kern w:val="0"/>
                <w:szCs w:val="21"/>
              </w:rPr>
            </w:pPr>
            <w:r>
              <w:rPr>
                <w:kern w:val="0"/>
                <w:szCs w:val="21"/>
              </w:rPr>
              <w:t>各类区域满足区划噪声标准</w:t>
            </w:r>
          </w:p>
        </w:tc>
        <w:tc>
          <w:tcPr>
            <w:tcW w:w="1276" w:type="dxa"/>
            <w:vAlign w:val="center"/>
          </w:tcPr>
          <w:p w14:paraId="45ADC065">
            <w:pPr>
              <w:widowControl/>
              <w:spacing w:line="240" w:lineRule="exact"/>
              <w:jc w:val="center"/>
              <w:rPr>
                <w:kern w:val="0"/>
                <w:szCs w:val="21"/>
              </w:rPr>
            </w:pPr>
            <w:r>
              <w:rPr>
                <w:kern w:val="0"/>
                <w:szCs w:val="21"/>
              </w:rPr>
              <w:t>满足</w:t>
            </w:r>
          </w:p>
        </w:tc>
        <w:tc>
          <w:tcPr>
            <w:tcW w:w="1134" w:type="dxa"/>
            <w:vAlign w:val="center"/>
          </w:tcPr>
          <w:p w14:paraId="44398FCE">
            <w:pPr>
              <w:widowControl/>
              <w:spacing w:line="240" w:lineRule="exact"/>
              <w:jc w:val="center"/>
              <w:rPr>
                <w:kern w:val="0"/>
                <w:szCs w:val="21"/>
              </w:rPr>
            </w:pPr>
          </w:p>
        </w:tc>
      </w:tr>
      <w:tr w14:paraId="7CF2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40" w:type="dxa"/>
            <w:vMerge w:val="restart"/>
            <w:vAlign w:val="center"/>
          </w:tcPr>
          <w:p w14:paraId="07747923">
            <w:pPr>
              <w:widowControl/>
              <w:spacing w:line="240" w:lineRule="exact"/>
              <w:jc w:val="center"/>
              <w:rPr>
                <w:kern w:val="0"/>
                <w:szCs w:val="21"/>
              </w:rPr>
            </w:pPr>
            <w:r>
              <w:rPr>
                <w:kern w:val="0"/>
                <w:szCs w:val="21"/>
              </w:rPr>
              <w:t>资源</w:t>
            </w:r>
          </w:p>
          <w:p w14:paraId="1E173637">
            <w:pPr>
              <w:widowControl/>
              <w:spacing w:line="240" w:lineRule="exact"/>
              <w:jc w:val="center"/>
              <w:rPr>
                <w:kern w:val="0"/>
                <w:szCs w:val="21"/>
              </w:rPr>
            </w:pPr>
            <w:r>
              <w:rPr>
                <w:kern w:val="0"/>
                <w:szCs w:val="21"/>
              </w:rPr>
              <w:t>能源</w:t>
            </w:r>
          </w:p>
          <w:p w14:paraId="24931A5B">
            <w:pPr>
              <w:spacing w:line="240" w:lineRule="exact"/>
              <w:jc w:val="center"/>
              <w:rPr>
                <w:kern w:val="0"/>
                <w:szCs w:val="21"/>
              </w:rPr>
            </w:pPr>
            <w:r>
              <w:rPr>
                <w:kern w:val="0"/>
                <w:szCs w:val="21"/>
              </w:rPr>
              <w:t>指标</w:t>
            </w:r>
          </w:p>
        </w:tc>
        <w:tc>
          <w:tcPr>
            <w:tcW w:w="639" w:type="dxa"/>
            <w:vMerge w:val="restart"/>
            <w:vAlign w:val="center"/>
          </w:tcPr>
          <w:p w14:paraId="478F2965">
            <w:pPr>
              <w:widowControl/>
              <w:spacing w:line="240" w:lineRule="exact"/>
              <w:jc w:val="center"/>
              <w:rPr>
                <w:kern w:val="0"/>
                <w:szCs w:val="21"/>
              </w:rPr>
            </w:pPr>
            <w:r>
              <w:rPr>
                <w:kern w:val="0"/>
                <w:szCs w:val="21"/>
              </w:rPr>
              <w:t>节约资源和能源</w:t>
            </w:r>
          </w:p>
        </w:tc>
        <w:tc>
          <w:tcPr>
            <w:tcW w:w="2955" w:type="dxa"/>
            <w:vAlign w:val="center"/>
          </w:tcPr>
          <w:p w14:paraId="444153E6">
            <w:pPr>
              <w:widowControl/>
              <w:spacing w:line="240" w:lineRule="exact"/>
              <w:jc w:val="center"/>
              <w:rPr>
                <w:kern w:val="0"/>
                <w:szCs w:val="21"/>
              </w:rPr>
            </w:pPr>
            <w:r>
              <w:rPr>
                <w:kern w:val="0"/>
                <w:szCs w:val="21"/>
              </w:rPr>
              <w:t>单位工业增加值新鲜水耗(m</w:t>
            </w:r>
            <w:r>
              <w:rPr>
                <w:kern w:val="0"/>
                <w:szCs w:val="21"/>
                <w:vertAlign w:val="superscript"/>
              </w:rPr>
              <w:t>3</w:t>
            </w:r>
            <w:r>
              <w:rPr>
                <w:kern w:val="0"/>
                <w:szCs w:val="21"/>
              </w:rPr>
              <w:t>/万元)</w:t>
            </w:r>
          </w:p>
        </w:tc>
        <w:tc>
          <w:tcPr>
            <w:tcW w:w="1222" w:type="dxa"/>
            <w:vAlign w:val="center"/>
          </w:tcPr>
          <w:p w14:paraId="22955AB9">
            <w:pPr>
              <w:widowControl/>
              <w:spacing w:line="240" w:lineRule="exact"/>
              <w:jc w:val="center"/>
              <w:rPr>
                <w:kern w:val="0"/>
                <w:szCs w:val="21"/>
              </w:rPr>
            </w:pPr>
            <w:r>
              <w:rPr>
                <w:kern w:val="0"/>
                <w:szCs w:val="21"/>
              </w:rPr>
              <w:t>≤9</w:t>
            </w:r>
          </w:p>
        </w:tc>
        <w:tc>
          <w:tcPr>
            <w:tcW w:w="1276" w:type="dxa"/>
            <w:vAlign w:val="center"/>
          </w:tcPr>
          <w:p w14:paraId="5029EDDB">
            <w:pPr>
              <w:widowControl/>
              <w:spacing w:line="240" w:lineRule="exact"/>
              <w:jc w:val="center"/>
              <w:rPr>
                <w:kern w:val="0"/>
                <w:szCs w:val="21"/>
              </w:rPr>
            </w:pPr>
            <w:r>
              <w:rPr>
                <w:kern w:val="0"/>
                <w:szCs w:val="21"/>
              </w:rPr>
              <w:t>8.5</w:t>
            </w:r>
          </w:p>
        </w:tc>
        <w:tc>
          <w:tcPr>
            <w:tcW w:w="1134" w:type="dxa"/>
            <w:vAlign w:val="center"/>
          </w:tcPr>
          <w:p w14:paraId="661747B7">
            <w:pPr>
              <w:widowControl/>
              <w:spacing w:line="240" w:lineRule="exact"/>
              <w:jc w:val="center"/>
              <w:rPr>
                <w:kern w:val="0"/>
                <w:szCs w:val="21"/>
              </w:rPr>
            </w:pPr>
          </w:p>
        </w:tc>
      </w:tr>
      <w:tr w14:paraId="4EB2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40" w:type="dxa"/>
            <w:vMerge w:val="continue"/>
            <w:vAlign w:val="center"/>
          </w:tcPr>
          <w:p w14:paraId="590DC076">
            <w:pPr>
              <w:spacing w:line="240" w:lineRule="exact"/>
              <w:ind w:firstLine="360"/>
              <w:jc w:val="center"/>
              <w:rPr>
                <w:kern w:val="0"/>
                <w:szCs w:val="21"/>
              </w:rPr>
            </w:pPr>
          </w:p>
        </w:tc>
        <w:tc>
          <w:tcPr>
            <w:tcW w:w="639" w:type="dxa"/>
            <w:vMerge w:val="continue"/>
            <w:vAlign w:val="center"/>
          </w:tcPr>
          <w:p w14:paraId="44C4D5AB">
            <w:pPr>
              <w:widowControl/>
              <w:spacing w:line="240" w:lineRule="exact"/>
              <w:jc w:val="left"/>
              <w:rPr>
                <w:kern w:val="0"/>
                <w:szCs w:val="21"/>
              </w:rPr>
            </w:pPr>
          </w:p>
        </w:tc>
        <w:tc>
          <w:tcPr>
            <w:tcW w:w="2955" w:type="dxa"/>
            <w:vAlign w:val="center"/>
          </w:tcPr>
          <w:p w14:paraId="5CB4B049">
            <w:pPr>
              <w:widowControl/>
              <w:spacing w:line="240" w:lineRule="exact"/>
              <w:jc w:val="center"/>
              <w:rPr>
                <w:kern w:val="0"/>
                <w:szCs w:val="21"/>
              </w:rPr>
            </w:pPr>
            <w:r>
              <w:rPr>
                <w:kern w:val="0"/>
                <w:szCs w:val="21"/>
              </w:rPr>
              <w:t>工业用水重复利用率(%)</w:t>
            </w:r>
          </w:p>
        </w:tc>
        <w:tc>
          <w:tcPr>
            <w:tcW w:w="1222" w:type="dxa"/>
            <w:vAlign w:val="center"/>
          </w:tcPr>
          <w:p w14:paraId="3B9F8AD2">
            <w:pPr>
              <w:widowControl/>
              <w:spacing w:line="240" w:lineRule="exact"/>
              <w:jc w:val="center"/>
              <w:rPr>
                <w:kern w:val="0"/>
                <w:szCs w:val="21"/>
              </w:rPr>
            </w:pPr>
            <w:r>
              <w:rPr>
                <w:kern w:val="0"/>
                <w:szCs w:val="21"/>
              </w:rPr>
              <w:t>≥75</w:t>
            </w:r>
          </w:p>
        </w:tc>
        <w:tc>
          <w:tcPr>
            <w:tcW w:w="1276" w:type="dxa"/>
            <w:vAlign w:val="center"/>
          </w:tcPr>
          <w:p w14:paraId="2A05A333">
            <w:pPr>
              <w:widowControl/>
              <w:spacing w:line="240" w:lineRule="exact"/>
              <w:jc w:val="center"/>
              <w:rPr>
                <w:kern w:val="0"/>
                <w:szCs w:val="21"/>
              </w:rPr>
            </w:pPr>
            <w:r>
              <w:rPr>
                <w:kern w:val="0"/>
                <w:szCs w:val="21"/>
              </w:rPr>
              <w:t>75</w:t>
            </w:r>
          </w:p>
        </w:tc>
        <w:tc>
          <w:tcPr>
            <w:tcW w:w="1134" w:type="dxa"/>
            <w:vAlign w:val="center"/>
          </w:tcPr>
          <w:p w14:paraId="4F3B746B">
            <w:pPr>
              <w:widowControl/>
              <w:spacing w:line="240" w:lineRule="exact"/>
              <w:jc w:val="center"/>
              <w:rPr>
                <w:kern w:val="0"/>
                <w:szCs w:val="21"/>
              </w:rPr>
            </w:pPr>
          </w:p>
        </w:tc>
      </w:tr>
      <w:tr w14:paraId="0B51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40" w:type="dxa"/>
            <w:vMerge w:val="continue"/>
            <w:vAlign w:val="center"/>
          </w:tcPr>
          <w:p w14:paraId="1BD3EFA3">
            <w:pPr>
              <w:widowControl/>
              <w:spacing w:line="240" w:lineRule="exact"/>
              <w:jc w:val="center"/>
              <w:rPr>
                <w:kern w:val="0"/>
                <w:szCs w:val="21"/>
              </w:rPr>
            </w:pPr>
          </w:p>
        </w:tc>
        <w:tc>
          <w:tcPr>
            <w:tcW w:w="639" w:type="dxa"/>
            <w:vMerge w:val="continue"/>
            <w:vAlign w:val="center"/>
          </w:tcPr>
          <w:p w14:paraId="63EB9237">
            <w:pPr>
              <w:widowControl/>
              <w:spacing w:line="240" w:lineRule="exact"/>
              <w:jc w:val="left"/>
              <w:rPr>
                <w:kern w:val="0"/>
                <w:szCs w:val="21"/>
              </w:rPr>
            </w:pPr>
          </w:p>
        </w:tc>
        <w:tc>
          <w:tcPr>
            <w:tcW w:w="2955" w:type="dxa"/>
            <w:vAlign w:val="center"/>
          </w:tcPr>
          <w:p w14:paraId="358AB897">
            <w:pPr>
              <w:widowControl/>
              <w:spacing w:line="240" w:lineRule="exact"/>
              <w:jc w:val="center"/>
              <w:rPr>
                <w:kern w:val="0"/>
                <w:szCs w:val="21"/>
              </w:rPr>
            </w:pPr>
            <w:r>
              <w:rPr>
                <w:kern w:val="0"/>
                <w:szCs w:val="21"/>
              </w:rPr>
              <w:t>单位工业用地工业增加值(亿元/Km</w:t>
            </w:r>
            <w:r>
              <w:rPr>
                <w:kern w:val="0"/>
                <w:szCs w:val="21"/>
                <w:vertAlign w:val="superscript"/>
              </w:rPr>
              <w:t>2</w:t>
            </w:r>
            <w:r>
              <w:rPr>
                <w:kern w:val="0"/>
                <w:szCs w:val="21"/>
              </w:rPr>
              <w:t>)</w:t>
            </w:r>
          </w:p>
        </w:tc>
        <w:tc>
          <w:tcPr>
            <w:tcW w:w="1222" w:type="dxa"/>
            <w:vAlign w:val="center"/>
          </w:tcPr>
          <w:p w14:paraId="36F107E1">
            <w:pPr>
              <w:widowControl/>
              <w:spacing w:line="240" w:lineRule="exact"/>
              <w:jc w:val="center"/>
              <w:rPr>
                <w:kern w:val="0"/>
                <w:szCs w:val="21"/>
              </w:rPr>
            </w:pPr>
            <w:r>
              <w:rPr>
                <w:kern w:val="0"/>
                <w:szCs w:val="21"/>
              </w:rPr>
              <w:t>≥9</w:t>
            </w:r>
          </w:p>
        </w:tc>
        <w:tc>
          <w:tcPr>
            <w:tcW w:w="1276" w:type="dxa"/>
            <w:vAlign w:val="center"/>
          </w:tcPr>
          <w:p w14:paraId="5917BD85">
            <w:pPr>
              <w:widowControl/>
              <w:spacing w:line="240" w:lineRule="exact"/>
              <w:jc w:val="center"/>
              <w:rPr>
                <w:kern w:val="0"/>
                <w:szCs w:val="21"/>
              </w:rPr>
            </w:pPr>
            <w:r>
              <w:rPr>
                <w:kern w:val="0"/>
                <w:szCs w:val="21"/>
              </w:rPr>
              <w:t>30</w:t>
            </w:r>
          </w:p>
        </w:tc>
        <w:tc>
          <w:tcPr>
            <w:tcW w:w="1134" w:type="dxa"/>
            <w:vAlign w:val="center"/>
          </w:tcPr>
          <w:p w14:paraId="4F05D2D4">
            <w:pPr>
              <w:widowControl/>
              <w:spacing w:line="240" w:lineRule="exact"/>
              <w:jc w:val="center"/>
              <w:rPr>
                <w:kern w:val="0"/>
                <w:szCs w:val="21"/>
              </w:rPr>
            </w:pPr>
          </w:p>
        </w:tc>
      </w:tr>
    </w:tbl>
    <w:p w14:paraId="4DCFAC63">
      <w:pPr>
        <w:pStyle w:val="4"/>
        <w:rPr>
          <w:rFonts w:ascii="Times New Roman" w:hAnsi="Times New Roman"/>
          <w:sz w:val="24"/>
          <w:szCs w:val="24"/>
        </w:rPr>
      </w:pPr>
      <w:bookmarkStart w:id="107" w:name="_Toc1628645"/>
      <w:bookmarkStart w:id="108" w:name="_Toc22296"/>
      <w:r>
        <w:rPr>
          <w:rFonts w:ascii="Times New Roman" w:hAnsi="Times New Roman"/>
          <w:sz w:val="24"/>
          <w:szCs w:val="24"/>
        </w:rPr>
        <w:t>6.3环境保护原则</w:t>
      </w:r>
      <w:bookmarkEnd w:id="106"/>
      <w:bookmarkEnd w:id="107"/>
      <w:bookmarkEnd w:id="108"/>
    </w:p>
    <w:p w14:paraId="026E9141">
      <w:pPr>
        <w:widowControl/>
        <w:spacing w:line="360" w:lineRule="auto"/>
        <w:ind w:firstLine="560"/>
        <w:jc w:val="left"/>
        <w:rPr>
          <w:kern w:val="0"/>
          <w:sz w:val="24"/>
          <w:szCs w:val="24"/>
        </w:rPr>
      </w:pPr>
      <w:r>
        <w:rPr>
          <w:kern w:val="0"/>
          <w:sz w:val="24"/>
          <w:szCs w:val="24"/>
        </w:rPr>
        <w:t>1、坚持循序渐进、可持续发展原则。注重环境保护的针对性，规划措施的可实施性。</w:t>
      </w:r>
    </w:p>
    <w:p w14:paraId="521CF520">
      <w:pPr>
        <w:widowControl/>
        <w:spacing w:line="360" w:lineRule="auto"/>
        <w:ind w:firstLine="560"/>
        <w:jc w:val="left"/>
        <w:rPr>
          <w:kern w:val="0"/>
          <w:sz w:val="24"/>
          <w:szCs w:val="24"/>
        </w:rPr>
      </w:pPr>
      <w:r>
        <w:rPr>
          <w:kern w:val="0"/>
          <w:sz w:val="24"/>
          <w:szCs w:val="24"/>
        </w:rPr>
        <w:t>2、坚持经济与环境协调发展原则。建立相应的协调机构，促进经济与环境走上良性循环轨道。</w:t>
      </w:r>
    </w:p>
    <w:p w14:paraId="3BEC0097">
      <w:pPr>
        <w:widowControl/>
        <w:spacing w:line="360" w:lineRule="auto"/>
        <w:ind w:firstLine="560"/>
        <w:jc w:val="left"/>
        <w:rPr>
          <w:kern w:val="0"/>
          <w:sz w:val="24"/>
          <w:szCs w:val="24"/>
        </w:rPr>
      </w:pPr>
      <w:r>
        <w:rPr>
          <w:kern w:val="0"/>
          <w:sz w:val="24"/>
          <w:szCs w:val="24"/>
        </w:rPr>
        <w:t>3、全面规划，突出重点原则。抓住主要环境问题，突出重点环节，实行全过程控制。</w:t>
      </w:r>
    </w:p>
    <w:p w14:paraId="6C10E66C">
      <w:pPr>
        <w:widowControl/>
        <w:spacing w:line="360" w:lineRule="auto"/>
        <w:ind w:firstLine="560"/>
        <w:jc w:val="left"/>
        <w:rPr>
          <w:kern w:val="0"/>
          <w:sz w:val="24"/>
          <w:szCs w:val="24"/>
        </w:rPr>
      </w:pPr>
      <w:r>
        <w:rPr>
          <w:kern w:val="0"/>
          <w:sz w:val="24"/>
          <w:szCs w:val="24"/>
        </w:rPr>
        <w:t>4、强化管理，严格控制原则。运用法律、行政、经济手段，使环保措施成为促进区域生态环境保护的基础和指导。</w:t>
      </w:r>
      <w:bookmarkStart w:id="109" w:name="_Toc451445065"/>
    </w:p>
    <w:p w14:paraId="479C00BE">
      <w:pPr>
        <w:pStyle w:val="4"/>
        <w:rPr>
          <w:rFonts w:ascii="Times New Roman" w:hAnsi="Times New Roman"/>
          <w:sz w:val="24"/>
          <w:szCs w:val="24"/>
        </w:rPr>
      </w:pPr>
      <w:bookmarkStart w:id="110" w:name="_Toc1628646"/>
      <w:bookmarkStart w:id="111" w:name="_Toc30189"/>
      <w:r>
        <w:rPr>
          <w:rFonts w:ascii="Times New Roman" w:hAnsi="Times New Roman"/>
          <w:sz w:val="24"/>
          <w:szCs w:val="24"/>
        </w:rPr>
        <w:t>6.4环境保护规划</w:t>
      </w:r>
      <w:bookmarkEnd w:id="109"/>
      <w:bookmarkEnd w:id="110"/>
      <w:bookmarkEnd w:id="111"/>
    </w:p>
    <w:p w14:paraId="37D3B45C">
      <w:pPr>
        <w:pStyle w:val="5"/>
        <w:spacing w:before="156" w:after="156"/>
        <w:rPr>
          <w:rFonts w:eastAsiaTheme="minorEastAsia"/>
          <w:sz w:val="24"/>
          <w:szCs w:val="24"/>
        </w:rPr>
      </w:pPr>
      <w:bookmarkStart w:id="112" w:name="_Toc4596045"/>
      <w:r>
        <w:rPr>
          <w:rFonts w:eastAsiaTheme="minorEastAsia"/>
          <w:sz w:val="24"/>
          <w:szCs w:val="24"/>
        </w:rPr>
        <w:t>6.4.1大气环境保护</w:t>
      </w:r>
      <w:bookmarkEnd w:id="112"/>
    </w:p>
    <w:p w14:paraId="4DF410AB">
      <w:pPr>
        <w:widowControl/>
        <w:spacing w:line="360" w:lineRule="auto"/>
        <w:ind w:firstLine="560"/>
        <w:jc w:val="left"/>
        <w:rPr>
          <w:kern w:val="0"/>
          <w:sz w:val="24"/>
          <w:szCs w:val="24"/>
        </w:rPr>
      </w:pPr>
      <w:r>
        <w:rPr>
          <w:kern w:val="0"/>
          <w:sz w:val="24"/>
          <w:szCs w:val="24"/>
        </w:rPr>
        <w:t>（1）按照《环境空气质量标准》（GB3095-2012），化工园区应保持国家二级标准。</w:t>
      </w:r>
    </w:p>
    <w:p w14:paraId="767BF9D6">
      <w:pPr>
        <w:widowControl/>
        <w:spacing w:line="360" w:lineRule="auto"/>
        <w:ind w:firstLine="560"/>
        <w:jc w:val="left"/>
        <w:rPr>
          <w:kern w:val="0"/>
          <w:sz w:val="24"/>
          <w:szCs w:val="24"/>
        </w:rPr>
      </w:pPr>
      <w:r>
        <w:rPr>
          <w:kern w:val="0"/>
          <w:sz w:val="24"/>
          <w:szCs w:val="24"/>
        </w:rPr>
        <w:t>（2）提高二次能源在能源结构中的比例。</w:t>
      </w:r>
    </w:p>
    <w:p w14:paraId="206A6789">
      <w:pPr>
        <w:pStyle w:val="5"/>
        <w:spacing w:before="156" w:after="156"/>
        <w:rPr>
          <w:rFonts w:eastAsiaTheme="minorEastAsia"/>
          <w:sz w:val="24"/>
          <w:szCs w:val="24"/>
        </w:rPr>
      </w:pPr>
      <w:bookmarkStart w:id="113" w:name="_Toc4596046"/>
      <w:r>
        <w:rPr>
          <w:rFonts w:eastAsiaTheme="minorEastAsia"/>
          <w:sz w:val="24"/>
          <w:szCs w:val="24"/>
        </w:rPr>
        <w:t>6.4.2水环境保护</w:t>
      </w:r>
      <w:bookmarkEnd w:id="113"/>
    </w:p>
    <w:p w14:paraId="2377CEF0">
      <w:pPr>
        <w:widowControl/>
        <w:spacing w:line="360" w:lineRule="auto"/>
        <w:ind w:firstLine="560"/>
        <w:jc w:val="left"/>
        <w:rPr>
          <w:kern w:val="0"/>
          <w:sz w:val="24"/>
          <w:szCs w:val="24"/>
        </w:rPr>
      </w:pPr>
      <w:r>
        <w:rPr>
          <w:kern w:val="0"/>
          <w:sz w:val="24"/>
          <w:szCs w:val="24"/>
        </w:rPr>
        <w:t>（1）生活居住区的地表水水质评价应按各水体划定的环境功能，执行相应的《地表水环境质量标准》（GB3838-2002），水环境功能III类区，地表水环境质量执行（GB3838-2002）Ⅲ类标准；</w:t>
      </w:r>
    </w:p>
    <w:p w14:paraId="57AE9396">
      <w:pPr>
        <w:widowControl/>
        <w:spacing w:line="360" w:lineRule="auto"/>
        <w:ind w:firstLine="560"/>
        <w:jc w:val="left"/>
        <w:rPr>
          <w:kern w:val="0"/>
          <w:sz w:val="24"/>
          <w:szCs w:val="24"/>
        </w:rPr>
      </w:pPr>
      <w:r>
        <w:rPr>
          <w:kern w:val="0"/>
          <w:sz w:val="24"/>
          <w:szCs w:val="24"/>
        </w:rPr>
        <w:t>（2）污染源预测：生活污水量和工业污水量，应按规划供水量的按照《城市排水工程规划规范》（GB50318-2000）的规定：园内生产污水量采用0.70排污率（包括清洁下水和需要处理的生产污水），生活污水量采用0.80排污率。按照目前化工行业中技术改造发展趋势和清洁生产工艺水平要求，生产污水量中，45～50%应为清洁下水，50～55%为需要处理的生产污水。</w:t>
      </w:r>
    </w:p>
    <w:p w14:paraId="4E84ED4D">
      <w:pPr>
        <w:widowControl/>
        <w:spacing w:line="360" w:lineRule="auto"/>
        <w:ind w:firstLine="560"/>
        <w:jc w:val="left"/>
        <w:rPr>
          <w:kern w:val="0"/>
          <w:sz w:val="24"/>
          <w:szCs w:val="24"/>
        </w:rPr>
      </w:pPr>
      <w:r>
        <w:rPr>
          <w:kern w:val="0"/>
          <w:sz w:val="24"/>
          <w:szCs w:val="24"/>
        </w:rPr>
        <w:t>（3）化工园区内严禁污水未经处理直接排入自然水体。</w:t>
      </w:r>
    </w:p>
    <w:p w14:paraId="29552802">
      <w:pPr>
        <w:widowControl/>
        <w:spacing w:line="360" w:lineRule="auto"/>
        <w:ind w:firstLine="560"/>
        <w:jc w:val="left"/>
        <w:rPr>
          <w:kern w:val="0"/>
          <w:sz w:val="24"/>
          <w:szCs w:val="24"/>
        </w:rPr>
      </w:pPr>
      <w:r>
        <w:rPr>
          <w:kern w:val="0"/>
          <w:sz w:val="24"/>
          <w:szCs w:val="24"/>
        </w:rPr>
        <w:t>（4）应保护现有植被、减少水土流失及地面径流。</w:t>
      </w:r>
    </w:p>
    <w:p w14:paraId="6A331D60">
      <w:pPr>
        <w:widowControl/>
        <w:spacing w:line="360" w:lineRule="auto"/>
        <w:ind w:firstLine="560"/>
        <w:jc w:val="left"/>
        <w:rPr>
          <w:kern w:val="0"/>
          <w:sz w:val="24"/>
          <w:szCs w:val="24"/>
        </w:rPr>
      </w:pPr>
      <w:r>
        <w:rPr>
          <w:kern w:val="0"/>
          <w:sz w:val="24"/>
          <w:szCs w:val="24"/>
        </w:rPr>
        <w:t>（5）应将合理利用水资源与控制水污染相结合，提高水资源的重复利用率。近、中期工业用水的重复利用率应达到85%以上。</w:t>
      </w:r>
    </w:p>
    <w:p w14:paraId="5EFB0D49">
      <w:pPr>
        <w:pStyle w:val="5"/>
        <w:spacing w:before="156" w:after="156"/>
        <w:rPr>
          <w:rFonts w:eastAsiaTheme="minorEastAsia"/>
          <w:sz w:val="24"/>
          <w:szCs w:val="24"/>
        </w:rPr>
      </w:pPr>
      <w:bookmarkStart w:id="114" w:name="_Toc4596047"/>
      <w:r>
        <w:rPr>
          <w:rFonts w:eastAsiaTheme="minorEastAsia"/>
          <w:sz w:val="24"/>
          <w:szCs w:val="24"/>
        </w:rPr>
        <w:t>6.4.3声环境保护</w:t>
      </w:r>
      <w:bookmarkEnd w:id="114"/>
    </w:p>
    <w:p w14:paraId="2BC065F3">
      <w:pPr>
        <w:widowControl/>
        <w:spacing w:line="360" w:lineRule="auto"/>
        <w:ind w:firstLine="560"/>
        <w:jc w:val="left"/>
        <w:rPr>
          <w:kern w:val="0"/>
          <w:sz w:val="24"/>
          <w:szCs w:val="24"/>
        </w:rPr>
      </w:pPr>
      <w:r>
        <w:rPr>
          <w:kern w:val="0"/>
          <w:sz w:val="24"/>
          <w:szCs w:val="24"/>
        </w:rPr>
        <w:t>（1）声环境分区</w:t>
      </w:r>
    </w:p>
    <w:p w14:paraId="309BDF08">
      <w:pPr>
        <w:spacing w:line="360" w:lineRule="auto"/>
        <w:ind w:firstLine="480" w:firstLineChars="200"/>
        <w:rPr>
          <w:kern w:val="0"/>
          <w:sz w:val="24"/>
          <w:szCs w:val="24"/>
        </w:rPr>
      </w:pPr>
      <w:r>
        <w:rPr>
          <w:kern w:val="0"/>
          <w:sz w:val="24"/>
          <w:szCs w:val="24"/>
        </w:rPr>
        <w:t>根据《声环境质量标准》（GB3096-2008），声环境功能3类区，声环境质量执行（GB3096-2008）中3类标准。按照《</w:t>
      </w:r>
      <w:r>
        <w:rPr>
          <w:rFonts w:hint="eastAsia"/>
          <w:kern w:val="0"/>
          <w:sz w:val="24"/>
          <w:szCs w:val="24"/>
          <w:lang w:eastAsia="zh-CN"/>
        </w:rPr>
        <w:t>中华人民共和国环境噪声污染防治法</w:t>
      </w:r>
      <w:r>
        <w:rPr>
          <w:kern w:val="0"/>
          <w:sz w:val="24"/>
          <w:szCs w:val="24"/>
        </w:rPr>
        <w:t>》的要求，昼间、夜间的时段划分为昼间6：00—22：00，夜间22：00—6：00。</w:t>
      </w:r>
    </w:p>
    <w:p w14:paraId="2A048775">
      <w:pPr>
        <w:widowControl/>
        <w:spacing w:line="360" w:lineRule="auto"/>
        <w:ind w:firstLine="560"/>
        <w:jc w:val="left"/>
        <w:rPr>
          <w:kern w:val="0"/>
          <w:sz w:val="24"/>
          <w:szCs w:val="24"/>
        </w:rPr>
      </w:pPr>
      <w:r>
        <w:rPr>
          <w:kern w:val="0"/>
          <w:sz w:val="24"/>
          <w:szCs w:val="24"/>
        </w:rPr>
        <w:t>（2）产业噪声控制</w:t>
      </w:r>
    </w:p>
    <w:p w14:paraId="716F383F">
      <w:pPr>
        <w:widowControl/>
        <w:spacing w:line="360" w:lineRule="auto"/>
        <w:ind w:firstLine="560"/>
        <w:jc w:val="left"/>
        <w:rPr>
          <w:kern w:val="0"/>
          <w:sz w:val="24"/>
          <w:szCs w:val="24"/>
        </w:rPr>
      </w:pPr>
      <w:r>
        <w:rPr>
          <w:kern w:val="0"/>
          <w:sz w:val="24"/>
          <w:szCs w:val="24"/>
        </w:rPr>
        <w:t>噪声源集中的工厂应远离居住区布置，并在居住区周围及厂区内部的不同功能之间，设置绿化隔离带。执行区域环境噪声的三类标准（昼间65分贝，夜间55分贝）。</w:t>
      </w:r>
    </w:p>
    <w:p w14:paraId="4D65AC7B">
      <w:pPr>
        <w:widowControl/>
        <w:spacing w:line="360" w:lineRule="auto"/>
        <w:ind w:firstLine="560"/>
        <w:jc w:val="left"/>
        <w:rPr>
          <w:kern w:val="0"/>
          <w:sz w:val="24"/>
          <w:szCs w:val="24"/>
        </w:rPr>
      </w:pPr>
      <w:r>
        <w:rPr>
          <w:kern w:val="0"/>
          <w:sz w:val="24"/>
          <w:szCs w:val="24"/>
        </w:rPr>
        <w:t>化工园区内的各企业不得在室外安装高音喇叭，使用音响设备对外辐射声音的声级（室外一米处），必须达到该区域执行的《工业企业厂界环境噪声排放标准》（GB12348－2008）的要求。</w:t>
      </w:r>
    </w:p>
    <w:p w14:paraId="46D123E1">
      <w:pPr>
        <w:widowControl/>
        <w:spacing w:line="360" w:lineRule="auto"/>
        <w:ind w:firstLine="560"/>
        <w:jc w:val="left"/>
        <w:rPr>
          <w:kern w:val="0"/>
          <w:sz w:val="24"/>
          <w:szCs w:val="24"/>
        </w:rPr>
      </w:pPr>
      <w:r>
        <w:rPr>
          <w:kern w:val="0"/>
          <w:sz w:val="24"/>
          <w:szCs w:val="24"/>
        </w:rPr>
        <w:t>（3）施工噪声控制</w:t>
      </w:r>
    </w:p>
    <w:p w14:paraId="275691C9">
      <w:pPr>
        <w:widowControl/>
        <w:spacing w:line="360" w:lineRule="auto"/>
        <w:ind w:firstLine="560"/>
        <w:jc w:val="left"/>
        <w:rPr>
          <w:kern w:val="0"/>
          <w:sz w:val="24"/>
          <w:szCs w:val="24"/>
        </w:rPr>
      </w:pPr>
      <w:r>
        <w:rPr>
          <w:kern w:val="0"/>
          <w:sz w:val="24"/>
          <w:szCs w:val="24"/>
        </w:rPr>
        <w:t>在不同的施工阶段作业的噪声限值必须达到《建筑施工场界环境噪声排放标准》（GB12523-2011）的要求。</w:t>
      </w:r>
    </w:p>
    <w:p w14:paraId="05787F2F">
      <w:pPr>
        <w:widowControl/>
        <w:spacing w:line="360" w:lineRule="auto"/>
        <w:ind w:firstLine="560"/>
        <w:jc w:val="left"/>
        <w:rPr>
          <w:kern w:val="0"/>
          <w:sz w:val="24"/>
          <w:szCs w:val="24"/>
        </w:rPr>
      </w:pPr>
      <w:r>
        <w:rPr>
          <w:kern w:val="0"/>
          <w:sz w:val="24"/>
          <w:szCs w:val="24"/>
        </w:rPr>
        <w:t>（4）交通噪声控制</w:t>
      </w:r>
    </w:p>
    <w:p w14:paraId="7864E262">
      <w:pPr>
        <w:widowControl/>
        <w:spacing w:line="360" w:lineRule="auto"/>
        <w:ind w:firstLine="560"/>
        <w:jc w:val="left"/>
        <w:rPr>
          <w:kern w:val="0"/>
          <w:sz w:val="24"/>
          <w:szCs w:val="24"/>
        </w:rPr>
      </w:pPr>
      <w:r>
        <w:rPr>
          <w:kern w:val="0"/>
          <w:sz w:val="24"/>
          <w:szCs w:val="24"/>
        </w:rPr>
        <w:t>沿街建筑必须适当后退道路红线距离，在敏感距离内不应兴建对噪音敏感的建筑。</w:t>
      </w:r>
    </w:p>
    <w:p w14:paraId="208851F7">
      <w:pPr>
        <w:widowControl/>
        <w:spacing w:line="360" w:lineRule="auto"/>
        <w:ind w:firstLine="560"/>
        <w:jc w:val="left"/>
        <w:rPr>
          <w:kern w:val="0"/>
          <w:sz w:val="24"/>
          <w:szCs w:val="24"/>
        </w:rPr>
      </w:pPr>
      <w:r>
        <w:rPr>
          <w:kern w:val="0"/>
          <w:sz w:val="24"/>
          <w:szCs w:val="24"/>
        </w:rPr>
        <w:t>应组织好交通干道上的车辆疏导，严禁使用高音喇叭，并应逐步淘汰噪声大又难于改造的车辆。</w:t>
      </w:r>
    </w:p>
    <w:p w14:paraId="0A364758">
      <w:pPr>
        <w:widowControl/>
        <w:spacing w:line="360" w:lineRule="auto"/>
        <w:ind w:firstLine="560"/>
        <w:jc w:val="left"/>
        <w:rPr>
          <w:kern w:val="0"/>
          <w:sz w:val="24"/>
          <w:szCs w:val="24"/>
        </w:rPr>
      </w:pPr>
      <w:r>
        <w:rPr>
          <w:kern w:val="0"/>
          <w:sz w:val="24"/>
          <w:szCs w:val="24"/>
        </w:rPr>
        <w:t>应在路面铺设吸声材料以减少轮胎摩擦声。</w:t>
      </w:r>
    </w:p>
    <w:p w14:paraId="5F545AFA">
      <w:pPr>
        <w:widowControl/>
        <w:spacing w:line="360" w:lineRule="auto"/>
        <w:ind w:firstLine="560"/>
        <w:jc w:val="left"/>
        <w:rPr>
          <w:kern w:val="0"/>
          <w:sz w:val="24"/>
          <w:szCs w:val="24"/>
        </w:rPr>
      </w:pPr>
      <w:r>
        <w:rPr>
          <w:kern w:val="0"/>
          <w:sz w:val="24"/>
          <w:szCs w:val="24"/>
        </w:rPr>
        <w:t>应避免在交通干线两侧兴建较多的高层建筑而形成“声廊”。</w:t>
      </w:r>
    </w:p>
    <w:p w14:paraId="410A9ABF">
      <w:pPr>
        <w:widowControl/>
        <w:spacing w:line="360" w:lineRule="auto"/>
        <w:ind w:firstLine="560"/>
        <w:jc w:val="left"/>
        <w:rPr>
          <w:kern w:val="0"/>
          <w:sz w:val="24"/>
          <w:szCs w:val="24"/>
        </w:rPr>
      </w:pPr>
      <w:r>
        <w:rPr>
          <w:kern w:val="0"/>
          <w:sz w:val="24"/>
          <w:szCs w:val="24"/>
        </w:rPr>
        <w:t>化工园区内主要干道的背景噪声，应执行区域环境噪声四类标准（昼间70分贝，夜间55分贝）。</w:t>
      </w:r>
    </w:p>
    <w:p w14:paraId="4AA478FD">
      <w:pPr>
        <w:pStyle w:val="5"/>
        <w:spacing w:before="156" w:after="156"/>
        <w:rPr>
          <w:rFonts w:eastAsiaTheme="minorEastAsia"/>
          <w:sz w:val="24"/>
          <w:szCs w:val="24"/>
        </w:rPr>
      </w:pPr>
      <w:bookmarkStart w:id="115" w:name="_Toc4596048"/>
      <w:r>
        <w:rPr>
          <w:rFonts w:eastAsiaTheme="minorEastAsia"/>
          <w:sz w:val="24"/>
          <w:szCs w:val="24"/>
        </w:rPr>
        <w:t>6.4.4固体废物环境保护</w:t>
      </w:r>
      <w:bookmarkEnd w:id="115"/>
    </w:p>
    <w:p w14:paraId="2DA92964">
      <w:pPr>
        <w:widowControl/>
        <w:spacing w:line="360" w:lineRule="auto"/>
        <w:ind w:firstLine="560"/>
        <w:jc w:val="left"/>
        <w:rPr>
          <w:kern w:val="0"/>
          <w:sz w:val="24"/>
          <w:szCs w:val="24"/>
        </w:rPr>
      </w:pPr>
      <w:r>
        <w:rPr>
          <w:kern w:val="0"/>
          <w:sz w:val="24"/>
          <w:szCs w:val="24"/>
        </w:rPr>
        <w:t>（1）建筑垃圾</w:t>
      </w:r>
    </w:p>
    <w:p w14:paraId="3CC7B890">
      <w:pPr>
        <w:widowControl/>
        <w:spacing w:line="360" w:lineRule="auto"/>
        <w:ind w:firstLine="560"/>
        <w:jc w:val="left"/>
        <w:rPr>
          <w:kern w:val="0"/>
          <w:sz w:val="24"/>
          <w:szCs w:val="24"/>
        </w:rPr>
      </w:pPr>
      <w:r>
        <w:rPr>
          <w:kern w:val="0"/>
          <w:sz w:val="24"/>
          <w:szCs w:val="24"/>
        </w:rPr>
        <w:t>规划期内，对产业园中新建、改建及维修建筑物和构筑物施工现场挖土过程中产生的工程渣土，规划原则上将其用于化工园区建设中的回填工程。产生工程渣土的单位，应在施工开始前向产业园环卫管理部门申报处置计划，或委托环卫管理部门的专业清运队伍送到指定的建筑渣土堆放场，不得任意处置，环卫管理部门应加强对建筑渣土市场的监管，对专业清运队伍严格管理。</w:t>
      </w:r>
    </w:p>
    <w:p w14:paraId="44A28FA6">
      <w:pPr>
        <w:widowControl/>
        <w:spacing w:line="360" w:lineRule="auto"/>
        <w:ind w:firstLine="560"/>
        <w:jc w:val="left"/>
        <w:rPr>
          <w:kern w:val="0"/>
          <w:sz w:val="24"/>
          <w:szCs w:val="24"/>
        </w:rPr>
      </w:pPr>
      <w:r>
        <w:rPr>
          <w:kern w:val="0"/>
          <w:sz w:val="24"/>
          <w:szCs w:val="24"/>
        </w:rPr>
        <w:t>（2）生活垃圾</w:t>
      </w:r>
    </w:p>
    <w:p w14:paraId="5870DDCC">
      <w:pPr>
        <w:widowControl/>
        <w:spacing w:line="360" w:lineRule="auto"/>
        <w:ind w:firstLine="560"/>
        <w:jc w:val="left"/>
        <w:rPr>
          <w:kern w:val="0"/>
          <w:sz w:val="24"/>
          <w:szCs w:val="24"/>
        </w:rPr>
      </w:pPr>
      <w:r>
        <w:rPr>
          <w:kern w:val="0"/>
          <w:sz w:val="24"/>
          <w:szCs w:val="24"/>
        </w:rPr>
        <w:t>规划建议环卫部门组建专门的生活垃圾清运队，负责辖区的生活垃圾清运作业。机关、企事单位的生活垃圾，应列入单位文明卫生创建工作中，完善清运队的设施配备，实现生活垃圾清运的机械化、操作的简单化，工作时做到对环境无污染，并尽可能地降低环卫工人的劳动强度。</w:t>
      </w:r>
    </w:p>
    <w:p w14:paraId="04192492">
      <w:pPr>
        <w:pStyle w:val="45"/>
        <w:widowControl/>
        <w:spacing w:line="360" w:lineRule="auto"/>
        <w:ind w:firstLine="480"/>
        <w:jc w:val="left"/>
        <w:rPr>
          <w:kern w:val="0"/>
          <w:sz w:val="24"/>
          <w:szCs w:val="24"/>
        </w:rPr>
      </w:pPr>
      <w:r>
        <w:rPr>
          <w:kern w:val="0"/>
          <w:sz w:val="24"/>
          <w:szCs w:val="24"/>
        </w:rPr>
        <w:t>（3）工业垃圾及危险废弃物</w:t>
      </w:r>
    </w:p>
    <w:p w14:paraId="17AA638A">
      <w:pPr>
        <w:widowControl/>
        <w:spacing w:line="360" w:lineRule="auto"/>
        <w:ind w:firstLine="560"/>
        <w:jc w:val="left"/>
        <w:rPr>
          <w:kern w:val="0"/>
          <w:sz w:val="24"/>
          <w:szCs w:val="24"/>
        </w:rPr>
      </w:pPr>
      <w:bookmarkStart w:id="116" w:name="_Toc451445066"/>
      <w:r>
        <w:rPr>
          <w:kern w:val="0"/>
          <w:sz w:val="24"/>
          <w:szCs w:val="24"/>
        </w:rPr>
        <w:t>固体废物的处理目标是充分的资源化，逐步建立废物的交换转让制度，建立废物交换市场和交换信息平台，建立废物利用企业认证制度，鼓励资源综合利用。按照“资源化、减量化、无害化”原则，对危险废物和一般固废进行 “分类收集、分质处理” 原则分别进行处置。危险废物送到有资质的危险废物处置中心进行安全处置；一般工业固体废物综合利用或贮存、处置。在采取相应环保措施后，各类固体废物均能做到妥善处理处置，不会对环境产生不利影响。</w:t>
      </w:r>
    </w:p>
    <w:bookmarkEnd w:id="116"/>
    <w:p w14:paraId="0C98DCE5">
      <w:pPr>
        <w:pStyle w:val="4"/>
        <w:spacing w:before="156" w:after="156"/>
        <w:rPr>
          <w:rFonts w:ascii="Times New Roman" w:hAnsi="Times New Roman"/>
          <w:sz w:val="24"/>
          <w:szCs w:val="24"/>
        </w:rPr>
      </w:pPr>
      <w:bookmarkStart w:id="117" w:name="_Toc493161415"/>
      <w:bookmarkStart w:id="118" w:name="_Toc17025"/>
      <w:r>
        <w:rPr>
          <w:rFonts w:ascii="Times New Roman" w:hAnsi="Times New Roman"/>
          <w:sz w:val="24"/>
          <w:szCs w:val="24"/>
        </w:rPr>
        <w:t>6.5生态建设规划</w:t>
      </w:r>
      <w:bookmarkEnd w:id="117"/>
      <w:bookmarkEnd w:id="118"/>
    </w:p>
    <w:p w14:paraId="5D0DD063">
      <w:pPr>
        <w:tabs>
          <w:tab w:val="left" w:pos="2268"/>
        </w:tabs>
        <w:adjustRightInd w:val="0"/>
        <w:spacing w:line="360" w:lineRule="auto"/>
        <w:ind w:firstLine="480" w:firstLineChars="200"/>
        <w:rPr>
          <w:kern w:val="0"/>
          <w:sz w:val="24"/>
          <w:szCs w:val="24"/>
        </w:rPr>
      </w:pPr>
      <w:r>
        <w:rPr>
          <w:kern w:val="0"/>
          <w:sz w:val="24"/>
          <w:szCs w:val="24"/>
        </w:rPr>
        <w:t>国内外产业园区传统上采取末端治理的被动污染防治模式，虽然在一定程度上减轻了环境压力，但并未根治环境污染问题，也没有彻底扭转资源耗竭趋势，特别是以达标排放为目标的单个企业的末端治理模式，对改善区域生态环境质量贡献甚微。生态工业确立了新型的环保理念，遵循“</w:t>
      </w:r>
      <w:r>
        <w:rPr>
          <w:rFonts w:hint="eastAsia"/>
          <w:kern w:val="0"/>
          <w:sz w:val="24"/>
          <w:szCs w:val="24"/>
          <w:lang w:eastAsia="zh-CN"/>
        </w:rPr>
        <w:t>人与自然和谐共生</w:t>
      </w:r>
      <w:r>
        <w:rPr>
          <w:kern w:val="0"/>
          <w:sz w:val="24"/>
          <w:szCs w:val="24"/>
        </w:rPr>
        <w:t>”、“可持续发展”原则，发展“循环经济”、“低碳经济”、“清洁生产”，将传统的以末端治理为主的环保模式转变为在生产源头和全过程中控制污染，把污染消灭在生产过程中，在区域和社会层面上综合考虑，整体把关，提高资源利用效率，提高区域生态环境质量水平。</w:t>
      </w:r>
    </w:p>
    <w:p w14:paraId="53283645">
      <w:pPr>
        <w:widowControl/>
        <w:adjustRightInd w:val="0"/>
        <w:spacing w:line="360" w:lineRule="auto"/>
        <w:jc w:val="left"/>
        <w:outlineLvl w:val="2"/>
        <w:rPr>
          <w:b/>
          <w:kern w:val="0"/>
          <w:sz w:val="24"/>
          <w:szCs w:val="24"/>
        </w:rPr>
      </w:pPr>
      <w:r>
        <w:rPr>
          <w:b/>
          <w:kern w:val="0"/>
          <w:sz w:val="24"/>
          <w:szCs w:val="24"/>
        </w:rPr>
        <w:t>6.5.1 产品链</w:t>
      </w:r>
    </w:p>
    <w:p w14:paraId="63973789">
      <w:pPr>
        <w:tabs>
          <w:tab w:val="left" w:pos="2268"/>
        </w:tabs>
        <w:adjustRightInd w:val="0"/>
        <w:spacing w:line="360" w:lineRule="auto"/>
        <w:ind w:firstLine="480" w:firstLineChars="200"/>
        <w:rPr>
          <w:kern w:val="0"/>
          <w:sz w:val="24"/>
          <w:szCs w:val="24"/>
        </w:rPr>
      </w:pPr>
      <w:r>
        <w:rPr>
          <w:kern w:val="0"/>
          <w:sz w:val="24"/>
          <w:szCs w:val="24"/>
        </w:rPr>
        <w:t>在园区医药化工产业以及开发区其他产业内部和产业之间，以产品流为主线，形成产品代谢链，上一个生产过程中形成初级产品，作为下一个生产过程的原辅材料，直至形成价值增值的最终产品进入市场。</w:t>
      </w:r>
    </w:p>
    <w:p w14:paraId="3FC02ACC">
      <w:pPr>
        <w:tabs>
          <w:tab w:val="left" w:pos="2268"/>
        </w:tabs>
        <w:adjustRightInd w:val="0"/>
        <w:spacing w:line="360" w:lineRule="auto"/>
        <w:ind w:firstLine="480" w:firstLineChars="200"/>
        <w:rPr>
          <w:kern w:val="0"/>
          <w:sz w:val="24"/>
          <w:szCs w:val="24"/>
        </w:rPr>
      </w:pPr>
      <w:r>
        <w:rPr>
          <w:kern w:val="0"/>
          <w:sz w:val="24"/>
          <w:szCs w:val="24"/>
        </w:rPr>
        <w:t>在产品链中，要提高链条质量，变链条为网络，遵循“源头控制”原则，采用生命周期评价和生态设计方法，优化产品机构，使产品生命周期中资源消耗最少、废物产生最小，提高资源效率，降低环境排放。</w:t>
      </w:r>
    </w:p>
    <w:p w14:paraId="22356AB3">
      <w:pPr>
        <w:widowControl/>
        <w:adjustRightInd w:val="0"/>
        <w:spacing w:line="360" w:lineRule="auto"/>
        <w:jc w:val="left"/>
        <w:outlineLvl w:val="2"/>
        <w:rPr>
          <w:b/>
          <w:kern w:val="0"/>
          <w:sz w:val="24"/>
          <w:szCs w:val="24"/>
        </w:rPr>
      </w:pPr>
      <w:r>
        <w:rPr>
          <w:b/>
          <w:kern w:val="0"/>
          <w:sz w:val="24"/>
          <w:szCs w:val="24"/>
        </w:rPr>
        <w:t>6.5.2 三废代谢链</w:t>
      </w:r>
    </w:p>
    <w:p w14:paraId="492E4C67">
      <w:pPr>
        <w:tabs>
          <w:tab w:val="left" w:pos="2268"/>
        </w:tabs>
        <w:adjustRightInd w:val="0"/>
        <w:spacing w:line="360" w:lineRule="auto"/>
        <w:ind w:firstLine="480" w:firstLineChars="200"/>
        <w:rPr>
          <w:kern w:val="0"/>
          <w:sz w:val="24"/>
          <w:szCs w:val="24"/>
        </w:rPr>
      </w:pPr>
      <w:r>
        <w:rPr>
          <w:kern w:val="0"/>
          <w:sz w:val="24"/>
          <w:szCs w:val="24"/>
        </w:rPr>
        <w:t>医药化工区中，企业生产过程中排放的废水，根据实际情况，进行车间内的原位再生、厂内梯级利用；送给附近的其他企业循环利用；经过预处理，送入园区污水处理厂处理后，部分可作为再生水企业回用。</w:t>
      </w:r>
    </w:p>
    <w:p w14:paraId="660E8A22">
      <w:pPr>
        <w:tabs>
          <w:tab w:val="left" w:pos="2268"/>
        </w:tabs>
        <w:adjustRightInd w:val="0"/>
        <w:spacing w:line="360" w:lineRule="auto"/>
        <w:ind w:firstLine="480" w:firstLineChars="200"/>
        <w:rPr>
          <w:kern w:val="0"/>
          <w:sz w:val="24"/>
          <w:szCs w:val="24"/>
        </w:rPr>
      </w:pPr>
      <w:r>
        <w:rPr>
          <w:kern w:val="0"/>
          <w:sz w:val="24"/>
          <w:szCs w:val="24"/>
        </w:rPr>
        <w:t>建立工业固体废物分类、回收和循环利用体系，进行回收利用或处理。</w:t>
      </w:r>
    </w:p>
    <w:p w14:paraId="48C5BE4D">
      <w:pPr>
        <w:tabs>
          <w:tab w:val="left" w:pos="2268"/>
        </w:tabs>
        <w:adjustRightInd w:val="0"/>
        <w:spacing w:line="360" w:lineRule="auto"/>
        <w:ind w:firstLine="480" w:firstLineChars="200"/>
        <w:rPr>
          <w:kern w:val="0"/>
          <w:sz w:val="24"/>
          <w:szCs w:val="24"/>
        </w:rPr>
      </w:pPr>
      <w:r>
        <w:rPr>
          <w:kern w:val="0"/>
          <w:sz w:val="24"/>
          <w:szCs w:val="24"/>
        </w:rPr>
        <w:t>各化工装置废气可以作其它装置原料的，送到其它装置；不能作原料的，送锅炉作燃料；不能做燃料的，废气治理后达标排放。</w:t>
      </w:r>
    </w:p>
    <w:p w14:paraId="18FB8D3F">
      <w:pPr>
        <w:widowControl/>
        <w:adjustRightInd w:val="0"/>
        <w:spacing w:line="360" w:lineRule="auto"/>
        <w:jc w:val="left"/>
        <w:outlineLvl w:val="2"/>
        <w:rPr>
          <w:b/>
          <w:kern w:val="0"/>
          <w:sz w:val="24"/>
          <w:szCs w:val="24"/>
        </w:rPr>
      </w:pPr>
      <w:r>
        <w:rPr>
          <w:b/>
          <w:kern w:val="0"/>
          <w:sz w:val="24"/>
          <w:szCs w:val="24"/>
        </w:rPr>
        <w:t>6.5.3 能源减量化</w:t>
      </w:r>
    </w:p>
    <w:p w14:paraId="6916FA53">
      <w:pPr>
        <w:widowControl/>
        <w:adjustRightInd w:val="0"/>
        <w:spacing w:line="360" w:lineRule="auto"/>
        <w:ind w:firstLine="480" w:firstLineChars="200"/>
        <w:jc w:val="left"/>
        <w:rPr>
          <w:kern w:val="0"/>
          <w:sz w:val="24"/>
          <w:szCs w:val="24"/>
        </w:rPr>
      </w:pPr>
      <w:r>
        <w:rPr>
          <w:kern w:val="0"/>
          <w:sz w:val="24"/>
          <w:szCs w:val="24"/>
        </w:rPr>
        <w:t>产业园中，能源减量化管理的主要策略是能源梯级利用和清洁能源替代。回收生产过程中的热能，满足不同工艺装置、职工取暖和对热水的需求，从而在生产用热与生活用热之间形成能源的梯级利用。</w:t>
      </w:r>
    </w:p>
    <w:p w14:paraId="2A2C8733">
      <w:pPr>
        <w:widowControl/>
        <w:adjustRightInd w:val="0"/>
        <w:spacing w:line="360" w:lineRule="auto"/>
        <w:jc w:val="left"/>
        <w:rPr>
          <w:b/>
          <w:kern w:val="0"/>
          <w:sz w:val="24"/>
          <w:szCs w:val="24"/>
        </w:rPr>
      </w:pPr>
      <w:r>
        <w:rPr>
          <w:b/>
          <w:kern w:val="0"/>
          <w:sz w:val="24"/>
          <w:szCs w:val="24"/>
        </w:rPr>
        <w:t>6.5.4 景观环境建设</w:t>
      </w:r>
    </w:p>
    <w:p w14:paraId="4314FC3A">
      <w:pPr>
        <w:widowControl/>
        <w:spacing w:line="360" w:lineRule="auto"/>
        <w:ind w:firstLine="560"/>
        <w:rPr>
          <w:kern w:val="0"/>
          <w:sz w:val="24"/>
          <w:szCs w:val="24"/>
        </w:rPr>
      </w:pPr>
      <w:r>
        <w:rPr>
          <w:kern w:val="0"/>
          <w:sz w:val="24"/>
          <w:szCs w:val="24"/>
        </w:rPr>
        <w:t>医药化工区建设不仅重视经济发展与生态环境协调，更要注重对人类生产活动质量的提高。企业生产过程中，会产生各种有害气体和噪声，因此合理的绿化，可以起到吸收有害气体和滞尘、阻隔和吸收噪声、杀菌及释放负离子等改善环境的作用。</w:t>
      </w:r>
    </w:p>
    <w:p w14:paraId="10ECA8AE">
      <w:pPr>
        <w:widowControl/>
        <w:adjustRightInd w:val="0"/>
        <w:spacing w:line="360" w:lineRule="auto"/>
        <w:jc w:val="left"/>
        <w:rPr>
          <w:b/>
          <w:kern w:val="0"/>
          <w:sz w:val="24"/>
          <w:szCs w:val="24"/>
        </w:rPr>
      </w:pPr>
      <w:r>
        <w:rPr>
          <w:b/>
          <w:kern w:val="0"/>
          <w:sz w:val="24"/>
          <w:szCs w:val="24"/>
        </w:rPr>
        <w:t>6.5.4.1 生态修复</w:t>
      </w:r>
    </w:p>
    <w:p w14:paraId="4EC258F5">
      <w:pPr>
        <w:widowControl/>
        <w:spacing w:line="360" w:lineRule="auto"/>
        <w:ind w:firstLine="480" w:firstLineChars="200"/>
        <w:rPr>
          <w:kern w:val="0"/>
          <w:sz w:val="24"/>
          <w:szCs w:val="24"/>
        </w:rPr>
      </w:pPr>
      <w:r>
        <w:rPr>
          <w:kern w:val="0"/>
          <w:sz w:val="24"/>
          <w:szCs w:val="24"/>
        </w:rPr>
        <w:t>医药化工区建设期间，必然会对原始生态景观造成影响，因此考虑对医药化工区进行生态修复。在医药化工区厂房、道路等建筑空间充分利用边角空地建设各种类型的专业绿地；树种的选择根据医药化工区不同功能分布特点，又要考虑其美化、净化环境的功能。通过因地制宜的物种搭配，不但能有针对性地吸收污染物质，还能够维持生态系统的异质性。</w:t>
      </w:r>
    </w:p>
    <w:p w14:paraId="26672471">
      <w:pPr>
        <w:widowControl/>
        <w:adjustRightInd w:val="0"/>
        <w:spacing w:line="360" w:lineRule="auto"/>
        <w:jc w:val="left"/>
        <w:rPr>
          <w:b/>
          <w:kern w:val="0"/>
          <w:sz w:val="24"/>
          <w:szCs w:val="24"/>
        </w:rPr>
      </w:pPr>
      <w:r>
        <w:rPr>
          <w:b/>
          <w:kern w:val="0"/>
          <w:sz w:val="24"/>
          <w:szCs w:val="24"/>
        </w:rPr>
        <w:t>6.5.4.2 生态隔离带及园区周边生态建设</w:t>
      </w:r>
    </w:p>
    <w:p w14:paraId="24EB494E">
      <w:pPr>
        <w:widowControl/>
        <w:spacing w:line="360" w:lineRule="auto"/>
        <w:ind w:firstLine="480" w:firstLineChars="200"/>
        <w:rPr>
          <w:kern w:val="0"/>
          <w:sz w:val="24"/>
          <w:szCs w:val="24"/>
        </w:rPr>
      </w:pPr>
      <w:r>
        <w:rPr>
          <w:kern w:val="0"/>
          <w:sz w:val="24"/>
          <w:szCs w:val="24"/>
        </w:rPr>
        <w:t>根据化工企业特点，优先进行敏感区防护隔离带的设计，预留生态化经缓冲地带和降污净化空间，避免本地区大企业环境产生叠加污染。绿化隔离带的建设应以“生态性、防护性、功能性和观赏性”为指导思想。</w:t>
      </w:r>
    </w:p>
    <w:p w14:paraId="7B75655C">
      <w:pPr>
        <w:widowControl/>
        <w:spacing w:line="360" w:lineRule="auto"/>
        <w:jc w:val="left"/>
        <w:rPr>
          <w:kern w:val="0"/>
          <w:sz w:val="24"/>
          <w:szCs w:val="24"/>
        </w:rPr>
      </w:pPr>
      <w:r>
        <w:drawing>
          <wp:anchor distT="0" distB="0" distL="114300" distR="114300" simplePos="0" relativeHeight="251659264" behindDoc="0" locked="0" layoutInCell="1" allowOverlap="1">
            <wp:simplePos x="0" y="0"/>
            <wp:positionH relativeFrom="column">
              <wp:posOffset>1247775</wp:posOffset>
            </wp:positionH>
            <wp:positionV relativeFrom="paragraph">
              <wp:posOffset>0</wp:posOffset>
            </wp:positionV>
            <wp:extent cx="2705100" cy="3257550"/>
            <wp:effectExtent l="0" t="0" r="0" b="0"/>
            <wp:wrapSquare wrapText="left"/>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05100" cy="3257550"/>
                    </a:xfrm>
                    <a:prstGeom prst="rect">
                      <a:avLst/>
                    </a:prstGeom>
                    <a:noFill/>
                  </pic:spPr>
                </pic:pic>
              </a:graphicData>
            </a:graphic>
          </wp:anchor>
        </w:drawing>
      </w:r>
    </w:p>
    <w:p w14:paraId="761CBB42">
      <w:pPr>
        <w:widowControl/>
        <w:spacing w:line="360" w:lineRule="auto"/>
        <w:rPr>
          <w:kern w:val="0"/>
          <w:sz w:val="24"/>
          <w:szCs w:val="24"/>
        </w:rPr>
      </w:pPr>
    </w:p>
    <w:p w14:paraId="47570645">
      <w:pPr>
        <w:widowControl/>
        <w:spacing w:line="360" w:lineRule="auto"/>
        <w:rPr>
          <w:kern w:val="0"/>
          <w:sz w:val="24"/>
          <w:szCs w:val="24"/>
        </w:rPr>
      </w:pPr>
    </w:p>
    <w:p w14:paraId="44ED9601">
      <w:pPr>
        <w:widowControl/>
        <w:spacing w:line="360" w:lineRule="auto"/>
        <w:rPr>
          <w:kern w:val="0"/>
          <w:sz w:val="24"/>
          <w:szCs w:val="24"/>
        </w:rPr>
      </w:pPr>
    </w:p>
    <w:p w14:paraId="68D3E055">
      <w:pPr>
        <w:widowControl/>
        <w:spacing w:line="360" w:lineRule="auto"/>
        <w:rPr>
          <w:kern w:val="0"/>
          <w:sz w:val="24"/>
          <w:szCs w:val="24"/>
        </w:rPr>
      </w:pPr>
    </w:p>
    <w:p w14:paraId="43CEEC32">
      <w:pPr>
        <w:widowControl/>
        <w:spacing w:line="360" w:lineRule="auto"/>
        <w:rPr>
          <w:kern w:val="0"/>
          <w:sz w:val="24"/>
          <w:szCs w:val="24"/>
        </w:rPr>
      </w:pPr>
    </w:p>
    <w:p w14:paraId="226A66EF">
      <w:pPr>
        <w:widowControl/>
        <w:spacing w:line="360" w:lineRule="auto"/>
        <w:rPr>
          <w:kern w:val="0"/>
          <w:sz w:val="24"/>
          <w:szCs w:val="24"/>
        </w:rPr>
      </w:pPr>
    </w:p>
    <w:p w14:paraId="673D85E8">
      <w:pPr>
        <w:widowControl/>
        <w:spacing w:line="360" w:lineRule="auto"/>
        <w:rPr>
          <w:kern w:val="0"/>
          <w:sz w:val="24"/>
          <w:szCs w:val="24"/>
        </w:rPr>
      </w:pPr>
    </w:p>
    <w:p w14:paraId="241C76CC">
      <w:pPr>
        <w:widowControl/>
        <w:spacing w:line="360" w:lineRule="auto"/>
        <w:rPr>
          <w:kern w:val="0"/>
          <w:sz w:val="24"/>
          <w:szCs w:val="24"/>
        </w:rPr>
      </w:pPr>
    </w:p>
    <w:p w14:paraId="016BB86B">
      <w:pPr>
        <w:widowControl/>
        <w:spacing w:line="360" w:lineRule="auto"/>
        <w:rPr>
          <w:kern w:val="0"/>
          <w:sz w:val="24"/>
          <w:szCs w:val="24"/>
        </w:rPr>
      </w:pPr>
    </w:p>
    <w:p w14:paraId="5FA8CED3">
      <w:pPr>
        <w:widowControl/>
        <w:spacing w:line="360" w:lineRule="auto"/>
        <w:jc w:val="center"/>
        <w:rPr>
          <w:kern w:val="0"/>
          <w:sz w:val="24"/>
          <w:szCs w:val="24"/>
        </w:rPr>
      </w:pPr>
    </w:p>
    <w:p w14:paraId="3C5CFF3A">
      <w:pPr>
        <w:widowControl/>
        <w:spacing w:line="360" w:lineRule="auto"/>
        <w:jc w:val="center"/>
        <w:rPr>
          <w:kern w:val="0"/>
          <w:sz w:val="24"/>
          <w:szCs w:val="24"/>
        </w:rPr>
      </w:pPr>
    </w:p>
    <w:p w14:paraId="6988F49B">
      <w:pPr>
        <w:widowControl/>
        <w:spacing w:line="360" w:lineRule="auto"/>
        <w:jc w:val="center"/>
        <w:rPr>
          <w:kern w:val="0"/>
          <w:sz w:val="24"/>
          <w:szCs w:val="24"/>
        </w:rPr>
      </w:pPr>
    </w:p>
    <w:p w14:paraId="4A244301">
      <w:pPr>
        <w:widowControl/>
        <w:spacing w:line="360" w:lineRule="auto"/>
        <w:jc w:val="center"/>
        <w:rPr>
          <w:kern w:val="0"/>
          <w:sz w:val="24"/>
          <w:szCs w:val="24"/>
        </w:rPr>
      </w:pPr>
      <w:r>
        <w:rPr>
          <w:kern w:val="0"/>
          <w:sz w:val="24"/>
          <w:szCs w:val="24"/>
        </w:rPr>
        <w:t>图6.5-1 生态建设结构图</w:t>
      </w:r>
    </w:p>
    <w:p w14:paraId="2CA88481">
      <w:pPr>
        <w:widowControl/>
        <w:adjustRightInd w:val="0"/>
        <w:spacing w:line="360" w:lineRule="auto"/>
        <w:jc w:val="left"/>
        <w:rPr>
          <w:b/>
          <w:kern w:val="0"/>
          <w:sz w:val="24"/>
          <w:szCs w:val="24"/>
        </w:rPr>
      </w:pPr>
      <w:r>
        <w:rPr>
          <w:b/>
          <w:kern w:val="0"/>
          <w:sz w:val="24"/>
          <w:szCs w:val="24"/>
        </w:rPr>
        <w:t>6.5.4.3循环经济与清洁生产</w:t>
      </w:r>
    </w:p>
    <w:p w14:paraId="07811F2F">
      <w:pPr>
        <w:spacing w:line="360" w:lineRule="auto"/>
        <w:rPr>
          <w:sz w:val="24"/>
        </w:rPr>
      </w:pPr>
      <w:r>
        <w:rPr>
          <w:sz w:val="24"/>
        </w:rPr>
        <w:t xml:space="preserve">    1、规划区循环经济水平分析</w:t>
      </w:r>
    </w:p>
    <w:p w14:paraId="42699660">
      <w:pPr>
        <w:pStyle w:val="14"/>
        <w:snapToGrid/>
        <w:spacing w:after="0" w:line="360" w:lineRule="auto"/>
        <w:ind w:firstLine="472"/>
      </w:pPr>
      <w:bookmarkStart w:id="119" w:name="_Toc294172616"/>
      <w:bookmarkStart w:id="120" w:name="_Toc294128831"/>
      <w:r>
        <w:rPr>
          <w:spacing w:val="-2"/>
        </w:rPr>
        <w:t>循环经济主要表现包括：资源、能源投入的最小化，物质循环过程中废物排出量最小化，资源能源的使用效率最大化，环境的影响尽可能最小化，有些方面可以恢复。依</w:t>
      </w:r>
      <w:r>
        <w:t>照循环经济的理念</w:t>
      </w:r>
      <w:r>
        <w:rPr>
          <w:spacing w:val="-49"/>
        </w:rPr>
        <w:t>，</w:t>
      </w:r>
      <w:r>
        <w:t>淮南经开化工园区将入区的各个企业联合起来形成共</w:t>
      </w:r>
      <w:r>
        <w:rPr>
          <w:spacing w:val="-2"/>
        </w:rPr>
        <w:t>享资源和互换副产品的产业共生组合，即此家企业的废气、废热、废水、废物等成为彼</w:t>
      </w:r>
      <w:r>
        <w:t>家企业的原料和能源</w:t>
      </w:r>
      <w:r>
        <w:rPr>
          <w:spacing w:val="-24"/>
        </w:rPr>
        <w:t>。</w:t>
      </w:r>
      <w:r>
        <w:t>包括三种不同层面的循环经济模式</w:t>
      </w:r>
      <w:r>
        <w:rPr>
          <w:spacing w:val="-24"/>
        </w:rPr>
        <w:t>，</w:t>
      </w:r>
      <w:r>
        <w:t>构建区域循环经济发展模式。</w:t>
      </w:r>
    </w:p>
    <w:p w14:paraId="75495C79">
      <w:pPr>
        <w:pStyle w:val="14"/>
        <w:snapToGrid/>
        <w:spacing w:after="0" w:line="360" w:lineRule="auto"/>
        <w:ind w:firstLine="0" w:firstLineChars="0"/>
        <w:jc w:val="left"/>
      </w:pPr>
      <w:r>
        <w:rPr>
          <w:rFonts w:eastAsia="Times New Roman"/>
          <w:spacing w:val="-1"/>
        </w:rPr>
        <w:t>1</w:t>
      </w:r>
      <w:r>
        <w:rPr>
          <w:spacing w:val="-1"/>
        </w:rPr>
        <w:t>）、企业内部的循环</w:t>
      </w:r>
    </w:p>
    <w:p w14:paraId="0E80954A">
      <w:pPr>
        <w:pStyle w:val="14"/>
        <w:snapToGrid/>
        <w:spacing w:after="0" w:line="360" w:lineRule="auto"/>
        <w:ind w:firstLine="0" w:firstLineChars="0"/>
      </w:pPr>
      <w:r>
        <w:rPr>
          <w:spacing w:val="-1"/>
        </w:rPr>
        <w:t>区内各企业以</w:t>
      </w:r>
      <w:r>
        <w:rPr>
          <w:rFonts w:eastAsia="Times New Roman"/>
          <w:spacing w:val="-1"/>
        </w:rPr>
        <w:t>“</w:t>
      </w:r>
      <w:r>
        <w:rPr>
          <w:spacing w:val="-1"/>
        </w:rPr>
        <w:t>减量</w:t>
      </w:r>
      <w:r>
        <w:rPr>
          <w:rFonts w:eastAsia="Times New Roman"/>
          <w:spacing w:val="-1"/>
        </w:rPr>
        <w:t>”</w:t>
      </w:r>
      <w:r>
        <w:rPr>
          <w:spacing w:val="-1"/>
        </w:rPr>
        <w:t>、</w:t>
      </w:r>
      <w:r>
        <w:rPr>
          <w:rFonts w:eastAsia="Times New Roman"/>
          <w:spacing w:val="-1"/>
        </w:rPr>
        <w:t>“</w:t>
      </w:r>
      <w:r>
        <w:rPr>
          <w:spacing w:val="-1"/>
        </w:rPr>
        <w:t>再用</w:t>
      </w:r>
      <w:r>
        <w:rPr>
          <w:rFonts w:eastAsia="Times New Roman"/>
          <w:spacing w:val="-1"/>
        </w:rPr>
        <w:t>”</w:t>
      </w:r>
      <w:r>
        <w:rPr>
          <w:spacing w:val="-1"/>
        </w:rPr>
        <w:t>、</w:t>
      </w:r>
      <w:r>
        <w:rPr>
          <w:rFonts w:eastAsia="Times New Roman"/>
          <w:spacing w:val="-1"/>
        </w:rPr>
        <w:t>“</w:t>
      </w:r>
      <w:r>
        <w:rPr>
          <w:spacing w:val="-1"/>
        </w:rPr>
        <w:t>循环</w:t>
      </w:r>
      <w:r>
        <w:rPr>
          <w:rFonts w:eastAsia="Times New Roman"/>
          <w:spacing w:val="-1"/>
        </w:rPr>
        <w:t>”</w:t>
      </w:r>
      <w:r>
        <w:rPr>
          <w:spacing w:val="-1"/>
        </w:rPr>
        <w:t>等</w:t>
      </w:r>
      <w:r>
        <w:rPr>
          <w:rFonts w:eastAsia="Times New Roman"/>
        </w:rPr>
        <w:t>3R</w:t>
      </w:r>
      <w:r>
        <w:t>原则，减少企业进入生产过程的物质</w:t>
      </w:r>
      <w:r>
        <w:rPr>
          <w:spacing w:val="-2"/>
        </w:rPr>
        <w:t>和能量，延长产品和服务的时间强度，同时能够把废弃物再次变为资源，以减少最终污</w:t>
      </w:r>
      <w:r>
        <w:t>染物产生和处理量。</w:t>
      </w:r>
    </w:p>
    <w:p w14:paraId="08582A15">
      <w:pPr>
        <w:pStyle w:val="14"/>
        <w:snapToGrid/>
        <w:spacing w:after="0" w:line="360" w:lineRule="auto"/>
        <w:ind w:firstLine="0" w:firstLineChars="0"/>
        <w:jc w:val="left"/>
      </w:pPr>
      <w:r>
        <w:rPr>
          <w:rFonts w:eastAsia="Times New Roman"/>
          <w:spacing w:val="-1"/>
        </w:rPr>
        <w:t>2</w:t>
      </w:r>
      <w:r>
        <w:rPr>
          <w:spacing w:val="-1"/>
        </w:rPr>
        <w:t>）、企业之间的循环</w:t>
      </w:r>
      <w:r>
        <w:t>区内企业的引进应充分考虑循环经济发展的要求</w:t>
      </w:r>
      <w:r>
        <w:rPr>
          <w:spacing w:val="-24"/>
        </w:rPr>
        <w:t>，</w:t>
      </w:r>
      <w:r>
        <w:t>通过企业的生产</w:t>
      </w:r>
      <w:r>
        <w:rPr>
          <w:spacing w:val="-24"/>
        </w:rPr>
        <w:t>，</w:t>
      </w:r>
      <w:r>
        <w:t>灵活地把区内</w:t>
      </w:r>
      <w:r>
        <w:rPr>
          <w:spacing w:val="-2"/>
        </w:rPr>
        <w:t>的企业、经济组织（包括物流业、服务业等）联结起来，形成共享资源和互换副产品的产业共生组织，使一个企业和经济组织的废物（能）能够作为另一个企业和经</w:t>
      </w:r>
      <w:r>
        <w:t>济组织的原料、辅料或能源。</w:t>
      </w:r>
    </w:p>
    <w:p w14:paraId="02F6A557">
      <w:pPr>
        <w:pStyle w:val="14"/>
        <w:snapToGrid/>
        <w:spacing w:after="0" w:line="360" w:lineRule="auto"/>
        <w:ind w:firstLine="480"/>
        <w:jc w:val="left"/>
      </w:pPr>
      <w:r>
        <w:rPr>
          <w:rFonts w:eastAsia="Times New Roman"/>
        </w:rPr>
        <w:t>3</w:t>
      </w:r>
      <w:r>
        <w:t>）、区域整体循环大力发展绿色消费市场和资源回收产业，在更大的范围内，完成</w:t>
      </w:r>
      <w:r>
        <w:rPr>
          <w:rFonts w:eastAsia="Times New Roman"/>
        </w:rPr>
        <w:t>“</w:t>
      </w:r>
      <w:r>
        <w:t>自然资源</w:t>
      </w:r>
      <w:r>
        <w:rPr>
          <w:rFonts w:eastAsia="Times New Roman"/>
        </w:rPr>
        <w:t>—</w:t>
      </w:r>
      <w:r>
        <w:t>产品和用品</w:t>
      </w:r>
      <w:r>
        <w:rPr>
          <w:rFonts w:eastAsia="Times New Roman"/>
        </w:rPr>
        <w:t>—</w:t>
      </w:r>
      <w:r>
        <w:t>再生资源</w:t>
      </w:r>
      <w:r>
        <w:rPr>
          <w:rFonts w:eastAsia="Times New Roman"/>
        </w:rPr>
        <w:t>”</w:t>
      </w:r>
      <w:r>
        <w:t>的闭合循环回路，循环模式需要环境无害化技术作为操作平台，这种技术包括：污染治理技术、废物利用技术和清洁生产技术。这要求淮南经开化工园区不仅在本化工园区范围内循环，还应该在更大层面上进行循环。</w:t>
      </w:r>
    </w:p>
    <w:p w14:paraId="14415465">
      <w:pPr>
        <w:pStyle w:val="57"/>
        <w:spacing w:line="360" w:lineRule="auto"/>
        <w:ind w:firstLine="480" w:firstLineChars="200"/>
        <w:outlineLvl w:val="9"/>
        <w:rPr>
          <w:rFonts w:ascii="Times New Roman" w:hAnsi="Times New Roman" w:eastAsia="宋体"/>
        </w:rPr>
      </w:pPr>
      <w:r>
        <w:rPr>
          <w:rFonts w:ascii="Times New Roman" w:hAnsi="Times New Roman" w:eastAsia="宋体"/>
        </w:rPr>
        <w:t>2、规划应遵循的基本理念和原则</w:t>
      </w:r>
      <w:bookmarkEnd w:id="119"/>
      <w:bookmarkEnd w:id="120"/>
    </w:p>
    <w:p w14:paraId="57FD1321">
      <w:pPr>
        <w:spacing w:line="360" w:lineRule="auto"/>
        <w:ind w:firstLine="480" w:firstLineChars="200"/>
        <w:rPr>
          <w:sz w:val="24"/>
        </w:rPr>
      </w:pPr>
      <w:r>
        <w:rPr>
          <w:sz w:val="24"/>
        </w:rPr>
        <w:t>(1)基本理念</w:t>
      </w:r>
    </w:p>
    <w:p w14:paraId="24B675EB">
      <w:pPr>
        <w:spacing w:line="360" w:lineRule="auto"/>
        <w:ind w:firstLine="480" w:firstLineChars="200"/>
        <w:rPr>
          <w:sz w:val="24"/>
        </w:rPr>
      </w:pPr>
      <w:r>
        <w:rPr>
          <w:sz w:val="24"/>
        </w:rPr>
        <w:t>针对化工园区自身特点，充分挖掘其主、副产品的附加值，研究不同产业的循环经济发展模式；基于其中去规划产业链，通过产品链以及副产品和废弃物交易利用体系的构建，研发产业链的“网化技术”及示范；研发产业共生网络的链接技术、稳定性技术及示范；根据基础设施集成性特点，研发促进工业能源梯级利用，减少资源消耗的基础设施共享技术及示范；以节水为目标，综合考虑区内其它企业的用水特点及水质要求，利用多种工艺开发符合不同用途的水资源优化利用集成系统及示范工程。</w:t>
      </w:r>
    </w:p>
    <w:p w14:paraId="3EB453B5">
      <w:pPr>
        <w:spacing w:line="360" w:lineRule="auto"/>
        <w:ind w:firstLine="480" w:firstLineChars="200"/>
        <w:rPr>
          <w:sz w:val="24"/>
        </w:rPr>
      </w:pPr>
      <w:r>
        <w:rPr>
          <w:sz w:val="24"/>
        </w:rPr>
        <w:t>(2)规划原则</w:t>
      </w:r>
    </w:p>
    <w:p w14:paraId="32B1D364">
      <w:pPr>
        <w:spacing w:line="360" w:lineRule="auto"/>
        <w:ind w:firstLine="480" w:firstLineChars="200"/>
        <w:rPr>
          <w:sz w:val="24"/>
        </w:rPr>
      </w:pPr>
      <w:r>
        <w:rPr>
          <w:sz w:val="24"/>
        </w:rPr>
        <w:t>①物质循环再生、能量梯级利用原则。按照循环经济理念和产业生态学，在企业相对集中的区域，建立生态工业区，使上游企业的“废料”成为下游企业的原料，尽可能的减少污染的排放。通过成员间副产物和废物交换、能量和水的梯级利用、基础设施和其他设施的共享来实现整体在经济和环境的融合。使资源在经济系统内部达到最佳配置和利用，减少生产系统对资源投入量，最大程度的降低经济活动对环境影响的强度。</w:t>
      </w:r>
    </w:p>
    <w:p w14:paraId="4B3C736C">
      <w:pPr>
        <w:spacing w:line="360" w:lineRule="auto"/>
        <w:ind w:firstLine="480" w:firstLineChars="200"/>
        <w:rPr>
          <w:sz w:val="24"/>
        </w:rPr>
      </w:pPr>
      <w:r>
        <w:rPr>
          <w:sz w:val="24"/>
        </w:rPr>
        <w:t>②系统性原则。化工园区的建设是一项复杂的系统工程，其规划设计应遵循系统工程的分析方法来进行。</w:t>
      </w:r>
    </w:p>
    <w:p w14:paraId="691614C1">
      <w:pPr>
        <w:spacing w:line="360" w:lineRule="auto"/>
        <w:ind w:firstLine="480" w:firstLineChars="200"/>
        <w:rPr>
          <w:sz w:val="24"/>
        </w:rPr>
      </w:pPr>
      <w:r>
        <w:rPr>
          <w:sz w:val="24"/>
        </w:rPr>
        <w:t>③以经济可持续发展为主题原则、以产品结构调整和产业耦合为主线。开发区的规划应以经济可持续发展为主题，融合产业生态学的理念。具体途径就是通过规划产业发展，使区域内的企业之间建立一种协调的关系，进行产业结构和布局的优化，使产业发展融入到区域整体生态化建设的过程中去，企业在区域经济过程中发挥不同的经济和生态功能，形成一种全新的社会化分工，避免低水平的重复建设和资源的过度耗竭，培育经济新的增长点，促进区域经济可持续发展。</w:t>
      </w:r>
    </w:p>
    <w:p w14:paraId="454E8B0C">
      <w:pPr>
        <w:spacing w:line="360" w:lineRule="auto"/>
        <w:ind w:firstLine="480" w:firstLineChars="200"/>
        <w:rPr>
          <w:sz w:val="24"/>
        </w:rPr>
      </w:pPr>
      <w:r>
        <w:rPr>
          <w:sz w:val="24"/>
        </w:rPr>
        <w:t>④管理绿色化，运行市场化。化工园区以管理绿色化为主要管理理念，管理要体现生态管理的原则。建立能够使综合考虑生产过程与生态环境保护的绿色管理机制。从化工园区整体环境管理到企业的全生命周期控制等不同层次、不同环节上的管理都要实施绿色化。在建设和运行阶段要实施基于ISO14000国际环境管理体系和生物产业基地要求的绿色管理和支持服务系统，颁布和实施绿色管理政策和管理制度来鼓励和诱导企业实行清洁生产、废物交换、资源综合利用，树立企业绿色形象，创建环境友好型企业。化工园区各企业之间的联系仍然遵循市场化的方式。在地方政府制定发展规划、各项政策、确定产业发展导向的基础上，以市场机制为导向的运行机制要贯穿到整体建设过程中，以市场利益来驱动企业间的物质流。建设项目的融资方式和渠道多样化。可以是股权投资、风险投资、合作开发；也可以是资金或者技术入股，落实开发区的相关建设项目，保证物质、能量、信息网(链)不断发展的扩大，增加生产过程的稳定性。</w:t>
      </w:r>
    </w:p>
    <w:p w14:paraId="61E6C249">
      <w:pPr>
        <w:spacing w:line="360" w:lineRule="auto"/>
        <w:ind w:firstLine="480" w:firstLineChars="200"/>
        <w:rPr>
          <w:sz w:val="24"/>
        </w:rPr>
      </w:pPr>
      <w:r>
        <w:rPr>
          <w:sz w:val="24"/>
        </w:rPr>
        <w:t>⑤产业链稳定性原则。规划的化工园区中产品链能体现柔性的原则，具有市场竞争和非正常运行的抵抗性，具有能够持续发展，高度稳定性的产业链。</w:t>
      </w:r>
    </w:p>
    <w:p w14:paraId="3EABAED7">
      <w:pPr>
        <w:pStyle w:val="57"/>
        <w:spacing w:line="360" w:lineRule="auto"/>
        <w:ind w:firstLine="240" w:firstLineChars="100"/>
        <w:outlineLvl w:val="9"/>
        <w:rPr>
          <w:rFonts w:ascii="Times New Roman" w:hAnsi="Times New Roman" w:eastAsia="宋体"/>
        </w:rPr>
      </w:pPr>
      <w:bookmarkStart w:id="121" w:name="_Toc294128832"/>
      <w:bookmarkStart w:id="122" w:name="_Toc294172617"/>
      <w:r>
        <w:rPr>
          <w:rFonts w:ascii="Times New Roman" w:hAnsi="Times New Roman" w:eastAsia="宋体"/>
        </w:rPr>
        <w:t xml:space="preserve">  3、生态产业链结构分析</w:t>
      </w:r>
      <w:bookmarkEnd w:id="121"/>
      <w:bookmarkEnd w:id="122"/>
    </w:p>
    <w:p w14:paraId="39FFED9E">
      <w:pPr>
        <w:spacing w:line="360" w:lineRule="auto"/>
        <w:ind w:firstLine="480"/>
        <w:rPr>
          <w:sz w:val="24"/>
        </w:rPr>
      </w:pPr>
      <w:r>
        <w:rPr>
          <w:sz w:val="24"/>
        </w:rPr>
        <w:t>生态产业链是工业园的内核，它是指某一区域范围内的企业模仿自然生态系统中的生产者、消费者和分解者，以资源(原料、副产品、信息、资金、人才)为纽带形成的具有产业衔接关系的企业联盟，实现资源在区域范围内的循环流动。面对当前工业发展和资源环境保护的双重需求和压力，在企业相对集中的地区建设生态产业基地，确定基地内企业间上下游共生关系，并根据物质供需方的要求，运用过程集成技术，调整物质流动的方向、数量和质量，通过企业间主副产物和废弃物的交换、能量和水的逐级利用、基础设施和其它设施的共享完成生态产业链网的构建，实现物质高度集成，这也是走新型工业化发展道路的必然选择。</w:t>
      </w:r>
    </w:p>
    <w:p w14:paraId="3899E4C1">
      <w:pPr>
        <w:pStyle w:val="57"/>
        <w:spacing w:line="360" w:lineRule="auto"/>
        <w:ind w:firstLine="240" w:firstLineChars="100"/>
        <w:outlineLvl w:val="9"/>
        <w:rPr>
          <w:rFonts w:ascii="Times New Roman" w:hAnsi="Times New Roman" w:eastAsia="宋体"/>
        </w:rPr>
      </w:pPr>
      <w:r>
        <w:rPr>
          <w:rFonts w:ascii="Times New Roman" w:hAnsi="Times New Roman" w:eastAsia="宋体"/>
        </w:rPr>
        <w:t xml:space="preserve">  4、化工园区各产业循环经济分析</w:t>
      </w:r>
    </w:p>
    <w:p w14:paraId="1EFCCBFD">
      <w:pPr>
        <w:widowControl/>
        <w:adjustRightInd w:val="0"/>
        <w:spacing w:line="360" w:lineRule="auto"/>
        <w:ind w:firstLine="480"/>
        <w:rPr>
          <w:sz w:val="24"/>
        </w:rPr>
      </w:pPr>
      <w:r>
        <w:rPr>
          <w:sz w:val="24"/>
        </w:rPr>
        <w:t>淮南经开化工园区规划产业定位以以医药化工生产为主导产业。从规划产业原料消耗和废物产生的特点分析，尽管相同产业间产生的废物难以作为其它产业的原料加以利用。</w:t>
      </w:r>
    </w:p>
    <w:p w14:paraId="236565D2">
      <w:pPr>
        <w:widowControl/>
        <w:adjustRightInd w:val="0"/>
        <w:spacing w:line="360" w:lineRule="auto"/>
        <w:ind w:firstLine="480"/>
        <w:rPr>
          <w:sz w:val="24"/>
        </w:rPr>
      </w:pPr>
      <w:r>
        <w:rPr>
          <w:sz w:val="24"/>
        </w:rPr>
        <w:t>(1)主导产业与区域循环经济分析</w:t>
      </w:r>
    </w:p>
    <w:p w14:paraId="244D5752">
      <w:pPr>
        <w:widowControl/>
        <w:adjustRightInd w:val="0"/>
        <w:spacing w:line="360" w:lineRule="auto"/>
        <w:ind w:firstLine="480"/>
        <w:rPr>
          <w:sz w:val="24"/>
        </w:rPr>
      </w:pPr>
      <w:r>
        <w:rPr>
          <w:sz w:val="24"/>
        </w:rPr>
        <w:t>淮南经开化工园区交通条件便利，有条件建设一个较为综合的化工园区，依托资源丰富、产业基础较好等优势，大力发展医药产业。淮南经开化工园区主导产业的布局考虑了与它相邻的蚌埠、淮北、亳州、阜阳的协调、错位发展，可以与淮北、蚌埠、亳州、阜阳形成产业互动，对区域协调和产业协作将起到一定推动作用；利用开发区明显交通优势发展工业集中区现代商贸物流产业，通过现代的商贸物流业帮助淮南经开化工园区企业与整个区域实现有效的对接，降低综合成本，提高配送效率。</w:t>
      </w:r>
    </w:p>
    <w:p w14:paraId="21A55334">
      <w:pPr>
        <w:widowControl/>
        <w:adjustRightInd w:val="0"/>
        <w:spacing w:line="360" w:lineRule="auto"/>
        <w:ind w:firstLine="480"/>
        <w:rPr>
          <w:sz w:val="24"/>
        </w:rPr>
      </w:pPr>
      <w:r>
        <w:rPr>
          <w:sz w:val="24"/>
        </w:rPr>
        <w:t>(2)企业内部的循环</w:t>
      </w:r>
    </w:p>
    <w:p w14:paraId="033F16E4">
      <w:pPr>
        <w:widowControl/>
        <w:adjustRightInd w:val="0"/>
        <w:spacing w:line="360" w:lineRule="auto"/>
        <w:ind w:firstLine="480"/>
        <w:rPr>
          <w:sz w:val="24"/>
        </w:rPr>
      </w:pPr>
      <w:r>
        <w:rPr>
          <w:sz w:val="24"/>
        </w:rPr>
        <w:t>淮南经开化工园区内各企业以“减量”、“再用”、“循环”等3R原则，减少企业进入生产过程的物质和能量，延长产品和服务的时间强度，同时能够把废弃物再次变为资源，以减少最终污染物产生和处理量。</w:t>
      </w:r>
    </w:p>
    <w:p w14:paraId="79C3E8E1">
      <w:pPr>
        <w:widowControl/>
        <w:adjustRightInd w:val="0"/>
        <w:spacing w:line="360" w:lineRule="auto"/>
        <w:ind w:firstLine="480"/>
        <w:rPr>
          <w:sz w:val="24"/>
        </w:rPr>
      </w:pPr>
      <w:r>
        <w:rPr>
          <w:sz w:val="24"/>
        </w:rPr>
        <w:t>(3)企业之间的循环</w:t>
      </w:r>
    </w:p>
    <w:p w14:paraId="6F3045D6">
      <w:pPr>
        <w:widowControl/>
        <w:adjustRightInd w:val="0"/>
        <w:spacing w:line="360" w:lineRule="auto"/>
        <w:ind w:firstLine="480"/>
        <w:rPr>
          <w:sz w:val="24"/>
        </w:rPr>
      </w:pPr>
      <w:r>
        <w:rPr>
          <w:sz w:val="24"/>
        </w:rPr>
        <w:t>淮南经开化工园区内企业的引进应充分考虑循环经济发展的要求，通过企业的生产，灵活地把区内的企业、经济组织联结起来，形成共享资源和互换副产品的产业共生组织，使一个企业和经济组织的废物(能)能够作为另一个企业和经济组织的原料、辅料或能源。</w:t>
      </w:r>
    </w:p>
    <w:p w14:paraId="1C3B1C6D">
      <w:pPr>
        <w:widowControl/>
        <w:adjustRightInd w:val="0"/>
        <w:spacing w:line="360" w:lineRule="auto"/>
        <w:ind w:firstLine="480"/>
        <w:rPr>
          <w:sz w:val="24"/>
        </w:rPr>
      </w:pPr>
      <w:r>
        <w:rPr>
          <w:sz w:val="24"/>
        </w:rPr>
        <w:t>（4）化工园区产业布局原则分析</w:t>
      </w:r>
    </w:p>
    <w:p w14:paraId="4C18F89E">
      <w:pPr>
        <w:spacing w:line="360" w:lineRule="auto"/>
        <w:ind w:firstLine="480"/>
        <w:rPr>
          <w:sz w:val="24"/>
        </w:rPr>
      </w:pPr>
      <w:r>
        <w:rPr>
          <w:sz w:val="24"/>
        </w:rPr>
        <w:t>①节约资源和加强环境保护，积极推动经济增长方式的转变。充分考虑资源与生态环境的承载能力，构建合理的经济结构，发展循环经济，推进科技进步，形成节地、节水、节能和减少污染的生产模式。</w:t>
      </w:r>
    </w:p>
    <w:p w14:paraId="0E1AD748">
      <w:pPr>
        <w:spacing w:line="360" w:lineRule="auto"/>
        <w:ind w:firstLine="480"/>
        <w:rPr>
          <w:sz w:val="24"/>
        </w:rPr>
      </w:pPr>
      <w:r>
        <w:rPr>
          <w:sz w:val="24"/>
        </w:rPr>
        <w:t>②充分考虑区域的空间结构和化工园区的发展理念，重新审视化工园区的功能定位及规划布局，同时考虑到远期的对外交通设施的布局与周围蚌埠、淮北、亳州、阜阳的协调发展。</w:t>
      </w:r>
    </w:p>
    <w:p w14:paraId="0955E63E">
      <w:pPr>
        <w:spacing w:line="360" w:lineRule="auto"/>
        <w:ind w:firstLine="480"/>
        <w:rPr>
          <w:sz w:val="24"/>
        </w:rPr>
      </w:pPr>
      <w:r>
        <w:rPr>
          <w:sz w:val="24"/>
        </w:rPr>
        <w:t>③规划功能统筹协调，优化整个开发区的空间布局和产业布局结构。</w:t>
      </w:r>
    </w:p>
    <w:p w14:paraId="14F1A329">
      <w:pPr>
        <w:spacing w:line="360" w:lineRule="auto"/>
        <w:ind w:firstLine="480"/>
        <w:rPr>
          <w:sz w:val="24"/>
        </w:rPr>
      </w:pPr>
      <w:r>
        <w:rPr>
          <w:sz w:val="24"/>
        </w:rPr>
        <w:fldChar w:fldCharType="begin"/>
      </w:r>
      <w:r>
        <w:rPr>
          <w:sz w:val="24"/>
        </w:rPr>
        <w:instrText xml:space="preserve"> = 4 \* GB3 </w:instrText>
      </w:r>
      <w:r>
        <w:rPr>
          <w:sz w:val="24"/>
        </w:rPr>
        <w:fldChar w:fldCharType="separate"/>
      </w:r>
      <w:r>
        <w:rPr>
          <w:sz w:val="24"/>
        </w:rPr>
        <w:t>④</w:t>
      </w:r>
      <w:r>
        <w:rPr>
          <w:sz w:val="24"/>
        </w:rPr>
        <w:fldChar w:fldCharType="end"/>
      </w:r>
      <w:r>
        <w:rPr>
          <w:sz w:val="24"/>
        </w:rPr>
        <w:t>符合淮南经开化工园区经济发展的方向，重视工业区功能要求、资源特点和生态环境的保护，发挥工业区优势，大力发展知识和技术密集型产业，培育低消耗、低投入、高产业关联度和高附加值的行业。</w:t>
      </w:r>
    </w:p>
    <w:p w14:paraId="0B040BC1">
      <w:pPr>
        <w:spacing w:line="360" w:lineRule="auto"/>
        <w:ind w:firstLine="480"/>
        <w:rPr>
          <w:sz w:val="24"/>
        </w:rPr>
      </w:pPr>
      <w:r>
        <w:rPr>
          <w:sz w:val="24"/>
        </w:rPr>
        <w:t>⑤积极推进工业区产业分工和协同发展。采取差异化战略，加强工业区内各个区的合作与分工，尤其要重视各区与周边关联区形成各具特色、功能互补、布局合理的区域产业循环经济协作体系。</w:t>
      </w:r>
    </w:p>
    <w:p w14:paraId="1380B6A7">
      <w:pPr>
        <w:spacing w:line="360" w:lineRule="auto"/>
        <w:ind w:firstLine="480"/>
        <w:rPr>
          <w:sz w:val="24"/>
        </w:rPr>
      </w:pPr>
      <w:r>
        <w:rPr>
          <w:sz w:val="24"/>
        </w:rPr>
        <w:t>⑥淮南经开化工园区区内交通顺畅便捷，道路网紧凑简洁。</w:t>
      </w:r>
    </w:p>
    <w:p w14:paraId="048BE8D4">
      <w:pPr>
        <w:spacing w:line="360" w:lineRule="auto"/>
        <w:ind w:firstLine="480"/>
        <w:rPr>
          <w:sz w:val="24"/>
        </w:rPr>
      </w:pPr>
      <w:r>
        <w:rPr>
          <w:sz w:val="24"/>
        </w:rPr>
        <w:fldChar w:fldCharType="begin"/>
      </w:r>
      <w:r>
        <w:rPr>
          <w:sz w:val="24"/>
        </w:rPr>
        <w:instrText xml:space="preserve"> = 7 \* GB3 </w:instrText>
      </w:r>
      <w:r>
        <w:rPr>
          <w:sz w:val="24"/>
        </w:rPr>
        <w:fldChar w:fldCharType="separate"/>
      </w:r>
      <w:r>
        <w:rPr>
          <w:sz w:val="24"/>
        </w:rPr>
        <w:t>⑦</w:t>
      </w:r>
      <w:r>
        <w:rPr>
          <w:sz w:val="24"/>
        </w:rPr>
        <w:fldChar w:fldCharType="end"/>
      </w:r>
      <w:r>
        <w:rPr>
          <w:sz w:val="24"/>
        </w:rPr>
        <w:t>充分利用现状建设基础，尊重现状周边建成环境。</w:t>
      </w:r>
    </w:p>
    <w:p w14:paraId="3F8E15B4">
      <w:pPr>
        <w:spacing w:line="360" w:lineRule="auto"/>
        <w:ind w:firstLine="480"/>
        <w:rPr>
          <w:sz w:val="24"/>
        </w:rPr>
      </w:pPr>
      <w:r>
        <w:rPr>
          <w:sz w:val="24"/>
        </w:rPr>
        <w:t>⑧淮南经开化工园区的开发建设，按照总体发展规划、重点发展的原则进行实施。结合工业区内现状和自然条件，合理确定规划用地，尽量利用现有空地。</w:t>
      </w:r>
    </w:p>
    <w:p w14:paraId="277C2F41">
      <w:pPr>
        <w:pStyle w:val="57"/>
        <w:spacing w:line="360" w:lineRule="auto"/>
        <w:ind w:firstLine="240" w:firstLineChars="100"/>
        <w:outlineLvl w:val="9"/>
        <w:rPr>
          <w:rFonts w:ascii="Times New Roman" w:hAnsi="Times New Roman" w:eastAsia="宋体"/>
        </w:rPr>
      </w:pPr>
      <w:bookmarkStart w:id="123" w:name="_Toc294172618"/>
      <w:bookmarkStart w:id="124" w:name="_Toc294128833"/>
      <w:r>
        <w:rPr>
          <w:rFonts w:ascii="Times New Roman" w:hAnsi="Times New Roman" w:eastAsia="宋体"/>
        </w:rPr>
        <w:t xml:space="preserve">  5、提高化工园区循环经济水平的建议</w:t>
      </w:r>
      <w:bookmarkEnd w:id="123"/>
      <w:bookmarkEnd w:id="124"/>
    </w:p>
    <w:p w14:paraId="7D74EBBE">
      <w:pPr>
        <w:spacing w:line="360" w:lineRule="auto"/>
        <w:ind w:firstLine="480"/>
        <w:rPr>
          <w:sz w:val="24"/>
        </w:rPr>
      </w:pPr>
      <w:r>
        <w:rPr>
          <w:sz w:val="24"/>
        </w:rPr>
        <w:t>在淮南经开化工园区内通过物流或能流传递等方式把不同工厂或企业连接起来，形成共享资源和互换副产品的产业共生组合，使一家企业的废物或副产品成为另一家企业的原料或能源，寻求物质闭循环、能量多级利用和废物产生最小化。</w:t>
      </w:r>
    </w:p>
    <w:p w14:paraId="3E98B609">
      <w:pPr>
        <w:spacing w:line="360" w:lineRule="auto"/>
        <w:ind w:firstLine="480"/>
        <w:rPr>
          <w:sz w:val="24"/>
        </w:rPr>
      </w:pPr>
      <w:r>
        <w:rPr>
          <w:sz w:val="24"/>
        </w:rPr>
        <w:t>淮南经开化工园区以医药为主导产业，各企业之间上下游梯级利用关系及“闭环”链相对薄弱，故淮南经开化工园区管理部门应建立先进、完备的信息交换系统，促进各企业之间的物质循环、能量集成，形成企业间的工业代谢和共生关系，实现资源共享、梯级利用、废物再利用的产业组合，使单个企业的废物、废水、废渣、余热在自身循环利用的同时，成为另一个企业的资源和能源，提高资源利用效率、规模效益和环境效益。主要从以下几个方面建议。</w:t>
      </w:r>
    </w:p>
    <w:p w14:paraId="74EEE6E6">
      <w:pPr>
        <w:spacing w:line="360" w:lineRule="auto"/>
        <w:ind w:firstLine="480"/>
        <w:rPr>
          <w:sz w:val="24"/>
        </w:rPr>
      </w:pPr>
      <w:r>
        <w:rPr>
          <w:sz w:val="24"/>
        </w:rPr>
        <w:t>(1)物质循环利用</w:t>
      </w:r>
    </w:p>
    <w:p w14:paraId="027FF4EB">
      <w:pPr>
        <w:spacing w:line="360" w:lineRule="auto"/>
        <w:ind w:firstLine="480"/>
        <w:rPr>
          <w:sz w:val="24"/>
        </w:rPr>
      </w:pPr>
      <w:r>
        <w:rPr>
          <w:sz w:val="24"/>
        </w:rPr>
        <w:t>对淮南经开化工园区进行物质集成主要是根据规划目标，确定企业间的上下游关系，同时还需要根据物质供需方的要求，对物质流动的方向、数量和质量进行调整，以完成循环经济链的构建。</w:t>
      </w:r>
    </w:p>
    <w:p w14:paraId="0B9C11F8">
      <w:pPr>
        <w:spacing w:line="360" w:lineRule="auto"/>
        <w:ind w:firstLine="480"/>
        <w:rPr>
          <w:sz w:val="24"/>
        </w:rPr>
      </w:pPr>
      <w:r>
        <w:rPr>
          <w:sz w:val="24"/>
        </w:rPr>
        <w:t>①在企业内部，要始终地贯彻清洁生产。通过对生产全过程的清洁生产审查，发现从原料投放、产品工艺、技术路线、现场管理等环节上的问题，并采取相应措施，从而起到降低原辅材料消耗，合理利用能源，减少废料和污染物排放量的作用，以获得明显的经济效益。</w:t>
      </w:r>
    </w:p>
    <w:p w14:paraId="242A765C">
      <w:pPr>
        <w:spacing w:line="360" w:lineRule="auto"/>
        <w:ind w:firstLine="480"/>
        <w:rPr>
          <w:sz w:val="24"/>
        </w:rPr>
      </w:pPr>
      <w:r>
        <w:rPr>
          <w:sz w:val="24"/>
        </w:rPr>
        <w:t>②企业之间，通过彼此的副产物质和能量需求，建立起工业共生链。这是淮南经开化工园区能否建设为生态工业区或者具备生态工业区的基本特征的关键。淮南经开化工园区现状工业生态系统过于简单、脆弱、不稳定，没有相应的生态工业链。因此，除了对现有的工业进行系统链接外，还要就引进补网作用的企业，而且为使该工业共生网络尽快的演化成成熟的、复杂的、稳定的工业生态网络，可赋予一定的优惠政策，使其优先入基地。</w:t>
      </w:r>
    </w:p>
    <w:p w14:paraId="4B1EBAAA">
      <w:pPr>
        <w:spacing w:line="360" w:lineRule="auto"/>
        <w:ind w:firstLine="480"/>
        <w:rPr>
          <w:sz w:val="24"/>
        </w:rPr>
      </w:pPr>
      <w:r>
        <w:rPr>
          <w:sz w:val="24"/>
        </w:rPr>
        <w:t>(2)水资源循环利用</w:t>
      </w:r>
    </w:p>
    <w:p w14:paraId="1F254AC1">
      <w:pPr>
        <w:spacing w:line="360" w:lineRule="auto"/>
        <w:ind w:firstLine="480"/>
        <w:rPr>
          <w:sz w:val="24"/>
        </w:rPr>
      </w:pPr>
      <w:r>
        <w:rPr>
          <w:sz w:val="24"/>
        </w:rPr>
        <w:t>①规划中水回用系统。建议化工园区需建设中水回用系统，将污水处理厂的出水再进行深度处理后回用于设备冷却和开发区景观、绿化、喷洒道路、消防、冲厕以及工业区企业的间接冷却水和冲洗水等，这个系统的利用，可以达到节约水资源、降低供水成本、减少废水排放量的目的，中水系统的建立能够使淮南经开化工园区的水集成水平得到极大的提高。</w:t>
      </w:r>
    </w:p>
    <w:p w14:paraId="38E42D15">
      <w:pPr>
        <w:spacing w:line="360" w:lineRule="auto"/>
        <w:ind w:firstLine="480"/>
        <w:rPr>
          <w:sz w:val="24"/>
        </w:rPr>
      </w:pPr>
      <w:r>
        <w:rPr>
          <w:sz w:val="24"/>
        </w:rPr>
        <w:t>②各企业内部提高水的循环利用率。要求淮南经开化工园区内各企业节水设施应与主体工程同时设计、同时施工、同时投产，企业内各车间采用先进的生产工艺，节水生产工艺和设备，提高水的循环利用率，将能够回收利用的废水全部回收利用，无法回收利用的废水在汇集后排入污水处理厂处理，达到节约用水，减少废水排放的目的。</w:t>
      </w:r>
    </w:p>
    <w:p w14:paraId="3BB0B4DD">
      <w:pPr>
        <w:spacing w:line="360" w:lineRule="auto"/>
        <w:ind w:firstLine="480"/>
        <w:rPr>
          <w:sz w:val="24"/>
        </w:rPr>
      </w:pPr>
      <w:r>
        <w:rPr>
          <w:sz w:val="24"/>
        </w:rPr>
        <w:t>(3)建立高效能源利用机制</w:t>
      </w:r>
    </w:p>
    <w:p w14:paraId="71C58DA2">
      <w:pPr>
        <w:spacing w:line="360" w:lineRule="auto"/>
        <w:ind w:firstLine="480"/>
        <w:rPr>
          <w:sz w:val="24"/>
        </w:rPr>
      </w:pPr>
      <w:r>
        <w:rPr>
          <w:sz w:val="24"/>
        </w:rPr>
        <w:t>能源既是重要的必不可少的经济发展和社会生活的物质前提，又是现实的重要污染来源。规划提倡规划区采用节能环保技术，减少能源损耗，主要的节能技术包括：</w:t>
      </w:r>
    </w:p>
    <w:p w14:paraId="56509EDC">
      <w:pPr>
        <w:spacing w:line="360" w:lineRule="auto"/>
        <w:ind w:firstLine="480"/>
        <w:rPr>
          <w:sz w:val="24"/>
        </w:rPr>
      </w:pPr>
      <w:r>
        <w:rPr>
          <w:sz w:val="24"/>
        </w:rPr>
        <w:t>①采取集中供热模式。通过集中供热，可以减少污染源数量，同时提高热效率。</w:t>
      </w:r>
    </w:p>
    <w:p w14:paraId="48093441">
      <w:pPr>
        <w:spacing w:line="360" w:lineRule="auto"/>
        <w:ind w:firstLine="480"/>
        <w:rPr>
          <w:sz w:val="24"/>
        </w:rPr>
      </w:pPr>
      <w:r>
        <w:rPr>
          <w:sz w:val="24"/>
        </w:rPr>
        <w:t>②企业内部建立能量回收利用系统</w:t>
      </w:r>
    </w:p>
    <w:p w14:paraId="7BA08F89">
      <w:pPr>
        <w:spacing w:line="360" w:lineRule="auto"/>
        <w:ind w:firstLine="480"/>
        <w:rPr>
          <w:sz w:val="24"/>
        </w:rPr>
      </w:pPr>
      <w:r>
        <w:rPr>
          <w:sz w:val="24"/>
        </w:rPr>
        <w:t>企业内部建立能量回收利用系统，将各企业生产过程中产生的能量回收利用，这样可有效降低能耗，提高能源的有效利用率。</w:t>
      </w:r>
    </w:p>
    <w:p w14:paraId="23924A2E">
      <w:pPr>
        <w:spacing w:line="360" w:lineRule="auto"/>
        <w:ind w:firstLine="480"/>
        <w:rPr>
          <w:sz w:val="24"/>
        </w:rPr>
      </w:pPr>
      <w:r>
        <w:rPr>
          <w:sz w:val="24"/>
        </w:rPr>
        <w:t>③建立能源层次机制。采取集中供热方式，提高了能源使用效率。对于企业之间，因为不同的企业对能量的等级要求不一样，可以根据各用能企业的能级需求的高低构成能量的梯级利用关系，高能级热源经上一级企业使用后多余能量供给需求低的企业使用。这样能够有效地满足各单位的用能需要，而不增加能源消耗，极大地提高能源利用率。</w:t>
      </w:r>
    </w:p>
    <w:p w14:paraId="1B2F61CE">
      <w:pPr>
        <w:spacing w:line="360" w:lineRule="auto"/>
        <w:ind w:firstLine="475" w:firstLineChars="198"/>
        <w:rPr>
          <w:sz w:val="24"/>
        </w:rPr>
      </w:pPr>
      <w:r>
        <w:rPr>
          <w:bCs/>
          <w:sz w:val="24"/>
        </w:rPr>
        <w:t>(4)</w:t>
      </w:r>
      <w:r>
        <w:rPr>
          <w:sz w:val="24"/>
        </w:rPr>
        <w:t>推行清洁生产，创建绿色企业</w:t>
      </w:r>
    </w:p>
    <w:p w14:paraId="78EA0514">
      <w:pPr>
        <w:spacing w:line="360" w:lineRule="auto"/>
        <w:ind w:firstLine="475" w:firstLineChars="198"/>
        <w:rPr>
          <w:sz w:val="24"/>
        </w:rPr>
      </w:pPr>
      <w:r>
        <w:rPr>
          <w:sz w:val="24"/>
        </w:rPr>
        <w:t>大力推行清洁生产、先进适用技术和“绿色技术”，用高新技术改造传统产业，从源头上减少生产过程中的废物排放，节约和合理利用资源。加强《清洁生产促进法》的宣传与严格执法，积极推进企业实施清洁生产，开展清洁生产审计，实现工作重点由末端治理向全过程控制转变，削减污染排放总量，提高资源能源的综合利用率。开发区环保分局建立清洁生产中心，组织编制开发区清洁生产规划和实施方案，积极开展ISO14000环境管理体系认证，逐步建立比较完善的清洁生产管理体制和实施机制。</w:t>
      </w:r>
    </w:p>
    <w:p w14:paraId="27354A14">
      <w:pPr>
        <w:spacing w:line="360" w:lineRule="auto"/>
        <w:ind w:firstLine="480"/>
        <w:rPr>
          <w:sz w:val="24"/>
        </w:rPr>
      </w:pPr>
      <w:r>
        <w:rPr>
          <w:sz w:val="24"/>
        </w:rPr>
        <w:t>(5)完善工业管理系统</w:t>
      </w:r>
    </w:p>
    <w:p w14:paraId="58767D7F">
      <w:pPr>
        <w:spacing w:line="360" w:lineRule="auto"/>
        <w:ind w:firstLine="480"/>
        <w:rPr>
          <w:sz w:val="24"/>
        </w:rPr>
      </w:pPr>
      <w:r>
        <w:rPr>
          <w:sz w:val="24"/>
        </w:rPr>
        <w:t>①建立淮南经开化工园区企业合作体系和废物有偿交换体制。在不同企业间建立废料交换和资源再生机制是化工园区循环经济的核心内容。淮南经开化工园区的建立需要采取在不同企业间实现基于市场机制的废料有偿交换，比如能源、蒸汽、中水等在园内供替他企业使用不会是无偿的，这就需要建立其企业间的合作体系和废物有偿交换机制。</w:t>
      </w:r>
    </w:p>
    <w:p w14:paraId="13243735">
      <w:pPr>
        <w:spacing w:line="360" w:lineRule="auto"/>
        <w:ind w:firstLine="480"/>
        <w:rPr>
          <w:sz w:val="24"/>
        </w:rPr>
      </w:pPr>
      <w:r>
        <w:rPr>
          <w:sz w:val="24"/>
        </w:rPr>
        <w:t>②建立入园企业的选择机构。淮南经开化工园区在选择入园的企业时，不仅要考虑其所带来的经济效益，还要考虑对整个化工园区工业系统网络的贡献程度以及所带来的环境和社会效益。首先是要企业自身符合清洁生产的要求，其次是进化工园区的企业生产的产品或副产品应当是区内其它企业的原材料或中间体等，或者上游企业的“废物”是下游企业的原材料。</w:t>
      </w:r>
    </w:p>
    <w:p w14:paraId="5DCA49DC">
      <w:pPr>
        <w:spacing w:line="360" w:lineRule="auto"/>
        <w:ind w:firstLine="480"/>
        <w:rPr>
          <w:sz w:val="24"/>
        </w:rPr>
      </w:pPr>
      <w:r>
        <w:rPr>
          <w:sz w:val="24"/>
        </w:rPr>
        <w:t>③建立符合循环经济的信息管理系统。淮南经开化工园区循环经济的建立是一个长期而复杂的过程，在这一过程中需要大量的信息支持，如化工园区内各企业的生产信息、经营状况、市场信息、污染排放、环境影响等等，对这些信息有必要建立分布式数据库，为企业提供外部信息的标准和渠道。信息管理系统把企业内各个职能部门的信息集成在一起，使企业的内部信息高度共享，通过这个管理系统可以实现开发区内部之间和企业之间的信息组织与集成，为化工园区的健康、可持续发展提供必要的保证。</w:t>
      </w:r>
    </w:p>
    <w:p w14:paraId="2C09F9B3">
      <w:pPr>
        <w:spacing w:line="360" w:lineRule="auto"/>
        <w:ind w:firstLine="480"/>
        <w:rPr>
          <w:sz w:val="24"/>
        </w:rPr>
      </w:pPr>
      <w:r>
        <w:rPr>
          <w:sz w:val="24"/>
        </w:rPr>
        <w:t>④建立环境管理系统。建立化工园区环境管理系统，对企业排水情况、废气的治理情况、各企业“三废”的治理情况进行跟踪和管理。在选择入化工园区的企业时，除了考虑能否形成循环经济链外，还要禁止能耗大、废水、废气、固废排放量大的项目入化工园区。</w:t>
      </w:r>
      <w:bookmarkStart w:id="125" w:name="_Toc273373915"/>
    </w:p>
    <w:p w14:paraId="5B9CA547">
      <w:pPr>
        <w:spacing w:line="360" w:lineRule="auto"/>
        <w:ind w:firstLine="480"/>
        <w:rPr>
          <w:sz w:val="24"/>
        </w:rPr>
      </w:pPr>
      <w:r>
        <w:rPr>
          <w:sz w:val="24"/>
        </w:rPr>
        <w:t>⑤按循环经济要求合理优化企业布局。对于暂未安排企业的用地，按照循环经济的要求进一步优化化工园区内企业项目布局。尽可能把相关企业、项目规划在同一区域，实行能源的统一供应和废弃物的集中处理，使各企业、厂家相互“零距离”配套，形成“一条龙”产出模式。</w:t>
      </w:r>
    </w:p>
    <w:p w14:paraId="48A3BDFD">
      <w:pPr>
        <w:spacing w:line="360" w:lineRule="auto"/>
        <w:ind w:firstLine="480"/>
        <w:rPr>
          <w:sz w:val="24"/>
        </w:rPr>
      </w:pPr>
      <w:r>
        <w:rPr>
          <w:sz w:val="24"/>
        </w:rPr>
        <w:t>(6)建立循环经济发展保障机制</w:t>
      </w:r>
    </w:p>
    <w:p w14:paraId="1E8DED73">
      <w:pPr>
        <w:spacing w:line="360" w:lineRule="auto"/>
        <w:ind w:firstLine="480"/>
        <w:rPr>
          <w:sz w:val="24"/>
        </w:rPr>
      </w:pPr>
      <w:r>
        <w:rPr>
          <w:sz w:val="24"/>
        </w:rPr>
        <w:t>建立循环经济发展保障机制，开发区管理部门应制订鼓励循环经济发展的优惠政策，比如在用地、供电、运力保障、信贷担保等方面给予重点扶持，吸引更多社会资本投入发展循环经济。同时，要通过加强环保监督，促进企业通过实施资源综合利用等措施，使其废弃物排放达到国家要求。</w:t>
      </w:r>
    </w:p>
    <w:bookmarkEnd w:id="125"/>
    <w:p w14:paraId="173F9CAE">
      <w:pPr>
        <w:pStyle w:val="57"/>
        <w:spacing w:line="360" w:lineRule="auto"/>
        <w:ind w:firstLine="240" w:firstLineChars="100"/>
        <w:outlineLvl w:val="9"/>
        <w:rPr>
          <w:rFonts w:ascii="Times New Roman" w:hAnsi="Times New Roman" w:eastAsia="宋体"/>
        </w:rPr>
      </w:pPr>
      <w:bookmarkStart w:id="126" w:name="_Toc261851272"/>
      <w:bookmarkStart w:id="127" w:name="_Toc260817364"/>
      <w:bookmarkStart w:id="128" w:name="_Toc294128834"/>
      <w:bookmarkStart w:id="129" w:name="_Toc280282622"/>
      <w:bookmarkStart w:id="130" w:name="_Toc294172619"/>
      <w:bookmarkStart w:id="131" w:name="_Toc282090508"/>
      <w:r>
        <w:rPr>
          <w:rFonts w:ascii="Times New Roman" w:hAnsi="Times New Roman" w:eastAsia="宋体"/>
        </w:rPr>
        <w:t xml:space="preserve">  6、化工园区发展循环经济的保障措施</w:t>
      </w:r>
      <w:bookmarkEnd w:id="126"/>
      <w:bookmarkEnd w:id="127"/>
      <w:bookmarkEnd w:id="128"/>
      <w:bookmarkEnd w:id="129"/>
      <w:bookmarkEnd w:id="130"/>
      <w:bookmarkEnd w:id="131"/>
    </w:p>
    <w:p w14:paraId="0A1D72C6">
      <w:pPr>
        <w:spacing w:line="360" w:lineRule="auto"/>
        <w:ind w:firstLine="480"/>
        <w:rPr>
          <w:sz w:val="24"/>
        </w:rPr>
      </w:pPr>
      <w:r>
        <w:rPr>
          <w:sz w:val="24"/>
        </w:rPr>
        <w:t>(1)加强规划指导</w:t>
      </w:r>
    </w:p>
    <w:p w14:paraId="1FBDCB39">
      <w:pPr>
        <w:spacing w:line="360" w:lineRule="auto"/>
        <w:ind w:firstLine="480"/>
        <w:rPr>
          <w:sz w:val="24"/>
        </w:rPr>
      </w:pPr>
      <w:r>
        <w:rPr>
          <w:sz w:val="24"/>
        </w:rPr>
        <w:t>化工园区要把发展循环经济、推进经济增长方式转变做为制定化工园区发展规划的重要指导原则。用循环经济理念，指导规划区的规划和发展。项目筛选应注重节能、节水、资源综合利用等，对入区项目进行分析评价，明确开发区发展循环经济的任务和重点，制定操作性强的政策措施，切实加强对发展循环经济的指导。</w:t>
      </w:r>
    </w:p>
    <w:p w14:paraId="4045FEFF">
      <w:pPr>
        <w:spacing w:line="360" w:lineRule="auto"/>
        <w:ind w:firstLine="480"/>
        <w:rPr>
          <w:sz w:val="24"/>
        </w:rPr>
      </w:pPr>
      <w:r>
        <w:rPr>
          <w:sz w:val="24"/>
        </w:rPr>
        <w:t>(2)加快循环经济技术开发、示范和推广应用</w:t>
      </w:r>
    </w:p>
    <w:p w14:paraId="43BA4638">
      <w:pPr>
        <w:spacing w:line="360" w:lineRule="auto"/>
        <w:ind w:firstLine="480"/>
        <w:rPr>
          <w:sz w:val="24"/>
        </w:rPr>
      </w:pPr>
      <w:r>
        <w:rPr>
          <w:sz w:val="24"/>
        </w:rPr>
        <w:t>重点组织开发有重大推广意义的资源节约和替代技术、能量梯级利用技术、循环经济发展中延长产业链和相关产业链接技术、“零”排放技术、有毒有害原材料替代技术、可回收利用材料和回收处理技术，特别是降低利用成本的技术等，突破循环经济发展的技术瓶颈。</w:t>
      </w:r>
    </w:p>
    <w:p w14:paraId="363013C1">
      <w:pPr>
        <w:spacing w:line="360" w:lineRule="auto"/>
        <w:ind w:firstLine="480"/>
        <w:rPr>
          <w:sz w:val="24"/>
        </w:rPr>
      </w:pPr>
      <w:r>
        <w:rPr>
          <w:sz w:val="24"/>
        </w:rPr>
        <w:t>(3)广泛开展循环经济的宣传教育</w:t>
      </w:r>
    </w:p>
    <w:p w14:paraId="3EE242DE">
      <w:pPr>
        <w:spacing w:line="360" w:lineRule="auto"/>
        <w:ind w:firstLine="480"/>
        <w:rPr>
          <w:sz w:val="24"/>
        </w:rPr>
      </w:pPr>
      <w:r>
        <w:rPr>
          <w:sz w:val="24"/>
        </w:rPr>
        <w:t>进一步加大循环经济的宣传教育力度，转变观念，树立可持续的消费观和节约资源、保护环境的责任意识，大力提倡绿色消费，引导消费者自觉选择有利于节约资源、保护环境的生活方式和消费方式。</w:t>
      </w:r>
    </w:p>
    <w:p w14:paraId="706CAD0A">
      <w:pPr>
        <w:pStyle w:val="4"/>
        <w:spacing w:before="156" w:after="156"/>
        <w:rPr>
          <w:rFonts w:ascii="Times New Roman" w:hAnsi="Times New Roman"/>
          <w:sz w:val="24"/>
          <w:szCs w:val="24"/>
        </w:rPr>
      </w:pPr>
      <w:bookmarkStart w:id="132" w:name="_Toc28731"/>
      <w:bookmarkStart w:id="133" w:name="_Toc493161416"/>
      <w:r>
        <w:rPr>
          <w:rFonts w:ascii="Times New Roman" w:hAnsi="Times New Roman"/>
          <w:sz w:val="24"/>
          <w:szCs w:val="24"/>
        </w:rPr>
        <w:t>6.6环境保护管理措施</w:t>
      </w:r>
      <w:bookmarkEnd w:id="132"/>
      <w:bookmarkEnd w:id="133"/>
    </w:p>
    <w:p w14:paraId="1BA4CD93">
      <w:pPr>
        <w:widowControl/>
        <w:spacing w:line="360" w:lineRule="auto"/>
        <w:ind w:firstLine="560"/>
        <w:jc w:val="left"/>
        <w:rPr>
          <w:kern w:val="0"/>
          <w:sz w:val="24"/>
          <w:szCs w:val="24"/>
        </w:rPr>
      </w:pPr>
      <w:r>
        <w:rPr>
          <w:kern w:val="0"/>
          <w:sz w:val="24"/>
          <w:szCs w:val="24"/>
        </w:rPr>
        <w:t>1、提高入区项目准入门槛，严把项目审批关；</w:t>
      </w:r>
    </w:p>
    <w:p w14:paraId="5D1F8ADE">
      <w:pPr>
        <w:widowControl/>
        <w:spacing w:line="360" w:lineRule="auto"/>
        <w:ind w:firstLine="560"/>
        <w:jc w:val="left"/>
        <w:rPr>
          <w:kern w:val="0"/>
          <w:sz w:val="24"/>
          <w:szCs w:val="24"/>
        </w:rPr>
      </w:pPr>
      <w:r>
        <w:rPr>
          <w:kern w:val="0"/>
          <w:sz w:val="24"/>
          <w:szCs w:val="24"/>
        </w:rPr>
        <w:t>2、适度控制医药化工区开发强度；</w:t>
      </w:r>
    </w:p>
    <w:p w14:paraId="03D1D6B2">
      <w:pPr>
        <w:widowControl/>
        <w:spacing w:line="360" w:lineRule="auto"/>
        <w:ind w:firstLine="560"/>
        <w:jc w:val="left"/>
        <w:rPr>
          <w:kern w:val="0"/>
          <w:sz w:val="24"/>
          <w:szCs w:val="24"/>
        </w:rPr>
      </w:pPr>
      <w:r>
        <w:rPr>
          <w:kern w:val="0"/>
          <w:sz w:val="24"/>
          <w:szCs w:val="24"/>
        </w:rPr>
        <w:t>3、注重医药化工区各功能区的协调统一关系；</w:t>
      </w:r>
    </w:p>
    <w:p w14:paraId="5C2E0542">
      <w:pPr>
        <w:widowControl/>
        <w:spacing w:line="360" w:lineRule="auto"/>
        <w:ind w:firstLine="560"/>
        <w:jc w:val="left"/>
        <w:rPr>
          <w:kern w:val="0"/>
          <w:sz w:val="24"/>
          <w:szCs w:val="24"/>
        </w:rPr>
      </w:pPr>
      <w:r>
        <w:rPr>
          <w:kern w:val="0"/>
          <w:sz w:val="24"/>
          <w:szCs w:val="24"/>
        </w:rPr>
        <w:t>4、加强基础设施建设，合理规划医药化工区配套公用设施；</w:t>
      </w:r>
    </w:p>
    <w:p w14:paraId="25D5C461">
      <w:pPr>
        <w:widowControl/>
        <w:spacing w:line="360" w:lineRule="auto"/>
        <w:ind w:firstLine="560"/>
        <w:jc w:val="left"/>
        <w:rPr>
          <w:kern w:val="0"/>
          <w:sz w:val="24"/>
          <w:szCs w:val="24"/>
        </w:rPr>
      </w:pPr>
      <w:r>
        <w:rPr>
          <w:kern w:val="0"/>
          <w:sz w:val="24"/>
          <w:szCs w:val="24"/>
        </w:rPr>
        <w:t>5、严格执行国家节能减排政策，控制污染物尤其是水污染物排放总量，并制定污染物消减方案；</w:t>
      </w:r>
    </w:p>
    <w:p w14:paraId="5EE03C0D">
      <w:pPr>
        <w:widowControl/>
        <w:spacing w:line="360" w:lineRule="auto"/>
        <w:ind w:firstLine="560"/>
        <w:jc w:val="left"/>
        <w:rPr>
          <w:kern w:val="0"/>
          <w:sz w:val="24"/>
          <w:szCs w:val="24"/>
        </w:rPr>
      </w:pPr>
      <w:r>
        <w:rPr>
          <w:kern w:val="0"/>
          <w:sz w:val="24"/>
          <w:szCs w:val="24"/>
        </w:rPr>
        <w:t>6、加强入医药化工区建设项目环境管理和污染物监测工作；</w:t>
      </w:r>
    </w:p>
    <w:p w14:paraId="04589CB8">
      <w:pPr>
        <w:widowControl/>
        <w:spacing w:line="360" w:lineRule="auto"/>
        <w:ind w:firstLine="560"/>
        <w:jc w:val="left"/>
        <w:rPr>
          <w:kern w:val="0"/>
          <w:sz w:val="24"/>
          <w:szCs w:val="24"/>
        </w:rPr>
      </w:pPr>
      <w:r>
        <w:rPr>
          <w:kern w:val="0"/>
          <w:sz w:val="24"/>
          <w:szCs w:val="24"/>
        </w:rPr>
        <w:t>7、切实做好医药化工区绿化，要求绿化面积不低于医药化工区面积的10%；</w:t>
      </w:r>
    </w:p>
    <w:p w14:paraId="1E1F3240">
      <w:pPr>
        <w:widowControl/>
        <w:spacing w:line="360" w:lineRule="auto"/>
        <w:ind w:firstLine="560"/>
        <w:jc w:val="left"/>
        <w:rPr>
          <w:kern w:val="0"/>
          <w:sz w:val="24"/>
          <w:szCs w:val="24"/>
        </w:rPr>
      </w:pPr>
      <w:r>
        <w:rPr>
          <w:kern w:val="0"/>
          <w:sz w:val="24"/>
          <w:szCs w:val="24"/>
        </w:rPr>
        <w:t>8、入园门槛及环保负面清单等要求；</w:t>
      </w:r>
      <w:bookmarkStart w:id="134" w:name="_Toc1628647"/>
    </w:p>
    <w:p w14:paraId="1231972D">
      <w:pPr>
        <w:spacing w:beforeLines="50" w:afterLines="50" w:line="360" w:lineRule="auto"/>
        <w:jc w:val="center"/>
        <w:outlineLvl w:val="0"/>
        <w:rPr>
          <w:b/>
          <w:sz w:val="32"/>
          <w:szCs w:val="32"/>
        </w:rPr>
      </w:pPr>
      <w:bookmarkStart w:id="135" w:name="_Toc16544"/>
      <w:r>
        <w:rPr>
          <w:b/>
          <w:sz w:val="32"/>
          <w:szCs w:val="32"/>
        </w:rPr>
        <w:t>7安全规划</w:t>
      </w:r>
      <w:bookmarkEnd w:id="134"/>
      <w:bookmarkEnd w:id="135"/>
    </w:p>
    <w:p w14:paraId="570040BE">
      <w:pPr>
        <w:pStyle w:val="23"/>
        <w:shd w:val="clear" w:color="auto" w:fill="FFFFFF"/>
        <w:spacing w:before="0" w:after="0" w:line="360" w:lineRule="auto"/>
        <w:ind w:firstLine="640"/>
        <w:jc w:val="both"/>
        <w:rPr>
          <w:rFonts w:ascii="Times New Roman" w:hAnsi="Times New Roman"/>
          <w:kern w:val="2"/>
          <w:szCs w:val="22"/>
        </w:rPr>
      </w:pPr>
      <w:r>
        <w:rPr>
          <w:rFonts w:ascii="Times New Roman" w:hAnsi="Times New Roman"/>
          <w:kern w:val="2"/>
          <w:szCs w:val="22"/>
        </w:rPr>
        <w:t>淮南经开区以优势产业为纽带，加快产业转型升级步伐，综合实力实现快速增长，目前拥有省级生物医药工业园、省级新型工业化煤机装备制造产业示范基地、省级新型工业化医药化工产业示范基地、全省重点支持文化产业示范园区等特色园区称号以及省级科技孵化器等载体。</w:t>
      </w:r>
    </w:p>
    <w:p w14:paraId="469F47D3">
      <w:pPr>
        <w:widowControl/>
        <w:spacing w:line="360" w:lineRule="auto"/>
        <w:ind w:firstLine="480" w:firstLineChars="200"/>
        <w:jc w:val="left"/>
      </w:pPr>
      <w:r>
        <w:rPr>
          <w:sz w:val="24"/>
        </w:rPr>
        <w:t>依据安徽省应急管理厅发布的《关于安徽省化工园区（第一批）名单的公示)》（2021年2月4日）、《安徽省人民政府关于同意认定第一批安徽省化工园区的批复》（皖政秘〔2021〕93号），淮南经开化工园区（原名称：淮南经济技术开发区化工园区）属于符合《安徽省化工园区认定办法》条件的安徽省化工园区（第一批）中的名单，依据《安徽省自然资源厅关于核定淮南经开化工园区四至范围和面积的通知》（皖自然资用函〔2023〕21号），经省自然资源与规划厅核定淮南经开化工园区省政府批准面积158.9公顷，园区上报范围总面积</w:t>
      </w:r>
      <w:r>
        <w:rPr>
          <w:rFonts w:hint="eastAsia"/>
          <w:sz w:val="24"/>
        </w:rPr>
        <w:t>153.14</w:t>
      </w:r>
      <w:r>
        <w:rPr>
          <w:sz w:val="24"/>
        </w:rPr>
        <w:t>公顷，包含两个区块，其中区块一面积</w:t>
      </w:r>
      <w:r>
        <w:rPr>
          <w:rFonts w:hint="eastAsia"/>
          <w:sz w:val="24"/>
        </w:rPr>
        <w:t>33.04公顷</w:t>
      </w:r>
      <w:r>
        <w:rPr>
          <w:sz w:val="24"/>
        </w:rPr>
        <w:t>，四至范围为：东至永兴路，南至田东路，西至皖淮化工厂留守处，</w:t>
      </w:r>
      <w:r>
        <w:rPr>
          <w:rFonts w:hint="eastAsia"/>
          <w:sz w:val="24"/>
        </w:rPr>
        <w:t>北至规划电厂路</w:t>
      </w:r>
      <w:r>
        <w:rPr>
          <w:sz w:val="24"/>
        </w:rPr>
        <w:t>；区块二面积</w:t>
      </w:r>
      <w:r>
        <w:rPr>
          <w:rFonts w:hint="eastAsia"/>
          <w:sz w:val="24"/>
        </w:rPr>
        <w:t>120.10公顷</w:t>
      </w:r>
      <w:r>
        <w:rPr>
          <w:sz w:val="24"/>
        </w:rPr>
        <w:t>，四至范围为：东至东兴路，南至朝阳东路，</w:t>
      </w:r>
      <w:r>
        <w:rPr>
          <w:rFonts w:hint="eastAsia"/>
          <w:sz w:val="24"/>
        </w:rPr>
        <w:t>西至屯头排涝站排涝干渠</w:t>
      </w:r>
      <w:r>
        <w:rPr>
          <w:sz w:val="24"/>
        </w:rPr>
        <w:t>，北至长富路。</w:t>
      </w:r>
    </w:p>
    <w:p w14:paraId="17C75D09">
      <w:pPr>
        <w:pStyle w:val="4"/>
        <w:spacing w:before="156" w:after="156"/>
        <w:rPr>
          <w:rFonts w:ascii="Times New Roman" w:hAnsi="Times New Roman"/>
          <w:sz w:val="24"/>
          <w:szCs w:val="24"/>
        </w:rPr>
      </w:pPr>
      <w:bookmarkStart w:id="136" w:name="_Toc1628648"/>
      <w:bookmarkStart w:id="137" w:name="_Toc449277629"/>
      <w:bookmarkStart w:id="138" w:name="_Toc18149"/>
      <w:bookmarkStart w:id="139" w:name="_Toc437032081"/>
      <w:r>
        <w:rPr>
          <w:rFonts w:ascii="Times New Roman" w:hAnsi="Times New Roman"/>
          <w:sz w:val="24"/>
          <w:szCs w:val="24"/>
        </w:rPr>
        <w:t>7.1</w:t>
      </w:r>
      <w:bookmarkEnd w:id="136"/>
      <w:bookmarkEnd w:id="137"/>
      <w:r>
        <w:rPr>
          <w:rFonts w:ascii="Times New Roman" w:hAnsi="Times New Roman"/>
          <w:sz w:val="24"/>
          <w:szCs w:val="24"/>
        </w:rPr>
        <w:t>危险源分析</w:t>
      </w:r>
      <w:bookmarkEnd w:id="138"/>
      <w:r>
        <w:rPr>
          <w:rFonts w:ascii="Times New Roman" w:hAnsi="Times New Roman"/>
          <w:sz w:val="24"/>
          <w:szCs w:val="24"/>
        </w:rPr>
        <w:tab/>
      </w:r>
    </w:p>
    <w:p w14:paraId="2BFAA0DA">
      <w:pPr>
        <w:pStyle w:val="5"/>
        <w:spacing w:before="156" w:after="156"/>
        <w:rPr>
          <w:rFonts w:eastAsiaTheme="minorEastAsia"/>
          <w:sz w:val="24"/>
          <w:szCs w:val="24"/>
        </w:rPr>
      </w:pPr>
      <w:bookmarkStart w:id="140" w:name="_Toc4596054"/>
      <w:r>
        <w:rPr>
          <w:rFonts w:eastAsiaTheme="minorEastAsia"/>
          <w:sz w:val="24"/>
          <w:szCs w:val="24"/>
        </w:rPr>
        <w:t>7.1.1主要危险有害因素分析</w:t>
      </w:r>
      <w:r>
        <w:rPr>
          <w:rFonts w:eastAsiaTheme="minorEastAsia"/>
          <w:sz w:val="24"/>
          <w:szCs w:val="24"/>
        </w:rPr>
        <w:tab/>
      </w:r>
    </w:p>
    <w:p w14:paraId="792A7A89">
      <w:pPr>
        <w:pStyle w:val="5"/>
        <w:spacing w:before="156" w:after="156"/>
        <w:rPr>
          <w:rFonts w:eastAsiaTheme="minorEastAsia"/>
          <w:sz w:val="24"/>
          <w:szCs w:val="24"/>
        </w:rPr>
      </w:pPr>
      <w:r>
        <w:rPr>
          <w:rFonts w:eastAsiaTheme="minorEastAsia"/>
          <w:sz w:val="24"/>
          <w:szCs w:val="24"/>
        </w:rPr>
        <w:t>（1）危险化学品的分布</w:t>
      </w:r>
      <w:bookmarkEnd w:id="140"/>
      <w:r>
        <w:rPr>
          <w:rFonts w:eastAsiaTheme="minorEastAsia"/>
          <w:sz w:val="24"/>
          <w:szCs w:val="24"/>
        </w:rPr>
        <w:tab/>
      </w:r>
    </w:p>
    <w:p w14:paraId="7744FCFD">
      <w:pPr>
        <w:widowControl/>
        <w:spacing w:line="360" w:lineRule="auto"/>
        <w:ind w:firstLine="480" w:firstLineChars="200"/>
        <w:jc w:val="left"/>
        <w:rPr>
          <w:sz w:val="24"/>
        </w:rPr>
      </w:pPr>
      <w:bookmarkStart w:id="141" w:name="_Toc4596055"/>
      <w:r>
        <w:rPr>
          <w:sz w:val="24"/>
        </w:rPr>
        <w:t>化工园区四至范围内已入驻生产的德邦化工、恒诚制药、水卫士环保科技、国瑞药业四家化工企业，根据德邦化工安全验收报告、德邦化工安全现状报告、恒诚制药设计诊断、水卫士环保科技设计诊断、国瑞药业一期安全验收报告、二期安全条件评价报告以及现场调查，并对照《危险化学品目录》(2015版)和《关于印发危险化学品目录(2015版)实施指南(试行)的通知》，化工园区涉及的危险化学品有甲醇、氨、盐酸、氢氧化 钠、氢气、水煤气、硫磺、甲苯、乙醇、四氢呋喃、丙酮、正丙醇、乙酸 酐、三氯甲烷、黄色氧化汞、异丁醇、溴乙酸乙酯、三氯化磷、原甲酸三乙酯、氯化汞、乙酸汞、叠氮化钠、乙醚、苯肼、三氧化二砷、发烟硫酸、N,N-二甲基甲酰胺、氨水、N,N-二异丙基乙胺、邻苯二甲酰亚胺、二氯甲烷、正庚烷、异丙醇、乙酸乙酯、液氮、天然气、亚硫酸氢钠、硼氢化 钠、丁酮、4-甲基吡啶、乙炔、苯酚，因恒诚制药部分已停产，涉及的危险化学品2-氯-4-硝基苯胺、氯化亚砜、乙醇胺、无水哌嗪、甲苯、甲醇、盐酸、氢氧化钠已全部清料，不再进行辨识和分析。</w:t>
      </w:r>
    </w:p>
    <w:p w14:paraId="46913671">
      <w:pPr>
        <w:widowControl/>
        <w:spacing w:line="360" w:lineRule="auto"/>
        <w:ind w:firstLine="480" w:firstLineChars="200"/>
        <w:jc w:val="left"/>
        <w:rPr>
          <w:sz w:val="24"/>
        </w:rPr>
      </w:pPr>
      <w:r>
        <w:rPr>
          <w:sz w:val="24"/>
        </w:rPr>
        <w:t>目前化工园区区块二正在建设的三家化工为企业淮南锦德生物科技有限公司、安徽森吉制药有限公司和安徽山河药用辅料股份有限公司。</w:t>
      </w:r>
    </w:p>
    <w:p w14:paraId="1C466236">
      <w:pPr>
        <w:widowControl/>
        <w:spacing w:line="360" w:lineRule="auto"/>
        <w:ind w:firstLine="480" w:firstLineChars="200"/>
        <w:jc w:val="left"/>
        <w:rPr>
          <w:sz w:val="24"/>
        </w:rPr>
      </w:pPr>
      <w:r>
        <w:rPr>
          <w:sz w:val="24"/>
        </w:rPr>
        <w:t>化工园区危险化学品分布情况见表7.1-1。</w:t>
      </w:r>
    </w:p>
    <w:p w14:paraId="2295D9BF">
      <w:pPr>
        <w:widowControl/>
        <w:spacing w:line="360" w:lineRule="auto"/>
        <w:ind w:firstLine="480" w:firstLineChars="200"/>
        <w:jc w:val="center"/>
        <w:rPr>
          <w:sz w:val="24"/>
        </w:rPr>
      </w:pPr>
      <w:r>
        <w:rPr>
          <w:sz w:val="24"/>
        </w:rPr>
        <w:t>表7.1-1、化工园区主要危险化学品分布表</w:t>
      </w:r>
    </w:p>
    <w:tbl>
      <w:tblPr>
        <w:tblStyle w:val="58"/>
        <w:tblW w:w="8665" w:type="dxa"/>
        <w:tblInd w:w="6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8"/>
        <w:gridCol w:w="1020"/>
        <w:gridCol w:w="1025"/>
        <w:gridCol w:w="3687"/>
        <w:gridCol w:w="1200"/>
        <w:gridCol w:w="975"/>
      </w:tblGrid>
      <w:tr w14:paraId="5FE45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4" w:hRule="atLeast"/>
        </w:trPr>
        <w:tc>
          <w:tcPr>
            <w:tcW w:w="758" w:type="dxa"/>
          </w:tcPr>
          <w:p w14:paraId="462E4040">
            <w:pPr>
              <w:spacing w:line="300" w:lineRule="auto"/>
            </w:pPr>
          </w:p>
          <w:p w14:paraId="66BEAECB">
            <w:pPr>
              <w:spacing w:before="69" w:line="222" w:lineRule="auto"/>
              <w:ind w:left="172"/>
              <w:rPr>
                <w:szCs w:val="21"/>
              </w:rPr>
            </w:pPr>
            <w:r>
              <w:rPr>
                <w:spacing w:val="-2"/>
                <w:szCs w:val="21"/>
              </w:rPr>
              <w:t>序</w:t>
            </w:r>
            <w:r>
              <w:rPr>
                <w:spacing w:val="-1"/>
                <w:szCs w:val="21"/>
              </w:rPr>
              <w:t>号</w:t>
            </w:r>
          </w:p>
        </w:tc>
        <w:tc>
          <w:tcPr>
            <w:tcW w:w="1020" w:type="dxa"/>
          </w:tcPr>
          <w:p w14:paraId="7CD1E2AE">
            <w:pPr>
              <w:spacing w:line="301" w:lineRule="auto"/>
            </w:pPr>
          </w:p>
          <w:p w14:paraId="73CDF279">
            <w:pPr>
              <w:spacing w:before="68" w:line="221" w:lineRule="auto"/>
              <w:ind w:left="178"/>
              <w:rPr>
                <w:szCs w:val="21"/>
              </w:rPr>
            </w:pPr>
            <w:r>
              <w:rPr>
                <w:spacing w:val="-1"/>
                <w:szCs w:val="21"/>
              </w:rPr>
              <w:t>物质名</w:t>
            </w:r>
            <w:r>
              <w:rPr>
                <w:szCs w:val="21"/>
              </w:rPr>
              <w:t>称</w:t>
            </w:r>
          </w:p>
        </w:tc>
        <w:tc>
          <w:tcPr>
            <w:tcW w:w="1025" w:type="dxa"/>
          </w:tcPr>
          <w:p w14:paraId="7AB27D01">
            <w:pPr>
              <w:spacing w:before="154" w:line="432" w:lineRule="exact"/>
              <w:ind w:left="155"/>
              <w:rPr>
                <w:szCs w:val="21"/>
              </w:rPr>
            </w:pPr>
            <w:r>
              <w:rPr>
                <w:spacing w:val="-2"/>
                <w:position w:val="16"/>
                <w:szCs w:val="21"/>
              </w:rPr>
              <w:t>危化</w:t>
            </w:r>
            <w:r>
              <w:rPr>
                <w:spacing w:val="-1"/>
                <w:position w:val="16"/>
                <w:szCs w:val="21"/>
              </w:rPr>
              <w:t>品</w:t>
            </w:r>
          </w:p>
          <w:p w14:paraId="14ABC572">
            <w:pPr>
              <w:spacing w:line="222" w:lineRule="auto"/>
              <w:ind w:left="152"/>
              <w:rPr>
                <w:szCs w:val="21"/>
              </w:rPr>
            </w:pPr>
            <w:r>
              <w:rPr>
                <w:spacing w:val="-1"/>
                <w:szCs w:val="21"/>
              </w:rPr>
              <w:t>序列号</w:t>
            </w:r>
          </w:p>
        </w:tc>
        <w:tc>
          <w:tcPr>
            <w:tcW w:w="3687" w:type="dxa"/>
          </w:tcPr>
          <w:p w14:paraId="7198FAF1">
            <w:pPr>
              <w:spacing w:line="300" w:lineRule="auto"/>
            </w:pPr>
          </w:p>
          <w:p w14:paraId="09513C80">
            <w:pPr>
              <w:spacing w:before="68" w:line="221" w:lineRule="auto"/>
              <w:ind w:left="1209"/>
              <w:rPr>
                <w:szCs w:val="21"/>
              </w:rPr>
            </w:pPr>
            <w:r>
              <w:rPr>
                <w:spacing w:val="-1"/>
                <w:szCs w:val="21"/>
              </w:rPr>
              <w:t>危险性类</w:t>
            </w:r>
            <w:r>
              <w:rPr>
                <w:szCs w:val="21"/>
              </w:rPr>
              <w:t>别</w:t>
            </w:r>
          </w:p>
        </w:tc>
        <w:tc>
          <w:tcPr>
            <w:tcW w:w="1200" w:type="dxa"/>
          </w:tcPr>
          <w:p w14:paraId="43336515">
            <w:pPr>
              <w:spacing w:line="301" w:lineRule="auto"/>
            </w:pPr>
          </w:p>
          <w:p w14:paraId="483397D2">
            <w:pPr>
              <w:spacing w:before="68" w:line="234" w:lineRule="auto"/>
              <w:ind w:left="191"/>
              <w:rPr>
                <w:szCs w:val="21"/>
              </w:rPr>
            </w:pPr>
            <w:r>
              <w:rPr>
                <w:spacing w:val="17"/>
                <w:szCs w:val="21"/>
              </w:rPr>
              <w:t>最大储量(</w:t>
            </w:r>
            <w:r>
              <w:rPr>
                <w:rFonts w:eastAsia="Times New Roman"/>
                <w:b/>
                <w:bCs/>
                <w:szCs w:val="21"/>
              </w:rPr>
              <w:t>t</w:t>
            </w:r>
            <w:r>
              <w:rPr>
                <w:spacing w:val="16"/>
                <w:szCs w:val="21"/>
              </w:rPr>
              <w:t>)</w:t>
            </w:r>
          </w:p>
        </w:tc>
        <w:tc>
          <w:tcPr>
            <w:tcW w:w="975" w:type="dxa"/>
          </w:tcPr>
          <w:p w14:paraId="59C9A221">
            <w:pPr>
              <w:spacing w:line="300" w:lineRule="auto"/>
            </w:pPr>
          </w:p>
          <w:p w14:paraId="458F8D87">
            <w:pPr>
              <w:spacing w:before="68" w:line="221" w:lineRule="auto"/>
              <w:ind w:left="117"/>
              <w:rPr>
                <w:szCs w:val="21"/>
              </w:rPr>
            </w:pPr>
            <w:r>
              <w:rPr>
                <w:spacing w:val="-2"/>
                <w:szCs w:val="21"/>
              </w:rPr>
              <w:t>火灾</w:t>
            </w:r>
            <w:r>
              <w:rPr>
                <w:spacing w:val="-1"/>
                <w:szCs w:val="21"/>
              </w:rPr>
              <w:t>类别</w:t>
            </w:r>
          </w:p>
        </w:tc>
      </w:tr>
      <w:tr w14:paraId="3739E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8665" w:type="dxa"/>
            <w:gridSpan w:val="6"/>
          </w:tcPr>
          <w:p w14:paraId="53EAAE99">
            <w:pPr>
              <w:spacing w:before="152" w:line="221" w:lineRule="auto"/>
              <w:ind w:left="4139"/>
              <w:rPr>
                <w:szCs w:val="21"/>
              </w:rPr>
            </w:pPr>
            <w:r>
              <w:rPr>
                <w:spacing w:val="-1"/>
                <w:szCs w:val="21"/>
              </w:rPr>
              <w:t>德邦化工</w:t>
            </w:r>
          </w:p>
        </w:tc>
      </w:tr>
      <w:tr w14:paraId="47A035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5253C95">
            <w:pPr>
              <w:spacing w:before="187" w:line="187" w:lineRule="auto"/>
              <w:ind w:left="190"/>
              <w:rPr>
                <w:rFonts w:eastAsia="Times New Roman"/>
                <w:szCs w:val="21"/>
              </w:rPr>
            </w:pPr>
            <w:r>
              <w:rPr>
                <w:rFonts w:eastAsia="Times New Roman"/>
                <w:szCs w:val="21"/>
              </w:rPr>
              <w:t>1</w:t>
            </w:r>
          </w:p>
        </w:tc>
        <w:tc>
          <w:tcPr>
            <w:tcW w:w="1020" w:type="dxa"/>
          </w:tcPr>
          <w:p w14:paraId="7C90304C">
            <w:pPr>
              <w:spacing w:before="154" w:line="221" w:lineRule="auto"/>
              <w:rPr>
                <w:szCs w:val="21"/>
              </w:rPr>
            </w:pPr>
            <w:r>
              <w:rPr>
                <w:spacing w:val="-9"/>
                <w:szCs w:val="21"/>
              </w:rPr>
              <w:t>甲</w:t>
            </w:r>
            <w:r>
              <w:rPr>
                <w:spacing w:val="-8"/>
                <w:szCs w:val="21"/>
              </w:rPr>
              <w:t>醇</w:t>
            </w:r>
          </w:p>
        </w:tc>
        <w:tc>
          <w:tcPr>
            <w:tcW w:w="1025" w:type="dxa"/>
          </w:tcPr>
          <w:p w14:paraId="3B740E02">
            <w:pPr>
              <w:spacing w:before="187" w:line="187" w:lineRule="auto"/>
              <w:ind w:left="278"/>
              <w:rPr>
                <w:rFonts w:eastAsia="Times New Roman"/>
                <w:szCs w:val="21"/>
              </w:rPr>
            </w:pPr>
            <w:r>
              <w:rPr>
                <w:rFonts w:eastAsia="Times New Roman"/>
                <w:spacing w:val="-5"/>
                <w:szCs w:val="21"/>
              </w:rPr>
              <w:t>1</w:t>
            </w:r>
            <w:r>
              <w:rPr>
                <w:rFonts w:eastAsia="Times New Roman"/>
                <w:spacing w:val="-4"/>
                <w:szCs w:val="21"/>
              </w:rPr>
              <w:t>022</w:t>
            </w:r>
          </w:p>
        </w:tc>
        <w:tc>
          <w:tcPr>
            <w:tcW w:w="3687" w:type="dxa"/>
          </w:tcPr>
          <w:p w14:paraId="7B5F04FF">
            <w:r>
              <w:t xml:space="preserve">易燃液体，类别2 </w:t>
            </w:r>
          </w:p>
          <w:p w14:paraId="1F7632A4">
            <w:r>
              <w:t>急性毒性-经口，类别3*</w:t>
            </w:r>
          </w:p>
          <w:p w14:paraId="178AB27B">
            <w:pPr>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经皮，类别</w:t>
            </w:r>
            <w:r>
              <w:rPr>
                <w:rFonts w:eastAsia="Times New Roman"/>
                <w:spacing w:val="-4"/>
                <w:szCs w:val="21"/>
              </w:rPr>
              <w:t>3*</w:t>
            </w:r>
          </w:p>
          <w:p w14:paraId="7CD1949A">
            <w:pPr>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吸入，类别</w:t>
            </w:r>
            <w:r>
              <w:rPr>
                <w:rFonts w:eastAsia="Times New Roman"/>
                <w:spacing w:val="-4"/>
                <w:szCs w:val="21"/>
              </w:rPr>
              <w:t>3*</w:t>
            </w:r>
          </w:p>
          <w:p w14:paraId="0FC9D4A7">
            <w:pPr>
              <w:pStyle w:val="12"/>
              <w:ind w:firstLine="0"/>
            </w:pPr>
            <w:r>
              <w:rPr>
                <w:spacing w:val="-2"/>
                <w:szCs w:val="21"/>
              </w:rPr>
              <w:t>特异性靶器官毒性</w:t>
            </w:r>
            <w:r>
              <w:rPr>
                <w:rFonts w:eastAsia="Times New Roman"/>
                <w:spacing w:val="-2"/>
                <w:szCs w:val="21"/>
              </w:rPr>
              <w:t>-</w:t>
            </w:r>
            <w:r>
              <w:rPr>
                <w:spacing w:val="-2"/>
                <w:szCs w:val="21"/>
              </w:rPr>
              <w:t>一次接触，类别</w:t>
            </w:r>
            <w:r>
              <w:rPr>
                <w:rFonts w:eastAsia="Times New Roman"/>
                <w:szCs w:val="21"/>
              </w:rPr>
              <w:t>1</w:t>
            </w:r>
          </w:p>
        </w:tc>
        <w:tc>
          <w:tcPr>
            <w:tcW w:w="1200" w:type="dxa"/>
          </w:tcPr>
          <w:p w14:paraId="713A5677">
            <w:pPr>
              <w:spacing w:before="187" w:line="187" w:lineRule="auto"/>
              <w:rPr>
                <w:rFonts w:eastAsia="Times New Roman"/>
                <w:szCs w:val="21"/>
              </w:rPr>
            </w:pPr>
            <w:r>
              <w:rPr>
                <w:rFonts w:eastAsia="Times New Roman"/>
                <w:spacing w:val="-2"/>
                <w:szCs w:val="21"/>
              </w:rPr>
              <w:t>66</w:t>
            </w:r>
            <w:r>
              <w:rPr>
                <w:rFonts w:eastAsia="Times New Roman"/>
                <w:spacing w:val="-1"/>
                <w:szCs w:val="21"/>
              </w:rPr>
              <w:t>6</w:t>
            </w:r>
          </w:p>
        </w:tc>
        <w:tc>
          <w:tcPr>
            <w:tcW w:w="975" w:type="dxa"/>
          </w:tcPr>
          <w:p w14:paraId="4D7CFD8D">
            <w:pPr>
              <w:spacing w:before="153" w:line="221" w:lineRule="auto"/>
              <w:rPr>
                <w:szCs w:val="21"/>
              </w:rPr>
            </w:pPr>
            <w:r>
              <w:rPr>
                <w:spacing w:val="-9"/>
                <w:szCs w:val="21"/>
              </w:rPr>
              <w:t>甲</w:t>
            </w:r>
            <w:r>
              <w:rPr>
                <w:spacing w:val="-8"/>
                <w:szCs w:val="21"/>
              </w:rPr>
              <w:t>类</w:t>
            </w:r>
          </w:p>
        </w:tc>
      </w:tr>
      <w:tr w14:paraId="4DF9FC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8B42D3C">
            <w:pPr>
              <w:spacing w:line="329" w:lineRule="auto"/>
            </w:pPr>
          </w:p>
          <w:p w14:paraId="71A37EF5">
            <w:pPr>
              <w:spacing w:line="330" w:lineRule="auto"/>
            </w:pPr>
          </w:p>
          <w:p w14:paraId="6B26CAC0">
            <w:pPr>
              <w:spacing w:before="60" w:line="187" w:lineRule="auto"/>
              <w:ind w:left="169"/>
              <w:rPr>
                <w:rFonts w:eastAsia="Times New Roman"/>
                <w:szCs w:val="21"/>
              </w:rPr>
            </w:pPr>
            <w:r>
              <w:rPr>
                <w:rFonts w:eastAsia="Times New Roman"/>
                <w:szCs w:val="21"/>
              </w:rPr>
              <w:t>2</w:t>
            </w:r>
          </w:p>
        </w:tc>
        <w:tc>
          <w:tcPr>
            <w:tcW w:w="1020" w:type="dxa"/>
          </w:tcPr>
          <w:p w14:paraId="052C509B">
            <w:pPr>
              <w:spacing w:line="309" w:lineRule="auto"/>
            </w:pPr>
          </w:p>
          <w:p w14:paraId="5E126569">
            <w:pPr>
              <w:spacing w:line="309" w:lineRule="auto"/>
            </w:pPr>
          </w:p>
          <w:p w14:paraId="64DEE610">
            <w:pPr>
              <w:spacing w:before="68" w:line="218" w:lineRule="auto"/>
              <w:rPr>
                <w:szCs w:val="21"/>
              </w:rPr>
            </w:pPr>
            <w:r>
              <w:rPr>
                <w:szCs w:val="21"/>
              </w:rPr>
              <w:t>氨</w:t>
            </w:r>
          </w:p>
        </w:tc>
        <w:tc>
          <w:tcPr>
            <w:tcW w:w="1025" w:type="dxa"/>
          </w:tcPr>
          <w:p w14:paraId="0B4B390C">
            <w:pPr>
              <w:spacing w:line="329" w:lineRule="auto"/>
            </w:pPr>
          </w:p>
          <w:p w14:paraId="0C773685">
            <w:pPr>
              <w:spacing w:line="330" w:lineRule="auto"/>
            </w:pPr>
          </w:p>
          <w:p w14:paraId="77C7D50D">
            <w:pPr>
              <w:spacing w:before="60" w:line="187" w:lineRule="auto"/>
              <w:ind w:left="413"/>
              <w:rPr>
                <w:rFonts w:eastAsia="Times New Roman"/>
                <w:szCs w:val="21"/>
              </w:rPr>
            </w:pPr>
            <w:r>
              <w:rPr>
                <w:rFonts w:eastAsia="Times New Roman"/>
                <w:szCs w:val="21"/>
              </w:rPr>
              <w:t>2</w:t>
            </w:r>
          </w:p>
        </w:tc>
        <w:tc>
          <w:tcPr>
            <w:tcW w:w="3687" w:type="dxa"/>
          </w:tcPr>
          <w:p w14:paraId="08D8E999">
            <w:pPr>
              <w:spacing w:before="30" w:line="238" w:lineRule="auto"/>
              <w:jc w:val="left"/>
              <w:rPr>
                <w:szCs w:val="21"/>
              </w:rPr>
            </w:pPr>
            <w:r>
              <w:rPr>
                <w:spacing w:val="-11"/>
                <w:szCs w:val="21"/>
              </w:rPr>
              <w:t>易</w:t>
            </w:r>
            <w:r>
              <w:rPr>
                <w:spacing w:val="-7"/>
                <w:szCs w:val="21"/>
              </w:rPr>
              <w:t>燃气体，类别</w:t>
            </w:r>
            <w:r>
              <w:rPr>
                <w:rFonts w:eastAsia="Times New Roman"/>
                <w:spacing w:val="-7"/>
                <w:szCs w:val="21"/>
              </w:rPr>
              <w:t>2</w:t>
            </w:r>
            <w:r>
              <w:rPr>
                <w:spacing w:val="-2"/>
                <w:szCs w:val="21"/>
              </w:rPr>
              <w:t>加</w:t>
            </w:r>
            <w:r>
              <w:rPr>
                <w:spacing w:val="-1"/>
                <w:szCs w:val="21"/>
              </w:rPr>
              <w:t>压气体</w:t>
            </w:r>
          </w:p>
          <w:p w14:paraId="05760D2A">
            <w:pPr>
              <w:spacing w:before="23" w:line="238" w:lineRule="auto"/>
              <w:jc w:val="left"/>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吸入，类别</w:t>
            </w:r>
            <w:r>
              <w:rPr>
                <w:rFonts w:eastAsia="Times New Roman"/>
                <w:spacing w:val="-4"/>
                <w:szCs w:val="21"/>
              </w:rPr>
              <w:t>3*</w:t>
            </w:r>
          </w:p>
          <w:p w14:paraId="751EA4BD">
            <w:pPr>
              <w:spacing w:line="222" w:lineRule="auto"/>
              <w:jc w:val="left"/>
              <w:rPr>
                <w:rFonts w:eastAsia="Times New Roman"/>
                <w:szCs w:val="21"/>
              </w:rPr>
            </w:pPr>
            <w:r>
              <w:rPr>
                <w:spacing w:val="-6"/>
                <w:szCs w:val="21"/>
              </w:rPr>
              <w:t>皮肤腐</w:t>
            </w:r>
            <w:r>
              <w:rPr>
                <w:spacing w:val="-3"/>
                <w:szCs w:val="21"/>
              </w:rPr>
              <w:t>蚀</w:t>
            </w:r>
            <w:r>
              <w:rPr>
                <w:rFonts w:eastAsia="Times New Roman"/>
                <w:spacing w:val="-3"/>
                <w:szCs w:val="21"/>
              </w:rPr>
              <w:t>/</w:t>
            </w:r>
            <w:r>
              <w:rPr>
                <w:spacing w:val="-3"/>
                <w:szCs w:val="21"/>
              </w:rPr>
              <w:t>刺激，类别</w:t>
            </w:r>
            <w:r>
              <w:rPr>
                <w:rFonts w:eastAsia="Times New Roman"/>
                <w:spacing w:val="-3"/>
                <w:szCs w:val="21"/>
              </w:rPr>
              <w:t>1B</w:t>
            </w:r>
          </w:p>
          <w:p w14:paraId="5506176B">
            <w:pPr>
              <w:spacing w:before="20" w:line="226" w:lineRule="auto"/>
              <w:ind w:right="325"/>
              <w:jc w:val="left"/>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眼刺激，类别</w:t>
            </w:r>
            <w:r>
              <w:rPr>
                <w:rFonts w:eastAsia="Times New Roman"/>
                <w:spacing w:val="-4"/>
                <w:szCs w:val="21"/>
              </w:rPr>
              <w:t>1</w:t>
            </w:r>
          </w:p>
          <w:p w14:paraId="0226CC1F">
            <w:pPr>
              <w:spacing w:before="20" w:line="226" w:lineRule="auto"/>
              <w:ind w:right="325"/>
              <w:jc w:val="left"/>
              <w:rPr>
                <w:rFonts w:eastAsia="Times New Roman"/>
                <w:szCs w:val="21"/>
              </w:rPr>
            </w:pPr>
            <w:r>
              <w:rPr>
                <w:spacing w:val="-6"/>
                <w:szCs w:val="21"/>
              </w:rPr>
              <w:t>危害水生</w:t>
            </w:r>
            <w:r>
              <w:rPr>
                <w:spacing w:val="-3"/>
                <w:szCs w:val="21"/>
              </w:rPr>
              <w:t>环境</w:t>
            </w:r>
            <w:r>
              <w:rPr>
                <w:rFonts w:eastAsia="Times New Roman"/>
                <w:spacing w:val="-3"/>
                <w:szCs w:val="21"/>
              </w:rPr>
              <w:t>-</w:t>
            </w:r>
            <w:r>
              <w:rPr>
                <w:spacing w:val="-3"/>
                <w:szCs w:val="21"/>
              </w:rPr>
              <w:t>急性危害，类别</w:t>
            </w:r>
            <w:r>
              <w:rPr>
                <w:rFonts w:eastAsia="Times New Roman"/>
                <w:spacing w:val="-3"/>
                <w:szCs w:val="21"/>
              </w:rPr>
              <w:t>1</w:t>
            </w:r>
          </w:p>
        </w:tc>
        <w:tc>
          <w:tcPr>
            <w:tcW w:w="1200" w:type="dxa"/>
          </w:tcPr>
          <w:p w14:paraId="5B1456EE">
            <w:pPr>
              <w:spacing w:before="69" w:line="388" w:lineRule="auto"/>
              <w:ind w:right="149"/>
              <w:rPr>
                <w:spacing w:val="-2"/>
                <w:szCs w:val="21"/>
              </w:rPr>
            </w:pPr>
            <w:r>
              <w:rPr>
                <w:rFonts w:eastAsia="Times New Roman"/>
                <w:spacing w:val="-2"/>
                <w:szCs w:val="21"/>
              </w:rPr>
              <w:t>59.2</w:t>
            </w:r>
            <w:r>
              <w:rPr>
                <w:spacing w:val="-2"/>
                <w:szCs w:val="21"/>
              </w:rPr>
              <w:t>(整改期)</w:t>
            </w:r>
          </w:p>
          <w:p w14:paraId="2574897F">
            <w:pPr>
              <w:spacing w:before="69" w:line="388" w:lineRule="auto"/>
              <w:ind w:right="149"/>
              <w:rPr>
                <w:szCs w:val="21"/>
              </w:rPr>
            </w:pPr>
            <w:r>
              <w:rPr>
                <w:rFonts w:eastAsia="Times New Roman"/>
                <w:spacing w:val="-6"/>
                <w:szCs w:val="21"/>
              </w:rPr>
              <w:t>1</w:t>
            </w:r>
            <w:r>
              <w:rPr>
                <w:rFonts w:eastAsia="Times New Roman"/>
                <w:spacing w:val="-3"/>
                <w:szCs w:val="21"/>
              </w:rPr>
              <w:t>4.2</w:t>
            </w:r>
            <w:r>
              <w:rPr>
                <w:spacing w:val="-3"/>
                <w:szCs w:val="21"/>
              </w:rPr>
              <w:t>(整改后)</w:t>
            </w:r>
          </w:p>
        </w:tc>
        <w:tc>
          <w:tcPr>
            <w:tcW w:w="975" w:type="dxa"/>
          </w:tcPr>
          <w:p w14:paraId="13EBCDAB">
            <w:pPr>
              <w:spacing w:line="308" w:lineRule="auto"/>
            </w:pPr>
          </w:p>
          <w:p w14:paraId="14AC9A45">
            <w:pPr>
              <w:spacing w:line="309" w:lineRule="auto"/>
            </w:pPr>
          </w:p>
          <w:p w14:paraId="100E8E16">
            <w:pPr>
              <w:spacing w:before="68" w:line="221" w:lineRule="auto"/>
              <w:ind w:left="344"/>
              <w:rPr>
                <w:szCs w:val="21"/>
              </w:rPr>
            </w:pPr>
            <w:r>
              <w:rPr>
                <w:spacing w:val="-7"/>
                <w:szCs w:val="21"/>
              </w:rPr>
              <w:t>乙</w:t>
            </w:r>
            <w:r>
              <w:rPr>
                <w:spacing w:val="-5"/>
                <w:szCs w:val="21"/>
              </w:rPr>
              <w:t>类</w:t>
            </w:r>
          </w:p>
        </w:tc>
      </w:tr>
      <w:tr w14:paraId="065071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306D26F">
            <w:pPr>
              <w:spacing w:before="184" w:line="187" w:lineRule="auto"/>
              <w:ind w:left="174"/>
              <w:rPr>
                <w:rFonts w:eastAsia="Times New Roman"/>
                <w:szCs w:val="21"/>
              </w:rPr>
            </w:pPr>
            <w:r>
              <w:rPr>
                <w:rFonts w:eastAsia="Times New Roman"/>
                <w:szCs w:val="21"/>
              </w:rPr>
              <w:t>3</w:t>
            </w:r>
          </w:p>
        </w:tc>
        <w:tc>
          <w:tcPr>
            <w:tcW w:w="1020" w:type="dxa"/>
          </w:tcPr>
          <w:p w14:paraId="3625270E">
            <w:pPr>
              <w:spacing w:before="150" w:line="219" w:lineRule="auto"/>
              <w:rPr>
                <w:szCs w:val="21"/>
              </w:rPr>
            </w:pPr>
            <w:r>
              <w:rPr>
                <w:spacing w:val="-2"/>
                <w:szCs w:val="21"/>
              </w:rPr>
              <w:t>氢</w:t>
            </w:r>
            <w:r>
              <w:rPr>
                <w:spacing w:val="-1"/>
                <w:szCs w:val="21"/>
              </w:rPr>
              <w:t>氧化钠</w:t>
            </w:r>
          </w:p>
        </w:tc>
        <w:tc>
          <w:tcPr>
            <w:tcW w:w="1025" w:type="dxa"/>
          </w:tcPr>
          <w:p w14:paraId="3D428EBF">
            <w:pPr>
              <w:spacing w:before="184" w:line="187" w:lineRule="auto"/>
              <w:ind w:left="278"/>
              <w:rPr>
                <w:rFonts w:eastAsia="Times New Roman"/>
                <w:szCs w:val="21"/>
              </w:rPr>
            </w:pPr>
            <w:r>
              <w:rPr>
                <w:rFonts w:eastAsia="Times New Roman"/>
                <w:spacing w:val="-5"/>
                <w:szCs w:val="21"/>
              </w:rPr>
              <w:t>1</w:t>
            </w:r>
            <w:r>
              <w:rPr>
                <w:rFonts w:eastAsia="Times New Roman"/>
                <w:spacing w:val="-4"/>
                <w:szCs w:val="21"/>
              </w:rPr>
              <w:t>669</w:t>
            </w:r>
          </w:p>
        </w:tc>
        <w:tc>
          <w:tcPr>
            <w:tcW w:w="3687" w:type="dxa"/>
          </w:tcPr>
          <w:p w14:paraId="63088F8B">
            <w:pPr>
              <w:spacing w:before="35" w:line="229" w:lineRule="auto"/>
              <w:ind w:right="541"/>
              <w:jc w:val="left"/>
              <w:rPr>
                <w:rFonts w:eastAsia="Times New Roman"/>
                <w:szCs w:val="21"/>
              </w:rPr>
            </w:pPr>
            <w:r>
              <w:rPr>
                <w:spacing w:val="-5"/>
                <w:szCs w:val="21"/>
              </w:rPr>
              <w:t>皮肤腐蚀</w:t>
            </w:r>
            <w:r>
              <w:rPr>
                <w:rFonts w:eastAsia="Times New Roman"/>
                <w:spacing w:val="-5"/>
                <w:szCs w:val="21"/>
              </w:rPr>
              <w:t>/</w:t>
            </w:r>
            <w:r>
              <w:rPr>
                <w:spacing w:val="-5"/>
                <w:szCs w:val="21"/>
              </w:rPr>
              <w:t>刺激</w:t>
            </w:r>
            <w:r>
              <w:rPr>
                <w:rFonts w:eastAsia="Times New Roman"/>
                <w:spacing w:val="-5"/>
                <w:szCs w:val="21"/>
              </w:rPr>
              <w:t>,</w:t>
            </w:r>
            <w:r>
              <w:rPr>
                <w:spacing w:val="-5"/>
                <w:szCs w:val="21"/>
              </w:rPr>
              <w:t>类别</w:t>
            </w:r>
            <w:r>
              <w:rPr>
                <w:rFonts w:eastAsia="Times New Roman"/>
                <w:spacing w:val="-5"/>
                <w:szCs w:val="21"/>
              </w:rPr>
              <w:t>1</w:t>
            </w:r>
            <w:r>
              <w:rPr>
                <w:rFonts w:eastAsia="Times New Roman"/>
                <w:spacing w:val="-3"/>
                <w:szCs w:val="21"/>
              </w:rPr>
              <w:t>A</w:t>
            </w:r>
          </w:p>
          <w:p w14:paraId="5C95A987">
            <w:pPr>
              <w:spacing w:before="35" w:line="229" w:lineRule="auto"/>
              <w:ind w:right="541"/>
              <w:jc w:val="left"/>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4"/>
                <w:szCs w:val="21"/>
              </w:rPr>
              <w:t>1</w:t>
            </w:r>
          </w:p>
        </w:tc>
        <w:tc>
          <w:tcPr>
            <w:tcW w:w="1200" w:type="dxa"/>
          </w:tcPr>
          <w:p w14:paraId="53A52504">
            <w:pPr>
              <w:spacing w:before="184" w:line="187" w:lineRule="auto"/>
              <w:rPr>
                <w:rFonts w:eastAsia="Times New Roman"/>
                <w:szCs w:val="21"/>
              </w:rPr>
            </w:pPr>
            <w:r>
              <w:rPr>
                <w:rFonts w:eastAsia="Times New Roman"/>
                <w:spacing w:val="-2"/>
                <w:szCs w:val="21"/>
              </w:rPr>
              <w:t>3</w:t>
            </w:r>
            <w:r>
              <w:rPr>
                <w:rFonts w:eastAsia="Times New Roman"/>
                <w:spacing w:val="-1"/>
                <w:szCs w:val="21"/>
              </w:rPr>
              <w:t>4.5</w:t>
            </w:r>
          </w:p>
        </w:tc>
        <w:tc>
          <w:tcPr>
            <w:tcW w:w="975" w:type="dxa"/>
          </w:tcPr>
          <w:p w14:paraId="035CD5C8">
            <w:pPr>
              <w:spacing w:before="150" w:line="221" w:lineRule="auto"/>
              <w:ind w:left="328"/>
              <w:rPr>
                <w:szCs w:val="21"/>
              </w:rPr>
            </w:pPr>
            <w:r>
              <w:rPr>
                <w:spacing w:val="-2"/>
                <w:szCs w:val="21"/>
              </w:rPr>
              <w:t>戊类</w:t>
            </w:r>
          </w:p>
        </w:tc>
      </w:tr>
      <w:tr w14:paraId="4CC4C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D5530F8">
            <w:pPr>
              <w:spacing w:line="263" w:lineRule="auto"/>
            </w:pPr>
          </w:p>
          <w:p w14:paraId="36B0F6C4">
            <w:pPr>
              <w:spacing w:line="264" w:lineRule="auto"/>
            </w:pPr>
          </w:p>
          <w:p w14:paraId="49EA7E9C">
            <w:pPr>
              <w:spacing w:before="61" w:line="187" w:lineRule="auto"/>
              <w:ind w:left="168"/>
              <w:rPr>
                <w:rFonts w:eastAsia="Times New Roman"/>
                <w:szCs w:val="21"/>
              </w:rPr>
            </w:pPr>
            <w:r>
              <w:rPr>
                <w:rFonts w:eastAsia="Times New Roman"/>
                <w:szCs w:val="21"/>
              </w:rPr>
              <w:t>4</w:t>
            </w:r>
          </w:p>
        </w:tc>
        <w:tc>
          <w:tcPr>
            <w:tcW w:w="1020" w:type="dxa"/>
          </w:tcPr>
          <w:p w14:paraId="3354CE62">
            <w:pPr>
              <w:spacing w:line="243" w:lineRule="auto"/>
            </w:pPr>
          </w:p>
          <w:p w14:paraId="6A05D329">
            <w:pPr>
              <w:spacing w:line="243" w:lineRule="auto"/>
            </w:pPr>
          </w:p>
          <w:p w14:paraId="3B5D9D43">
            <w:pPr>
              <w:spacing w:before="68" w:line="222" w:lineRule="auto"/>
              <w:rPr>
                <w:szCs w:val="21"/>
              </w:rPr>
            </w:pPr>
            <w:r>
              <w:rPr>
                <w:spacing w:val="-2"/>
                <w:szCs w:val="21"/>
              </w:rPr>
              <w:t>盐酸</w:t>
            </w:r>
          </w:p>
        </w:tc>
        <w:tc>
          <w:tcPr>
            <w:tcW w:w="1025" w:type="dxa"/>
          </w:tcPr>
          <w:p w14:paraId="6233D826">
            <w:pPr>
              <w:spacing w:line="263" w:lineRule="auto"/>
            </w:pPr>
          </w:p>
          <w:p w14:paraId="69F35FCD">
            <w:pPr>
              <w:spacing w:line="264" w:lineRule="auto"/>
            </w:pPr>
          </w:p>
          <w:p w14:paraId="29344A29">
            <w:pPr>
              <w:spacing w:before="61" w:line="187" w:lineRule="auto"/>
              <w:ind w:left="257"/>
              <w:rPr>
                <w:rFonts w:eastAsia="Times New Roman"/>
                <w:szCs w:val="21"/>
              </w:rPr>
            </w:pPr>
            <w:r>
              <w:rPr>
                <w:rFonts w:eastAsia="Times New Roman"/>
                <w:spacing w:val="-1"/>
                <w:szCs w:val="21"/>
              </w:rPr>
              <w:t>25</w:t>
            </w:r>
            <w:r>
              <w:rPr>
                <w:rFonts w:eastAsia="Times New Roman"/>
                <w:szCs w:val="21"/>
              </w:rPr>
              <w:t>07</w:t>
            </w:r>
          </w:p>
        </w:tc>
        <w:tc>
          <w:tcPr>
            <w:tcW w:w="3687" w:type="dxa"/>
          </w:tcPr>
          <w:p w14:paraId="3074DB18">
            <w:pPr>
              <w:spacing w:before="31" w:line="223" w:lineRule="auto"/>
              <w:jc w:val="left"/>
              <w:rPr>
                <w:rFonts w:eastAsia="Times New Roman"/>
                <w:szCs w:val="21"/>
              </w:rPr>
            </w:pPr>
            <w:r>
              <w:rPr>
                <w:spacing w:val="-6"/>
                <w:szCs w:val="21"/>
              </w:rPr>
              <w:t>皮肤腐</w:t>
            </w:r>
            <w:r>
              <w:rPr>
                <w:spacing w:val="-3"/>
                <w:szCs w:val="21"/>
              </w:rPr>
              <w:t>蚀</w:t>
            </w:r>
            <w:r>
              <w:rPr>
                <w:rFonts w:eastAsia="Times New Roman"/>
                <w:spacing w:val="-3"/>
                <w:szCs w:val="21"/>
              </w:rPr>
              <w:t>/</w:t>
            </w:r>
            <w:r>
              <w:rPr>
                <w:spacing w:val="-3"/>
                <w:szCs w:val="21"/>
              </w:rPr>
              <w:t xml:space="preserve">刺激，类别 </w:t>
            </w:r>
            <w:r>
              <w:rPr>
                <w:rFonts w:eastAsia="Times New Roman"/>
                <w:spacing w:val="-3"/>
                <w:szCs w:val="21"/>
              </w:rPr>
              <w:t>1B</w:t>
            </w:r>
          </w:p>
          <w:p w14:paraId="24F53A60">
            <w:pPr>
              <w:spacing w:before="19" w:line="223" w:lineRule="auto"/>
              <w:jc w:val="left"/>
              <w:rPr>
                <w:rFonts w:eastAsia="Times New Roman"/>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 xml:space="preserve">眼刺激，类别 </w:t>
            </w:r>
            <w:r>
              <w:rPr>
                <w:rFonts w:eastAsia="Times New Roman"/>
                <w:spacing w:val="-2"/>
                <w:szCs w:val="21"/>
              </w:rPr>
              <w:t>1</w:t>
            </w:r>
          </w:p>
          <w:p w14:paraId="6CC98620">
            <w:pPr>
              <w:spacing w:before="18" w:line="213" w:lineRule="auto"/>
              <w:ind w:left="124"/>
              <w:jc w:val="left"/>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一次接触，类别</w:t>
            </w:r>
            <w:r>
              <w:rPr>
                <w:rFonts w:eastAsia="Times New Roman"/>
                <w:spacing w:val="-2"/>
                <w:szCs w:val="21"/>
              </w:rPr>
              <w:t>3</w:t>
            </w:r>
          </w:p>
          <w:p w14:paraId="259C6D86">
            <w:pPr>
              <w:spacing w:before="30" w:line="221" w:lineRule="auto"/>
              <w:jc w:val="left"/>
              <w:rPr>
                <w:szCs w:val="21"/>
              </w:rPr>
            </w:pPr>
            <w:r>
              <w:rPr>
                <w:spacing w:val="12"/>
                <w:szCs w:val="21"/>
              </w:rPr>
              <w:t>(呼吸道刺激)</w:t>
            </w:r>
          </w:p>
          <w:p w14:paraId="71C39CBA">
            <w:pPr>
              <w:spacing w:before="20" w:line="213" w:lineRule="auto"/>
              <w:jc w:val="left"/>
              <w:rPr>
                <w:rFonts w:eastAsia="Times New Roman"/>
                <w:szCs w:val="21"/>
              </w:rPr>
            </w:pPr>
            <w:r>
              <w:rPr>
                <w:spacing w:val="-6"/>
                <w:szCs w:val="21"/>
              </w:rPr>
              <w:t>危害</w:t>
            </w:r>
            <w:r>
              <w:rPr>
                <w:spacing w:val="-5"/>
                <w:szCs w:val="21"/>
              </w:rPr>
              <w:t>水</w:t>
            </w:r>
            <w:r>
              <w:rPr>
                <w:spacing w:val="-3"/>
                <w:szCs w:val="21"/>
              </w:rPr>
              <w:t>生环境</w:t>
            </w:r>
            <w:r>
              <w:rPr>
                <w:rFonts w:eastAsia="Times New Roman"/>
                <w:spacing w:val="-3"/>
                <w:szCs w:val="21"/>
              </w:rPr>
              <w:t>-</w:t>
            </w:r>
            <w:r>
              <w:rPr>
                <w:spacing w:val="-3"/>
                <w:szCs w:val="21"/>
              </w:rPr>
              <w:t xml:space="preserve">急性危害，类别 </w:t>
            </w:r>
            <w:r>
              <w:rPr>
                <w:rFonts w:eastAsia="Times New Roman"/>
                <w:spacing w:val="-3"/>
                <w:szCs w:val="21"/>
              </w:rPr>
              <w:t>2</w:t>
            </w:r>
          </w:p>
        </w:tc>
        <w:tc>
          <w:tcPr>
            <w:tcW w:w="1200" w:type="dxa"/>
          </w:tcPr>
          <w:p w14:paraId="327D9829">
            <w:pPr>
              <w:spacing w:line="263" w:lineRule="auto"/>
            </w:pPr>
          </w:p>
          <w:p w14:paraId="6101D4F9">
            <w:pPr>
              <w:spacing w:line="264" w:lineRule="auto"/>
            </w:pPr>
          </w:p>
          <w:p w14:paraId="6BE6A4D7">
            <w:pPr>
              <w:spacing w:before="61" w:line="187" w:lineRule="auto"/>
              <w:rPr>
                <w:rFonts w:eastAsia="Times New Roman"/>
                <w:szCs w:val="21"/>
              </w:rPr>
            </w:pPr>
            <w:r>
              <w:rPr>
                <w:rFonts w:eastAsia="Times New Roman"/>
                <w:spacing w:val="-2"/>
                <w:szCs w:val="21"/>
              </w:rPr>
              <w:t>3</w:t>
            </w:r>
            <w:r>
              <w:rPr>
                <w:rFonts w:eastAsia="Times New Roman"/>
                <w:spacing w:val="-1"/>
                <w:szCs w:val="21"/>
              </w:rPr>
              <w:t>1.3</w:t>
            </w:r>
          </w:p>
        </w:tc>
        <w:tc>
          <w:tcPr>
            <w:tcW w:w="975" w:type="dxa"/>
          </w:tcPr>
          <w:p w14:paraId="0FF544F8">
            <w:pPr>
              <w:spacing w:line="242" w:lineRule="auto"/>
            </w:pPr>
          </w:p>
          <w:p w14:paraId="0E1A90A3">
            <w:pPr>
              <w:spacing w:line="243" w:lineRule="auto"/>
            </w:pPr>
          </w:p>
          <w:p w14:paraId="21B7218D">
            <w:pPr>
              <w:spacing w:before="69" w:line="221" w:lineRule="auto"/>
              <w:ind w:left="328"/>
              <w:rPr>
                <w:szCs w:val="21"/>
              </w:rPr>
            </w:pPr>
            <w:r>
              <w:rPr>
                <w:spacing w:val="-2"/>
                <w:szCs w:val="21"/>
              </w:rPr>
              <w:t>戊类</w:t>
            </w:r>
          </w:p>
        </w:tc>
      </w:tr>
      <w:tr w14:paraId="4941B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EAD982B">
            <w:pPr>
              <w:spacing w:before="186" w:line="184" w:lineRule="auto"/>
              <w:ind w:left="175"/>
              <w:rPr>
                <w:rFonts w:eastAsia="Times New Roman"/>
                <w:szCs w:val="21"/>
              </w:rPr>
            </w:pPr>
            <w:r>
              <w:rPr>
                <w:rFonts w:eastAsia="Times New Roman"/>
                <w:szCs w:val="21"/>
              </w:rPr>
              <w:t>5</w:t>
            </w:r>
          </w:p>
        </w:tc>
        <w:tc>
          <w:tcPr>
            <w:tcW w:w="1020" w:type="dxa"/>
          </w:tcPr>
          <w:p w14:paraId="15959D1D">
            <w:pPr>
              <w:spacing w:before="147" w:line="219" w:lineRule="auto"/>
              <w:rPr>
                <w:szCs w:val="21"/>
              </w:rPr>
            </w:pPr>
            <w:r>
              <w:rPr>
                <w:spacing w:val="-2"/>
                <w:szCs w:val="21"/>
              </w:rPr>
              <w:t>氢</w:t>
            </w:r>
            <w:r>
              <w:rPr>
                <w:spacing w:val="-1"/>
                <w:szCs w:val="21"/>
              </w:rPr>
              <w:t>气</w:t>
            </w:r>
          </w:p>
        </w:tc>
        <w:tc>
          <w:tcPr>
            <w:tcW w:w="1025" w:type="dxa"/>
          </w:tcPr>
          <w:p w14:paraId="0D1D56E5">
            <w:pPr>
              <w:spacing w:before="183" w:line="187" w:lineRule="auto"/>
              <w:ind w:left="278"/>
              <w:rPr>
                <w:rFonts w:eastAsia="Times New Roman"/>
                <w:szCs w:val="21"/>
              </w:rPr>
            </w:pPr>
            <w:r>
              <w:rPr>
                <w:rFonts w:eastAsia="Times New Roman"/>
                <w:spacing w:val="-5"/>
                <w:szCs w:val="21"/>
              </w:rPr>
              <w:t>1</w:t>
            </w:r>
            <w:r>
              <w:rPr>
                <w:rFonts w:eastAsia="Times New Roman"/>
                <w:spacing w:val="-4"/>
                <w:szCs w:val="21"/>
              </w:rPr>
              <w:t>648</w:t>
            </w:r>
          </w:p>
        </w:tc>
        <w:tc>
          <w:tcPr>
            <w:tcW w:w="3687" w:type="dxa"/>
          </w:tcPr>
          <w:p w14:paraId="6E0F242C">
            <w:pPr>
              <w:spacing w:before="32" w:line="238" w:lineRule="auto"/>
              <w:jc w:val="left"/>
              <w:rPr>
                <w:rFonts w:eastAsia="Times New Roman"/>
                <w:szCs w:val="21"/>
              </w:rPr>
            </w:pPr>
            <w:r>
              <w:rPr>
                <w:spacing w:val="-7"/>
                <w:szCs w:val="21"/>
              </w:rPr>
              <w:t>易</w:t>
            </w:r>
            <w:r>
              <w:rPr>
                <w:spacing w:val="-5"/>
                <w:szCs w:val="21"/>
              </w:rPr>
              <w:t>燃气体，类别</w:t>
            </w:r>
            <w:r>
              <w:rPr>
                <w:rFonts w:eastAsia="Times New Roman"/>
                <w:spacing w:val="-5"/>
                <w:szCs w:val="21"/>
              </w:rPr>
              <w:t>1</w:t>
            </w:r>
          </w:p>
          <w:p w14:paraId="0249F61B">
            <w:pPr>
              <w:spacing w:line="216" w:lineRule="auto"/>
              <w:jc w:val="left"/>
              <w:rPr>
                <w:szCs w:val="21"/>
              </w:rPr>
            </w:pPr>
            <w:r>
              <w:rPr>
                <w:spacing w:val="-2"/>
                <w:szCs w:val="21"/>
              </w:rPr>
              <w:t>加</w:t>
            </w:r>
            <w:r>
              <w:rPr>
                <w:spacing w:val="-1"/>
                <w:szCs w:val="21"/>
              </w:rPr>
              <w:t>压气体</w:t>
            </w:r>
          </w:p>
        </w:tc>
        <w:tc>
          <w:tcPr>
            <w:tcW w:w="1200" w:type="dxa"/>
          </w:tcPr>
          <w:p w14:paraId="28C93D67">
            <w:pPr>
              <w:spacing w:before="183" w:line="187" w:lineRule="auto"/>
              <w:rPr>
                <w:rFonts w:eastAsia="Times New Roman"/>
                <w:szCs w:val="21"/>
              </w:rPr>
            </w:pPr>
            <w:r>
              <w:rPr>
                <w:rFonts w:eastAsia="Times New Roman"/>
                <w:spacing w:val="-1"/>
                <w:szCs w:val="21"/>
              </w:rPr>
              <w:t>0.00</w:t>
            </w:r>
            <w:r>
              <w:rPr>
                <w:rFonts w:eastAsia="Times New Roman"/>
                <w:szCs w:val="21"/>
              </w:rPr>
              <w:t>6</w:t>
            </w:r>
          </w:p>
        </w:tc>
        <w:tc>
          <w:tcPr>
            <w:tcW w:w="975" w:type="dxa"/>
          </w:tcPr>
          <w:p w14:paraId="13722E71">
            <w:pPr>
              <w:spacing w:before="146" w:line="221" w:lineRule="auto"/>
              <w:ind w:left="354"/>
              <w:rPr>
                <w:szCs w:val="21"/>
              </w:rPr>
            </w:pPr>
            <w:r>
              <w:rPr>
                <w:spacing w:val="-9"/>
                <w:szCs w:val="21"/>
              </w:rPr>
              <w:t>甲</w:t>
            </w:r>
            <w:r>
              <w:rPr>
                <w:spacing w:val="-8"/>
                <w:szCs w:val="21"/>
              </w:rPr>
              <w:t>类</w:t>
            </w:r>
          </w:p>
        </w:tc>
      </w:tr>
      <w:tr w14:paraId="6A819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3F2E7FD">
            <w:pPr>
              <w:spacing w:line="263" w:lineRule="auto"/>
            </w:pPr>
          </w:p>
          <w:p w14:paraId="392E7F3F">
            <w:pPr>
              <w:spacing w:line="264" w:lineRule="auto"/>
            </w:pPr>
          </w:p>
          <w:p w14:paraId="1C9BAA8C">
            <w:pPr>
              <w:spacing w:before="61" w:line="187" w:lineRule="auto"/>
              <w:ind w:left="174"/>
              <w:rPr>
                <w:rFonts w:eastAsia="Times New Roman"/>
                <w:szCs w:val="21"/>
              </w:rPr>
            </w:pPr>
            <w:r>
              <w:rPr>
                <w:rFonts w:eastAsia="Times New Roman"/>
                <w:szCs w:val="21"/>
              </w:rPr>
              <w:t>6</w:t>
            </w:r>
          </w:p>
        </w:tc>
        <w:tc>
          <w:tcPr>
            <w:tcW w:w="1020" w:type="dxa"/>
          </w:tcPr>
          <w:p w14:paraId="1ED5557F">
            <w:pPr>
              <w:spacing w:line="243" w:lineRule="auto"/>
            </w:pPr>
          </w:p>
          <w:p w14:paraId="36B86AD2">
            <w:pPr>
              <w:spacing w:line="243" w:lineRule="auto"/>
            </w:pPr>
          </w:p>
          <w:p w14:paraId="53BB7AB5">
            <w:pPr>
              <w:spacing w:before="68" w:line="220" w:lineRule="auto"/>
              <w:rPr>
                <w:szCs w:val="21"/>
              </w:rPr>
            </w:pPr>
            <w:r>
              <w:rPr>
                <w:spacing w:val="-2"/>
                <w:szCs w:val="21"/>
              </w:rPr>
              <w:t>水煤</w:t>
            </w:r>
            <w:r>
              <w:rPr>
                <w:spacing w:val="-1"/>
                <w:szCs w:val="21"/>
              </w:rPr>
              <w:t>气</w:t>
            </w:r>
          </w:p>
        </w:tc>
        <w:tc>
          <w:tcPr>
            <w:tcW w:w="1025" w:type="dxa"/>
          </w:tcPr>
          <w:p w14:paraId="4060781A">
            <w:pPr>
              <w:spacing w:line="263" w:lineRule="auto"/>
            </w:pPr>
          </w:p>
          <w:p w14:paraId="43D095F2">
            <w:pPr>
              <w:spacing w:line="264" w:lineRule="auto"/>
            </w:pPr>
          </w:p>
          <w:p w14:paraId="69AE4EBF">
            <w:pPr>
              <w:spacing w:before="61" w:line="187" w:lineRule="auto"/>
              <w:ind w:left="257"/>
              <w:rPr>
                <w:rFonts w:eastAsia="Times New Roman"/>
                <w:szCs w:val="21"/>
              </w:rPr>
            </w:pPr>
            <w:r>
              <w:rPr>
                <w:rFonts w:eastAsia="Times New Roman"/>
                <w:spacing w:val="-1"/>
                <w:szCs w:val="21"/>
              </w:rPr>
              <w:t>25</w:t>
            </w:r>
            <w:r>
              <w:rPr>
                <w:rFonts w:eastAsia="Times New Roman"/>
                <w:szCs w:val="21"/>
              </w:rPr>
              <w:t>64</w:t>
            </w:r>
          </w:p>
        </w:tc>
        <w:tc>
          <w:tcPr>
            <w:tcW w:w="3687" w:type="dxa"/>
          </w:tcPr>
          <w:p w14:paraId="74E05F44">
            <w:pPr>
              <w:spacing w:before="32" w:line="213" w:lineRule="auto"/>
              <w:jc w:val="left"/>
              <w:rPr>
                <w:rFonts w:eastAsia="Times New Roman"/>
                <w:szCs w:val="21"/>
              </w:rPr>
            </w:pPr>
            <w:r>
              <w:rPr>
                <w:spacing w:val="-7"/>
                <w:szCs w:val="21"/>
              </w:rPr>
              <w:t>易</w:t>
            </w:r>
            <w:r>
              <w:rPr>
                <w:spacing w:val="-5"/>
                <w:szCs w:val="21"/>
              </w:rPr>
              <w:t xml:space="preserve">燃气体，类别 </w:t>
            </w:r>
            <w:r>
              <w:rPr>
                <w:rFonts w:eastAsia="Times New Roman"/>
                <w:spacing w:val="-5"/>
                <w:szCs w:val="21"/>
              </w:rPr>
              <w:t>1</w:t>
            </w:r>
          </w:p>
          <w:p w14:paraId="7A862AD0">
            <w:pPr>
              <w:spacing w:before="30" w:line="220" w:lineRule="auto"/>
              <w:jc w:val="left"/>
              <w:rPr>
                <w:szCs w:val="21"/>
              </w:rPr>
            </w:pPr>
            <w:r>
              <w:rPr>
                <w:spacing w:val="-2"/>
                <w:szCs w:val="21"/>
              </w:rPr>
              <w:t>加</w:t>
            </w:r>
            <w:r>
              <w:rPr>
                <w:spacing w:val="-1"/>
                <w:szCs w:val="21"/>
              </w:rPr>
              <w:t>压气体</w:t>
            </w:r>
          </w:p>
          <w:p w14:paraId="467DE0CF">
            <w:pPr>
              <w:spacing w:before="21" w:line="213" w:lineRule="auto"/>
              <w:jc w:val="left"/>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 xml:space="preserve">吸入，类别 </w:t>
            </w:r>
            <w:r>
              <w:rPr>
                <w:rFonts w:eastAsia="Times New Roman"/>
                <w:spacing w:val="-4"/>
                <w:szCs w:val="21"/>
              </w:rPr>
              <w:t>3*</w:t>
            </w:r>
          </w:p>
          <w:p w14:paraId="62BCCABA">
            <w:pPr>
              <w:spacing w:before="31" w:line="213" w:lineRule="auto"/>
              <w:jc w:val="left"/>
              <w:rPr>
                <w:rFonts w:eastAsia="Times New Roman"/>
                <w:szCs w:val="21"/>
              </w:rPr>
            </w:pPr>
            <w:r>
              <w:rPr>
                <w:spacing w:val="-8"/>
                <w:szCs w:val="21"/>
              </w:rPr>
              <w:t>生</w:t>
            </w:r>
            <w:r>
              <w:rPr>
                <w:spacing w:val="-5"/>
                <w:szCs w:val="21"/>
              </w:rPr>
              <w:t>殖</w:t>
            </w:r>
            <w:r>
              <w:rPr>
                <w:spacing w:val="-4"/>
                <w:szCs w:val="21"/>
              </w:rPr>
              <w:t>毒性，类别</w:t>
            </w:r>
            <w:r>
              <w:rPr>
                <w:rFonts w:eastAsia="Times New Roman"/>
                <w:spacing w:val="-4"/>
                <w:szCs w:val="21"/>
              </w:rPr>
              <w:t>1A</w:t>
            </w:r>
          </w:p>
          <w:p w14:paraId="54AB7D10">
            <w:pPr>
              <w:spacing w:before="28" w:line="213" w:lineRule="auto"/>
              <w:jc w:val="left"/>
              <w:rPr>
                <w:rFonts w:eastAsia="Times New Roman"/>
                <w:szCs w:val="21"/>
              </w:rPr>
            </w:pPr>
            <w:r>
              <w:rPr>
                <w:spacing w:val="-2"/>
                <w:szCs w:val="21"/>
              </w:rPr>
              <w:t>特异性靶器官毒性</w:t>
            </w:r>
            <w:r>
              <w:rPr>
                <w:rFonts w:eastAsia="Times New Roman"/>
                <w:spacing w:val="-2"/>
                <w:szCs w:val="21"/>
              </w:rPr>
              <w:t>-</w:t>
            </w:r>
            <w:r>
              <w:rPr>
                <w:spacing w:val="-2"/>
                <w:szCs w:val="21"/>
              </w:rPr>
              <w:t>反复接触，类别</w:t>
            </w:r>
            <w:r>
              <w:rPr>
                <w:rFonts w:eastAsia="Times New Roman"/>
                <w:szCs w:val="21"/>
              </w:rPr>
              <w:t>1</w:t>
            </w:r>
          </w:p>
        </w:tc>
        <w:tc>
          <w:tcPr>
            <w:tcW w:w="1200" w:type="dxa"/>
          </w:tcPr>
          <w:p w14:paraId="7E04304D">
            <w:pPr>
              <w:spacing w:line="263" w:lineRule="auto"/>
            </w:pPr>
          </w:p>
          <w:p w14:paraId="33D37359">
            <w:pPr>
              <w:spacing w:line="264" w:lineRule="auto"/>
            </w:pPr>
          </w:p>
          <w:p w14:paraId="66CE4F1B">
            <w:pPr>
              <w:spacing w:before="61" w:line="187" w:lineRule="auto"/>
              <w:rPr>
                <w:rFonts w:eastAsia="Times New Roman"/>
                <w:szCs w:val="21"/>
              </w:rPr>
            </w:pPr>
            <w:r>
              <w:rPr>
                <w:rFonts w:eastAsia="Times New Roman"/>
                <w:szCs w:val="21"/>
              </w:rPr>
              <w:t>6</w:t>
            </w:r>
          </w:p>
        </w:tc>
        <w:tc>
          <w:tcPr>
            <w:tcW w:w="975" w:type="dxa"/>
          </w:tcPr>
          <w:p w14:paraId="587DB4B4">
            <w:pPr>
              <w:spacing w:line="243" w:lineRule="auto"/>
            </w:pPr>
          </w:p>
          <w:p w14:paraId="0C755D85">
            <w:pPr>
              <w:spacing w:line="243" w:lineRule="auto"/>
            </w:pPr>
          </w:p>
          <w:p w14:paraId="6DA16B82">
            <w:pPr>
              <w:spacing w:before="68" w:line="221" w:lineRule="auto"/>
              <w:ind w:left="354"/>
              <w:rPr>
                <w:szCs w:val="21"/>
              </w:rPr>
            </w:pPr>
            <w:r>
              <w:rPr>
                <w:spacing w:val="-9"/>
                <w:szCs w:val="21"/>
              </w:rPr>
              <w:t>甲</w:t>
            </w:r>
            <w:r>
              <w:rPr>
                <w:spacing w:val="-8"/>
                <w:szCs w:val="21"/>
              </w:rPr>
              <w:t>类</w:t>
            </w:r>
          </w:p>
        </w:tc>
      </w:tr>
      <w:tr w14:paraId="7A781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13EED51">
            <w:pPr>
              <w:spacing w:before="174" w:line="184" w:lineRule="auto"/>
              <w:ind w:left="173"/>
              <w:rPr>
                <w:rFonts w:eastAsia="Times New Roman"/>
                <w:szCs w:val="21"/>
              </w:rPr>
            </w:pPr>
            <w:r>
              <w:rPr>
                <w:rFonts w:eastAsia="Times New Roman"/>
                <w:szCs w:val="21"/>
              </w:rPr>
              <w:t>7</w:t>
            </w:r>
          </w:p>
        </w:tc>
        <w:tc>
          <w:tcPr>
            <w:tcW w:w="1020" w:type="dxa"/>
          </w:tcPr>
          <w:p w14:paraId="50CE401E">
            <w:pPr>
              <w:spacing w:before="135" w:line="220" w:lineRule="auto"/>
              <w:rPr>
                <w:szCs w:val="21"/>
              </w:rPr>
            </w:pPr>
            <w:r>
              <w:rPr>
                <w:spacing w:val="-2"/>
                <w:szCs w:val="21"/>
              </w:rPr>
              <w:t>硫</w:t>
            </w:r>
            <w:r>
              <w:rPr>
                <w:spacing w:val="-1"/>
                <w:szCs w:val="21"/>
              </w:rPr>
              <w:t>磺</w:t>
            </w:r>
          </w:p>
        </w:tc>
        <w:tc>
          <w:tcPr>
            <w:tcW w:w="1025" w:type="dxa"/>
          </w:tcPr>
          <w:p w14:paraId="2ED10BE0">
            <w:pPr>
              <w:spacing w:before="170" w:line="184" w:lineRule="auto"/>
              <w:ind w:left="277"/>
              <w:rPr>
                <w:szCs w:val="21"/>
              </w:rPr>
            </w:pPr>
            <w:r>
              <w:rPr>
                <w:spacing w:val="-5"/>
                <w:szCs w:val="21"/>
              </w:rPr>
              <w:t>1</w:t>
            </w:r>
            <w:r>
              <w:rPr>
                <w:spacing w:val="-4"/>
                <w:szCs w:val="21"/>
              </w:rPr>
              <w:t>290</w:t>
            </w:r>
          </w:p>
        </w:tc>
        <w:tc>
          <w:tcPr>
            <w:tcW w:w="3687" w:type="dxa"/>
          </w:tcPr>
          <w:p w14:paraId="45A18437">
            <w:pPr>
              <w:spacing w:before="157" w:line="219" w:lineRule="auto"/>
              <w:jc w:val="left"/>
              <w:rPr>
                <w:szCs w:val="21"/>
              </w:rPr>
            </w:pPr>
            <w:r>
              <w:rPr>
                <w:spacing w:val="-7"/>
                <w:szCs w:val="21"/>
              </w:rPr>
              <w:t>易燃固体,类别2</w:t>
            </w:r>
          </w:p>
        </w:tc>
        <w:tc>
          <w:tcPr>
            <w:tcW w:w="1200" w:type="dxa"/>
          </w:tcPr>
          <w:p w14:paraId="68B4B42C">
            <w:pPr>
              <w:spacing w:before="171" w:line="187" w:lineRule="auto"/>
              <w:rPr>
                <w:rFonts w:eastAsia="Times New Roman"/>
                <w:szCs w:val="21"/>
              </w:rPr>
            </w:pPr>
            <w:r>
              <w:rPr>
                <w:rFonts w:eastAsia="Times New Roman"/>
                <w:spacing w:val="-1"/>
                <w:szCs w:val="21"/>
              </w:rPr>
              <w:t>20</w:t>
            </w:r>
            <w:r>
              <w:rPr>
                <w:rFonts w:eastAsia="Times New Roman"/>
                <w:szCs w:val="21"/>
              </w:rPr>
              <w:t>0</w:t>
            </w:r>
          </w:p>
        </w:tc>
        <w:tc>
          <w:tcPr>
            <w:tcW w:w="975" w:type="dxa"/>
          </w:tcPr>
          <w:p w14:paraId="298597A6">
            <w:pPr>
              <w:spacing w:before="135" w:line="221" w:lineRule="auto"/>
              <w:ind w:left="344"/>
              <w:rPr>
                <w:szCs w:val="21"/>
              </w:rPr>
            </w:pPr>
            <w:r>
              <w:rPr>
                <w:spacing w:val="-7"/>
                <w:szCs w:val="21"/>
              </w:rPr>
              <w:t>乙</w:t>
            </w:r>
            <w:r>
              <w:rPr>
                <w:spacing w:val="-5"/>
                <w:szCs w:val="21"/>
              </w:rPr>
              <w:t>类</w:t>
            </w:r>
          </w:p>
        </w:tc>
      </w:tr>
      <w:tr w14:paraId="4D72B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66828EAC">
            <w:pPr>
              <w:spacing w:before="153" w:line="221" w:lineRule="auto"/>
              <w:ind w:left="354"/>
              <w:jc w:val="center"/>
              <w:rPr>
                <w:spacing w:val="-9"/>
                <w:szCs w:val="21"/>
              </w:rPr>
            </w:pPr>
            <w:r>
              <w:rPr>
                <w:spacing w:val="-1"/>
                <w:szCs w:val="21"/>
              </w:rPr>
              <w:t>恒</w:t>
            </w:r>
            <w:r>
              <w:rPr>
                <w:szCs w:val="21"/>
              </w:rPr>
              <w:t>诚制药</w:t>
            </w:r>
          </w:p>
        </w:tc>
      </w:tr>
      <w:tr w14:paraId="047C1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D7AC805">
            <w:pPr>
              <w:spacing w:before="169" w:line="187" w:lineRule="auto"/>
              <w:ind w:left="178"/>
              <w:rPr>
                <w:rFonts w:eastAsia="Times New Roman"/>
                <w:szCs w:val="21"/>
              </w:rPr>
            </w:pPr>
            <w:r>
              <w:rPr>
                <w:rFonts w:eastAsia="Times New Roman"/>
                <w:szCs w:val="21"/>
              </w:rPr>
              <w:t>8</w:t>
            </w:r>
          </w:p>
        </w:tc>
        <w:tc>
          <w:tcPr>
            <w:tcW w:w="1020" w:type="dxa"/>
          </w:tcPr>
          <w:p w14:paraId="24FF8F0C">
            <w:pPr>
              <w:spacing w:before="133" w:line="221" w:lineRule="auto"/>
              <w:rPr>
                <w:szCs w:val="21"/>
              </w:rPr>
            </w:pPr>
            <w:r>
              <w:rPr>
                <w:spacing w:val="-7"/>
                <w:szCs w:val="21"/>
              </w:rPr>
              <w:t>乙</w:t>
            </w:r>
            <w:r>
              <w:rPr>
                <w:spacing w:val="-5"/>
                <w:szCs w:val="21"/>
              </w:rPr>
              <w:t>醇</w:t>
            </w:r>
          </w:p>
        </w:tc>
        <w:tc>
          <w:tcPr>
            <w:tcW w:w="1025" w:type="dxa"/>
          </w:tcPr>
          <w:p w14:paraId="41A20E56">
            <w:pPr>
              <w:spacing w:before="169" w:line="183" w:lineRule="auto"/>
              <w:ind w:left="264"/>
              <w:rPr>
                <w:szCs w:val="21"/>
              </w:rPr>
            </w:pPr>
            <w:r>
              <w:rPr>
                <w:spacing w:val="-2"/>
                <w:szCs w:val="21"/>
              </w:rPr>
              <w:t>256</w:t>
            </w:r>
            <w:r>
              <w:rPr>
                <w:spacing w:val="-1"/>
                <w:szCs w:val="21"/>
              </w:rPr>
              <w:t>8</w:t>
            </w:r>
          </w:p>
        </w:tc>
        <w:tc>
          <w:tcPr>
            <w:tcW w:w="3687" w:type="dxa"/>
          </w:tcPr>
          <w:p w14:paraId="6DF577D8">
            <w:pPr>
              <w:spacing w:before="155" w:line="219" w:lineRule="auto"/>
              <w:ind w:left="988"/>
              <w:rPr>
                <w:szCs w:val="21"/>
              </w:rPr>
            </w:pPr>
            <w:r>
              <w:rPr>
                <w:spacing w:val="-7"/>
                <w:szCs w:val="21"/>
              </w:rPr>
              <w:t>易燃液体,类别2</w:t>
            </w:r>
          </w:p>
        </w:tc>
        <w:tc>
          <w:tcPr>
            <w:tcW w:w="1200" w:type="dxa"/>
          </w:tcPr>
          <w:p w14:paraId="1BD29FAF">
            <w:pPr>
              <w:spacing w:before="169" w:line="187" w:lineRule="auto"/>
              <w:rPr>
                <w:rFonts w:eastAsia="Times New Roman"/>
                <w:szCs w:val="21"/>
              </w:rPr>
            </w:pPr>
            <w:r>
              <w:rPr>
                <w:rFonts w:eastAsia="Times New Roman"/>
                <w:spacing w:val="-6"/>
                <w:szCs w:val="21"/>
              </w:rPr>
              <w:t>1</w:t>
            </w:r>
            <w:r>
              <w:rPr>
                <w:rFonts w:eastAsia="Times New Roman"/>
                <w:spacing w:val="-4"/>
                <w:szCs w:val="21"/>
              </w:rPr>
              <w:t>.7</w:t>
            </w:r>
          </w:p>
        </w:tc>
        <w:tc>
          <w:tcPr>
            <w:tcW w:w="975" w:type="dxa"/>
          </w:tcPr>
          <w:p w14:paraId="4708ECB0">
            <w:pPr>
              <w:spacing w:before="132" w:line="221" w:lineRule="auto"/>
              <w:ind w:left="354"/>
              <w:rPr>
                <w:szCs w:val="21"/>
              </w:rPr>
            </w:pPr>
            <w:r>
              <w:rPr>
                <w:spacing w:val="-9"/>
                <w:szCs w:val="21"/>
              </w:rPr>
              <w:t>甲</w:t>
            </w:r>
            <w:r>
              <w:rPr>
                <w:spacing w:val="-8"/>
                <w:szCs w:val="21"/>
              </w:rPr>
              <w:t>类</w:t>
            </w:r>
          </w:p>
        </w:tc>
      </w:tr>
      <w:tr w14:paraId="3D5AD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10CC0FCB">
            <w:pPr>
              <w:spacing w:before="153" w:line="221" w:lineRule="auto"/>
              <w:ind w:left="354"/>
              <w:jc w:val="center"/>
              <w:rPr>
                <w:spacing w:val="-9"/>
                <w:szCs w:val="21"/>
              </w:rPr>
            </w:pPr>
            <w:r>
              <w:rPr>
                <w:spacing w:val="-1"/>
                <w:szCs w:val="21"/>
              </w:rPr>
              <w:t>水卫士</w:t>
            </w:r>
            <w:r>
              <w:rPr>
                <w:szCs w:val="21"/>
              </w:rPr>
              <w:t>环保科技</w:t>
            </w:r>
          </w:p>
        </w:tc>
      </w:tr>
      <w:tr w14:paraId="7E3ED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16BCE3D">
            <w:pPr>
              <w:spacing w:before="186" w:line="187" w:lineRule="auto"/>
              <w:ind w:left="173"/>
              <w:rPr>
                <w:rFonts w:eastAsia="Times New Roman"/>
                <w:szCs w:val="21"/>
              </w:rPr>
            </w:pPr>
            <w:r>
              <w:rPr>
                <w:rFonts w:eastAsia="Times New Roman"/>
                <w:szCs w:val="21"/>
              </w:rPr>
              <w:t>9</w:t>
            </w:r>
          </w:p>
        </w:tc>
        <w:tc>
          <w:tcPr>
            <w:tcW w:w="1020" w:type="dxa"/>
          </w:tcPr>
          <w:p w14:paraId="053DFD1D">
            <w:pPr>
              <w:spacing w:before="152" w:line="219" w:lineRule="auto"/>
              <w:rPr>
                <w:szCs w:val="21"/>
              </w:rPr>
            </w:pPr>
            <w:r>
              <w:rPr>
                <w:spacing w:val="-2"/>
                <w:szCs w:val="21"/>
              </w:rPr>
              <w:t>氢</w:t>
            </w:r>
            <w:r>
              <w:rPr>
                <w:spacing w:val="-1"/>
                <w:szCs w:val="21"/>
              </w:rPr>
              <w:t>氧化钠</w:t>
            </w:r>
          </w:p>
        </w:tc>
        <w:tc>
          <w:tcPr>
            <w:tcW w:w="1025" w:type="dxa"/>
          </w:tcPr>
          <w:p w14:paraId="3027F1EE">
            <w:pPr>
              <w:spacing w:before="186" w:line="187" w:lineRule="auto"/>
              <w:ind w:left="278"/>
              <w:rPr>
                <w:rFonts w:eastAsia="Times New Roman"/>
                <w:szCs w:val="21"/>
              </w:rPr>
            </w:pPr>
            <w:r>
              <w:rPr>
                <w:rFonts w:eastAsia="Times New Roman"/>
                <w:spacing w:val="-5"/>
                <w:szCs w:val="21"/>
              </w:rPr>
              <w:t>1</w:t>
            </w:r>
            <w:r>
              <w:rPr>
                <w:rFonts w:eastAsia="Times New Roman"/>
                <w:spacing w:val="-4"/>
                <w:szCs w:val="21"/>
              </w:rPr>
              <w:t>669</w:t>
            </w:r>
          </w:p>
        </w:tc>
        <w:tc>
          <w:tcPr>
            <w:tcW w:w="3687" w:type="dxa"/>
          </w:tcPr>
          <w:p w14:paraId="24FEFDB9">
            <w:pPr>
              <w:spacing w:before="38" w:line="229" w:lineRule="auto"/>
              <w:ind w:right="541"/>
              <w:rPr>
                <w:rFonts w:eastAsia="Times New Roman"/>
                <w:szCs w:val="21"/>
              </w:rPr>
            </w:pPr>
            <w:r>
              <w:rPr>
                <w:spacing w:val="-5"/>
                <w:szCs w:val="21"/>
              </w:rPr>
              <w:t>皮肤腐蚀</w:t>
            </w:r>
            <w:r>
              <w:rPr>
                <w:rFonts w:eastAsia="Times New Roman"/>
                <w:spacing w:val="-5"/>
                <w:szCs w:val="21"/>
              </w:rPr>
              <w:t>/</w:t>
            </w:r>
            <w:r>
              <w:rPr>
                <w:spacing w:val="-5"/>
                <w:szCs w:val="21"/>
              </w:rPr>
              <w:t>刺激，类别</w:t>
            </w:r>
            <w:r>
              <w:rPr>
                <w:rFonts w:eastAsia="Times New Roman"/>
                <w:spacing w:val="-5"/>
                <w:szCs w:val="21"/>
              </w:rPr>
              <w:t>1</w:t>
            </w:r>
            <w:r>
              <w:rPr>
                <w:rFonts w:eastAsia="Times New Roman"/>
                <w:spacing w:val="-3"/>
                <w:szCs w:val="21"/>
              </w:rPr>
              <w:t>A</w:t>
            </w:r>
          </w:p>
          <w:p w14:paraId="0B33FE89">
            <w:pPr>
              <w:spacing w:before="38" w:line="229" w:lineRule="auto"/>
              <w:ind w:right="541"/>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眼刺激，类别</w:t>
            </w:r>
            <w:r>
              <w:rPr>
                <w:rFonts w:eastAsia="Times New Roman"/>
                <w:spacing w:val="-4"/>
                <w:szCs w:val="21"/>
              </w:rPr>
              <w:t>1</w:t>
            </w:r>
          </w:p>
        </w:tc>
        <w:tc>
          <w:tcPr>
            <w:tcW w:w="1200" w:type="dxa"/>
          </w:tcPr>
          <w:p w14:paraId="092269FE">
            <w:pPr>
              <w:spacing w:before="186" w:line="187" w:lineRule="auto"/>
              <w:rPr>
                <w:rFonts w:eastAsia="Times New Roman"/>
                <w:szCs w:val="21"/>
              </w:rPr>
            </w:pPr>
            <w:r>
              <w:rPr>
                <w:rFonts w:eastAsia="Times New Roman"/>
                <w:spacing w:val="-2"/>
                <w:szCs w:val="21"/>
              </w:rPr>
              <w:t>0</w:t>
            </w:r>
            <w:r>
              <w:rPr>
                <w:rFonts w:eastAsia="Times New Roman"/>
                <w:spacing w:val="-1"/>
                <w:szCs w:val="21"/>
              </w:rPr>
              <w:t>.5</w:t>
            </w:r>
          </w:p>
        </w:tc>
        <w:tc>
          <w:tcPr>
            <w:tcW w:w="975" w:type="dxa"/>
          </w:tcPr>
          <w:p w14:paraId="5887D028">
            <w:pPr>
              <w:spacing w:before="152" w:line="221" w:lineRule="auto"/>
              <w:ind w:left="328"/>
              <w:rPr>
                <w:szCs w:val="21"/>
              </w:rPr>
            </w:pPr>
            <w:r>
              <w:rPr>
                <w:spacing w:val="-2"/>
                <w:szCs w:val="21"/>
              </w:rPr>
              <w:t>戊类</w:t>
            </w:r>
          </w:p>
        </w:tc>
      </w:tr>
      <w:tr w14:paraId="5A2B6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7E842BDA">
            <w:pPr>
              <w:spacing w:before="153" w:line="221" w:lineRule="auto"/>
              <w:ind w:left="354"/>
              <w:jc w:val="center"/>
              <w:rPr>
                <w:spacing w:val="-9"/>
                <w:szCs w:val="21"/>
              </w:rPr>
            </w:pPr>
            <w:r>
              <w:rPr>
                <w:spacing w:val="-7"/>
                <w:szCs w:val="21"/>
              </w:rPr>
              <w:t>国</w:t>
            </w:r>
            <w:r>
              <w:rPr>
                <w:spacing w:val="-4"/>
                <w:szCs w:val="21"/>
              </w:rPr>
              <w:t>瑞药业</w:t>
            </w:r>
          </w:p>
        </w:tc>
      </w:tr>
      <w:tr w14:paraId="6EA81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D4E3C14">
            <w:pPr>
              <w:spacing w:line="264" w:lineRule="auto"/>
            </w:pPr>
          </w:p>
          <w:p w14:paraId="4B0396C1">
            <w:pPr>
              <w:spacing w:line="264" w:lineRule="auto"/>
            </w:pPr>
          </w:p>
          <w:p w14:paraId="68D637E6">
            <w:pPr>
              <w:spacing w:before="61" w:line="187" w:lineRule="auto"/>
              <w:ind w:left="190"/>
              <w:rPr>
                <w:rFonts w:eastAsia="Times New Roman"/>
                <w:szCs w:val="21"/>
              </w:rPr>
            </w:pPr>
            <w:r>
              <w:rPr>
                <w:rFonts w:eastAsia="Times New Roman"/>
                <w:spacing w:val="-6"/>
                <w:szCs w:val="21"/>
              </w:rPr>
              <w:t>10</w:t>
            </w:r>
          </w:p>
        </w:tc>
        <w:tc>
          <w:tcPr>
            <w:tcW w:w="1020" w:type="dxa"/>
          </w:tcPr>
          <w:p w14:paraId="2630AEF7">
            <w:pPr>
              <w:spacing w:line="243" w:lineRule="auto"/>
            </w:pPr>
          </w:p>
          <w:p w14:paraId="6CF79398">
            <w:pPr>
              <w:spacing w:line="244" w:lineRule="auto"/>
            </w:pPr>
          </w:p>
          <w:p w14:paraId="25DE6EA9">
            <w:pPr>
              <w:spacing w:before="68" w:line="219" w:lineRule="auto"/>
              <w:rPr>
                <w:szCs w:val="21"/>
              </w:rPr>
            </w:pPr>
            <w:r>
              <w:rPr>
                <w:spacing w:val="-7"/>
                <w:szCs w:val="21"/>
              </w:rPr>
              <w:t>四</w:t>
            </w:r>
            <w:r>
              <w:rPr>
                <w:spacing w:val="-6"/>
                <w:szCs w:val="21"/>
              </w:rPr>
              <w:t>氢呋喃</w:t>
            </w:r>
          </w:p>
        </w:tc>
        <w:tc>
          <w:tcPr>
            <w:tcW w:w="1025" w:type="dxa"/>
          </w:tcPr>
          <w:p w14:paraId="3AC2336D">
            <w:pPr>
              <w:spacing w:line="260" w:lineRule="auto"/>
            </w:pPr>
          </w:p>
          <w:p w14:paraId="55C80C9C">
            <w:pPr>
              <w:spacing w:line="261" w:lineRule="auto"/>
            </w:pPr>
          </w:p>
          <w:p w14:paraId="31B0F520">
            <w:pPr>
              <w:spacing w:before="69" w:line="184" w:lineRule="auto"/>
              <w:ind w:left="264"/>
              <w:rPr>
                <w:szCs w:val="21"/>
              </w:rPr>
            </w:pPr>
            <w:r>
              <w:rPr>
                <w:spacing w:val="-2"/>
                <w:szCs w:val="21"/>
              </w:rPr>
              <w:t>207</w:t>
            </w:r>
            <w:r>
              <w:rPr>
                <w:spacing w:val="-1"/>
                <w:szCs w:val="21"/>
              </w:rPr>
              <w:t>1</w:t>
            </w:r>
          </w:p>
        </w:tc>
        <w:tc>
          <w:tcPr>
            <w:tcW w:w="3687" w:type="dxa"/>
          </w:tcPr>
          <w:p w14:paraId="4AC715E9">
            <w:pPr>
              <w:spacing w:before="33" w:line="219" w:lineRule="auto"/>
              <w:rPr>
                <w:szCs w:val="21"/>
              </w:rPr>
            </w:pPr>
            <w:r>
              <w:rPr>
                <w:spacing w:val="-7"/>
                <w:szCs w:val="21"/>
              </w:rPr>
              <w:t>易燃液体,类别2</w:t>
            </w:r>
          </w:p>
          <w:p w14:paraId="42855B2D">
            <w:pPr>
              <w:spacing w:before="23" w:line="218" w:lineRule="auto"/>
              <w:rPr>
                <w:szCs w:val="21"/>
              </w:rPr>
            </w:pPr>
            <w:r>
              <w:rPr>
                <w:spacing w:val="-6"/>
                <w:szCs w:val="21"/>
              </w:rPr>
              <w:t>严重眼</w:t>
            </w:r>
            <w:r>
              <w:rPr>
                <w:spacing w:val="-4"/>
                <w:szCs w:val="21"/>
              </w:rPr>
              <w:t>损</w:t>
            </w:r>
            <w:r>
              <w:rPr>
                <w:spacing w:val="-3"/>
                <w:szCs w:val="21"/>
              </w:rPr>
              <w:t>伤/眼刺激，类别2</w:t>
            </w:r>
          </w:p>
          <w:p w14:paraId="1E2C4764">
            <w:pPr>
              <w:spacing w:before="23" w:line="218" w:lineRule="auto"/>
              <w:rPr>
                <w:szCs w:val="21"/>
              </w:rPr>
            </w:pPr>
            <w:r>
              <w:rPr>
                <w:spacing w:val="-6"/>
                <w:szCs w:val="21"/>
              </w:rPr>
              <w:t>致癌性，类别2</w:t>
            </w:r>
          </w:p>
          <w:p w14:paraId="21D61C08">
            <w:pPr>
              <w:spacing w:before="25" w:line="226" w:lineRule="auto"/>
              <w:ind w:right="150"/>
              <w:rPr>
                <w:szCs w:val="21"/>
              </w:rPr>
            </w:pPr>
            <w:r>
              <w:rPr>
                <w:spacing w:val="-1"/>
                <w:szCs w:val="21"/>
              </w:rPr>
              <w:t>特异性靶器官毒</w:t>
            </w:r>
            <w:r>
              <w:rPr>
                <w:szCs w:val="21"/>
              </w:rPr>
              <w:t>性-一次接触，类别</w:t>
            </w:r>
            <w:r>
              <w:rPr>
                <w:spacing w:val="-2"/>
                <w:szCs w:val="21"/>
              </w:rPr>
              <w:t>3</w:t>
            </w:r>
            <w:r>
              <w:rPr>
                <w:spacing w:val="-1"/>
                <w:szCs w:val="21"/>
              </w:rPr>
              <w:t>(呼吸道刺激)</w:t>
            </w:r>
          </w:p>
        </w:tc>
        <w:tc>
          <w:tcPr>
            <w:tcW w:w="1200" w:type="dxa"/>
          </w:tcPr>
          <w:p w14:paraId="01752273">
            <w:pPr>
              <w:spacing w:line="264" w:lineRule="auto"/>
            </w:pPr>
          </w:p>
          <w:p w14:paraId="4F1D8361">
            <w:pPr>
              <w:spacing w:line="264" w:lineRule="auto"/>
            </w:pPr>
          </w:p>
          <w:p w14:paraId="12C2B5FF">
            <w:pPr>
              <w:spacing w:before="61" w:line="187" w:lineRule="auto"/>
              <w:ind w:left="673"/>
              <w:rPr>
                <w:rFonts w:eastAsia="Times New Roman"/>
                <w:szCs w:val="21"/>
              </w:rPr>
            </w:pPr>
            <w:r>
              <w:rPr>
                <w:rFonts w:eastAsia="Times New Roman"/>
                <w:spacing w:val="-1"/>
                <w:szCs w:val="21"/>
              </w:rPr>
              <w:t>0.66</w:t>
            </w:r>
          </w:p>
        </w:tc>
        <w:tc>
          <w:tcPr>
            <w:tcW w:w="975" w:type="dxa"/>
          </w:tcPr>
          <w:p w14:paraId="68D46629">
            <w:pPr>
              <w:spacing w:line="243" w:lineRule="auto"/>
            </w:pPr>
          </w:p>
          <w:p w14:paraId="107718BD">
            <w:pPr>
              <w:spacing w:line="243" w:lineRule="auto"/>
            </w:pPr>
          </w:p>
          <w:p w14:paraId="0931AD3F">
            <w:pPr>
              <w:spacing w:before="69" w:line="221" w:lineRule="auto"/>
              <w:ind w:left="354"/>
              <w:rPr>
                <w:szCs w:val="21"/>
              </w:rPr>
            </w:pPr>
            <w:r>
              <w:rPr>
                <w:spacing w:val="-9"/>
                <w:szCs w:val="21"/>
              </w:rPr>
              <w:t>甲</w:t>
            </w:r>
            <w:r>
              <w:rPr>
                <w:spacing w:val="-8"/>
                <w:szCs w:val="21"/>
              </w:rPr>
              <w:t>类</w:t>
            </w:r>
          </w:p>
        </w:tc>
      </w:tr>
      <w:tr w14:paraId="48A29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99E0229">
            <w:pPr>
              <w:spacing w:before="190" w:line="187" w:lineRule="auto"/>
              <w:ind w:left="190"/>
              <w:rPr>
                <w:rFonts w:eastAsia="Times New Roman"/>
                <w:szCs w:val="21"/>
              </w:rPr>
            </w:pPr>
            <w:r>
              <w:rPr>
                <w:rFonts w:eastAsia="Times New Roman"/>
                <w:spacing w:val="-6"/>
                <w:szCs w:val="21"/>
              </w:rPr>
              <w:t>11</w:t>
            </w:r>
          </w:p>
        </w:tc>
        <w:tc>
          <w:tcPr>
            <w:tcW w:w="1020" w:type="dxa"/>
          </w:tcPr>
          <w:p w14:paraId="05CED6A2">
            <w:pPr>
              <w:spacing w:before="156" w:line="219" w:lineRule="auto"/>
              <w:rPr>
                <w:szCs w:val="21"/>
              </w:rPr>
            </w:pPr>
            <w:r>
              <w:rPr>
                <w:spacing w:val="-2"/>
                <w:szCs w:val="21"/>
              </w:rPr>
              <w:t>氢</w:t>
            </w:r>
            <w:r>
              <w:rPr>
                <w:spacing w:val="-1"/>
                <w:szCs w:val="21"/>
              </w:rPr>
              <w:t>氧化钠</w:t>
            </w:r>
          </w:p>
        </w:tc>
        <w:tc>
          <w:tcPr>
            <w:tcW w:w="1025" w:type="dxa"/>
          </w:tcPr>
          <w:p w14:paraId="322E3019">
            <w:pPr>
              <w:spacing w:before="190" w:line="187" w:lineRule="auto"/>
              <w:ind w:left="278"/>
              <w:rPr>
                <w:rFonts w:eastAsia="Times New Roman"/>
                <w:szCs w:val="21"/>
              </w:rPr>
            </w:pPr>
            <w:r>
              <w:rPr>
                <w:rFonts w:eastAsia="Times New Roman"/>
                <w:spacing w:val="-5"/>
                <w:szCs w:val="21"/>
              </w:rPr>
              <w:t>1</w:t>
            </w:r>
            <w:r>
              <w:rPr>
                <w:rFonts w:eastAsia="Times New Roman"/>
                <w:spacing w:val="-4"/>
                <w:szCs w:val="21"/>
              </w:rPr>
              <w:t>669</w:t>
            </w:r>
          </w:p>
        </w:tc>
        <w:tc>
          <w:tcPr>
            <w:tcW w:w="3687" w:type="dxa"/>
          </w:tcPr>
          <w:p w14:paraId="4556835F">
            <w:pPr>
              <w:spacing w:before="38" w:line="229" w:lineRule="auto"/>
              <w:ind w:right="541"/>
              <w:rPr>
                <w:rFonts w:eastAsia="Times New Roman"/>
                <w:szCs w:val="21"/>
              </w:rPr>
            </w:pPr>
            <w:r>
              <w:rPr>
                <w:spacing w:val="-5"/>
                <w:szCs w:val="21"/>
              </w:rPr>
              <w:t>皮肤腐蚀</w:t>
            </w:r>
            <w:r>
              <w:rPr>
                <w:rFonts w:eastAsia="Times New Roman"/>
                <w:spacing w:val="-5"/>
                <w:szCs w:val="21"/>
              </w:rPr>
              <w:t>/</w:t>
            </w:r>
            <w:r>
              <w:rPr>
                <w:spacing w:val="-5"/>
                <w:szCs w:val="21"/>
              </w:rPr>
              <w:t>刺激，类别</w:t>
            </w:r>
            <w:r>
              <w:rPr>
                <w:rFonts w:eastAsia="Times New Roman"/>
                <w:spacing w:val="-5"/>
                <w:szCs w:val="21"/>
              </w:rPr>
              <w:t>1</w:t>
            </w:r>
            <w:r>
              <w:rPr>
                <w:rFonts w:eastAsia="Times New Roman"/>
                <w:spacing w:val="-3"/>
                <w:szCs w:val="21"/>
              </w:rPr>
              <w:t>A</w:t>
            </w:r>
          </w:p>
          <w:p w14:paraId="33F30A87">
            <w:pPr>
              <w:spacing w:before="38" w:line="229" w:lineRule="auto"/>
              <w:ind w:right="541"/>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眼刺激，类别</w:t>
            </w:r>
            <w:r>
              <w:rPr>
                <w:rFonts w:eastAsia="Times New Roman"/>
                <w:spacing w:val="-4"/>
                <w:szCs w:val="21"/>
              </w:rPr>
              <w:t>1</w:t>
            </w:r>
          </w:p>
        </w:tc>
        <w:tc>
          <w:tcPr>
            <w:tcW w:w="1200" w:type="dxa"/>
          </w:tcPr>
          <w:p w14:paraId="54FE2040">
            <w:pPr>
              <w:spacing w:before="190" w:line="187" w:lineRule="auto"/>
              <w:ind w:left="673"/>
              <w:rPr>
                <w:rFonts w:eastAsia="Times New Roman"/>
                <w:szCs w:val="21"/>
              </w:rPr>
            </w:pPr>
            <w:r>
              <w:rPr>
                <w:rFonts w:eastAsia="Times New Roman"/>
                <w:spacing w:val="-1"/>
                <w:szCs w:val="21"/>
              </w:rPr>
              <w:t>0.03</w:t>
            </w:r>
          </w:p>
        </w:tc>
        <w:tc>
          <w:tcPr>
            <w:tcW w:w="975" w:type="dxa"/>
          </w:tcPr>
          <w:p w14:paraId="391203DE">
            <w:pPr>
              <w:spacing w:before="155" w:line="221" w:lineRule="auto"/>
              <w:ind w:left="328"/>
              <w:rPr>
                <w:szCs w:val="21"/>
              </w:rPr>
            </w:pPr>
            <w:r>
              <w:rPr>
                <w:spacing w:val="-2"/>
                <w:szCs w:val="21"/>
              </w:rPr>
              <w:t>戊类</w:t>
            </w:r>
          </w:p>
        </w:tc>
      </w:tr>
      <w:tr w14:paraId="595D8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49A4B8C">
            <w:pPr>
              <w:spacing w:line="393" w:lineRule="auto"/>
            </w:pPr>
          </w:p>
          <w:p w14:paraId="6C0C6A6E">
            <w:pPr>
              <w:spacing w:before="61" w:line="187" w:lineRule="auto"/>
              <w:ind w:left="190"/>
              <w:rPr>
                <w:rFonts w:eastAsia="Times New Roman"/>
                <w:szCs w:val="21"/>
              </w:rPr>
            </w:pPr>
            <w:r>
              <w:rPr>
                <w:rFonts w:eastAsia="Times New Roman"/>
                <w:spacing w:val="-6"/>
                <w:szCs w:val="21"/>
              </w:rPr>
              <w:t>12</w:t>
            </w:r>
          </w:p>
        </w:tc>
        <w:tc>
          <w:tcPr>
            <w:tcW w:w="1020" w:type="dxa"/>
          </w:tcPr>
          <w:p w14:paraId="732E3BE8">
            <w:pPr>
              <w:spacing w:line="352" w:lineRule="auto"/>
            </w:pPr>
          </w:p>
          <w:p w14:paraId="3CBB8E48">
            <w:pPr>
              <w:spacing w:before="68" w:line="221" w:lineRule="auto"/>
              <w:rPr>
                <w:szCs w:val="21"/>
              </w:rPr>
            </w:pPr>
            <w:r>
              <w:rPr>
                <w:spacing w:val="-4"/>
                <w:szCs w:val="21"/>
              </w:rPr>
              <w:t>丙</w:t>
            </w:r>
            <w:r>
              <w:rPr>
                <w:spacing w:val="-2"/>
                <w:szCs w:val="21"/>
              </w:rPr>
              <w:t>酮</w:t>
            </w:r>
          </w:p>
        </w:tc>
        <w:tc>
          <w:tcPr>
            <w:tcW w:w="1025" w:type="dxa"/>
          </w:tcPr>
          <w:p w14:paraId="4C8C05C8">
            <w:pPr>
              <w:spacing w:line="393" w:lineRule="auto"/>
            </w:pPr>
          </w:p>
          <w:p w14:paraId="5831937D">
            <w:pPr>
              <w:spacing w:before="61" w:line="187" w:lineRule="auto"/>
              <w:ind w:left="331"/>
              <w:rPr>
                <w:rFonts w:eastAsia="Times New Roman"/>
                <w:szCs w:val="21"/>
              </w:rPr>
            </w:pPr>
            <w:r>
              <w:rPr>
                <w:rFonts w:eastAsia="Times New Roman"/>
                <w:spacing w:val="-6"/>
                <w:szCs w:val="21"/>
              </w:rPr>
              <w:t>1</w:t>
            </w:r>
            <w:r>
              <w:rPr>
                <w:rFonts w:eastAsia="Times New Roman"/>
                <w:spacing w:val="-5"/>
                <w:szCs w:val="21"/>
              </w:rPr>
              <w:t>37</w:t>
            </w:r>
          </w:p>
        </w:tc>
        <w:tc>
          <w:tcPr>
            <w:tcW w:w="3687" w:type="dxa"/>
          </w:tcPr>
          <w:p w14:paraId="40300BC4">
            <w:pPr>
              <w:spacing w:before="34" w:line="213" w:lineRule="auto"/>
              <w:rPr>
                <w:rFonts w:eastAsia="Times New Roman"/>
                <w:szCs w:val="21"/>
              </w:rPr>
            </w:pPr>
            <w:r>
              <w:rPr>
                <w:spacing w:val="-11"/>
                <w:szCs w:val="21"/>
              </w:rPr>
              <w:t>易</w:t>
            </w:r>
            <w:r>
              <w:rPr>
                <w:spacing w:val="-7"/>
                <w:szCs w:val="21"/>
              </w:rPr>
              <w:t>燃液体，类别</w:t>
            </w:r>
            <w:r>
              <w:rPr>
                <w:rFonts w:eastAsia="Times New Roman"/>
                <w:spacing w:val="-7"/>
                <w:szCs w:val="21"/>
              </w:rPr>
              <w:t>2</w:t>
            </w:r>
          </w:p>
          <w:p w14:paraId="546737FC">
            <w:pPr>
              <w:spacing w:before="30" w:line="223" w:lineRule="auto"/>
              <w:rPr>
                <w:rFonts w:eastAsia="Times New Roman"/>
                <w:szCs w:val="21"/>
              </w:rPr>
            </w:pPr>
            <w:r>
              <w:rPr>
                <w:spacing w:val="-4"/>
                <w:szCs w:val="21"/>
              </w:rPr>
              <w:t>严重眼损伤</w:t>
            </w:r>
            <w:r>
              <w:rPr>
                <w:rFonts w:eastAsia="Times New Roman"/>
                <w:spacing w:val="-4"/>
                <w:szCs w:val="21"/>
              </w:rPr>
              <w:t>/</w:t>
            </w:r>
            <w:r>
              <w:rPr>
                <w:spacing w:val="-4"/>
                <w:szCs w:val="21"/>
              </w:rPr>
              <w:t>眼刺激，类别</w:t>
            </w:r>
            <w:r>
              <w:rPr>
                <w:rFonts w:eastAsia="Times New Roman"/>
                <w:spacing w:val="-3"/>
                <w:szCs w:val="21"/>
              </w:rPr>
              <w:t>2</w:t>
            </w:r>
          </w:p>
          <w:p w14:paraId="5DC7A8C8">
            <w:pPr>
              <w:spacing w:before="18" w:line="213" w:lineRule="auto"/>
              <w:ind w:left="124"/>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一次接触，类别</w:t>
            </w:r>
            <w:r>
              <w:rPr>
                <w:rFonts w:eastAsia="Times New Roman"/>
                <w:spacing w:val="-2"/>
                <w:szCs w:val="21"/>
              </w:rPr>
              <w:t>3</w:t>
            </w:r>
          </w:p>
          <w:p w14:paraId="08C7754E">
            <w:pPr>
              <w:spacing w:before="31" w:line="212" w:lineRule="auto"/>
              <w:rPr>
                <w:szCs w:val="21"/>
              </w:rPr>
            </w:pPr>
            <w:r>
              <w:rPr>
                <w:spacing w:val="19"/>
                <w:szCs w:val="21"/>
              </w:rPr>
              <w:t>(</w:t>
            </w:r>
            <w:r>
              <w:rPr>
                <w:spacing w:val="15"/>
                <w:szCs w:val="21"/>
              </w:rPr>
              <w:t>麻醉效应)</w:t>
            </w:r>
          </w:p>
        </w:tc>
        <w:tc>
          <w:tcPr>
            <w:tcW w:w="1200" w:type="dxa"/>
          </w:tcPr>
          <w:p w14:paraId="7EFB1691">
            <w:pPr>
              <w:spacing w:line="393" w:lineRule="auto"/>
            </w:pPr>
          </w:p>
          <w:p w14:paraId="6E66F188">
            <w:pPr>
              <w:spacing w:before="61" w:line="187" w:lineRule="auto"/>
              <w:ind w:left="743"/>
              <w:rPr>
                <w:rFonts w:eastAsia="Times New Roman"/>
                <w:szCs w:val="21"/>
              </w:rPr>
            </w:pPr>
            <w:r>
              <w:rPr>
                <w:rFonts w:eastAsia="Times New Roman"/>
                <w:spacing w:val="-6"/>
                <w:szCs w:val="21"/>
              </w:rPr>
              <w:t>1</w:t>
            </w:r>
            <w:r>
              <w:rPr>
                <w:rFonts w:eastAsia="Times New Roman"/>
                <w:spacing w:val="-4"/>
                <w:szCs w:val="21"/>
              </w:rPr>
              <w:t>.1</w:t>
            </w:r>
          </w:p>
        </w:tc>
        <w:tc>
          <w:tcPr>
            <w:tcW w:w="975" w:type="dxa"/>
          </w:tcPr>
          <w:p w14:paraId="61681CDC">
            <w:pPr>
              <w:spacing w:line="351" w:lineRule="auto"/>
            </w:pPr>
          </w:p>
          <w:p w14:paraId="05351B39">
            <w:pPr>
              <w:spacing w:before="69" w:line="221" w:lineRule="auto"/>
              <w:ind w:left="354"/>
              <w:rPr>
                <w:szCs w:val="21"/>
              </w:rPr>
            </w:pPr>
            <w:r>
              <w:rPr>
                <w:spacing w:val="-9"/>
                <w:szCs w:val="21"/>
              </w:rPr>
              <w:t>甲</w:t>
            </w:r>
            <w:r>
              <w:rPr>
                <w:spacing w:val="-8"/>
                <w:szCs w:val="21"/>
              </w:rPr>
              <w:t>类</w:t>
            </w:r>
          </w:p>
        </w:tc>
      </w:tr>
      <w:tr w14:paraId="02BF6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3919DD9">
            <w:pPr>
              <w:spacing w:before="190" w:line="187" w:lineRule="auto"/>
              <w:ind w:left="190"/>
              <w:rPr>
                <w:rFonts w:eastAsia="Times New Roman"/>
                <w:szCs w:val="21"/>
              </w:rPr>
            </w:pPr>
            <w:r>
              <w:rPr>
                <w:rFonts w:eastAsia="Times New Roman"/>
                <w:spacing w:val="-6"/>
                <w:szCs w:val="21"/>
              </w:rPr>
              <w:t>13</w:t>
            </w:r>
          </w:p>
        </w:tc>
        <w:tc>
          <w:tcPr>
            <w:tcW w:w="1020" w:type="dxa"/>
          </w:tcPr>
          <w:p w14:paraId="0A27EE99">
            <w:pPr>
              <w:spacing w:before="154" w:line="221" w:lineRule="auto"/>
              <w:rPr>
                <w:szCs w:val="21"/>
              </w:rPr>
            </w:pPr>
            <w:r>
              <w:rPr>
                <w:spacing w:val="-2"/>
                <w:szCs w:val="21"/>
              </w:rPr>
              <w:t>正丙醇</w:t>
            </w:r>
          </w:p>
        </w:tc>
        <w:tc>
          <w:tcPr>
            <w:tcW w:w="1025" w:type="dxa"/>
          </w:tcPr>
          <w:p w14:paraId="7A6D7482">
            <w:pPr>
              <w:spacing w:before="190" w:line="187" w:lineRule="auto"/>
              <w:ind w:left="333"/>
              <w:rPr>
                <w:rFonts w:eastAsia="Times New Roman"/>
                <w:szCs w:val="21"/>
              </w:rPr>
            </w:pPr>
            <w:r>
              <w:rPr>
                <w:rFonts w:eastAsia="Times New Roman"/>
                <w:spacing w:val="-10"/>
                <w:szCs w:val="21"/>
              </w:rPr>
              <w:t>1</w:t>
            </w:r>
            <w:r>
              <w:rPr>
                <w:rFonts w:eastAsia="Times New Roman"/>
                <w:spacing w:val="-9"/>
                <w:szCs w:val="21"/>
              </w:rPr>
              <w:t>10</w:t>
            </w:r>
          </w:p>
        </w:tc>
        <w:tc>
          <w:tcPr>
            <w:tcW w:w="3687" w:type="dxa"/>
          </w:tcPr>
          <w:p w14:paraId="0597E0C7">
            <w:pPr>
              <w:spacing w:before="39" w:line="213" w:lineRule="auto"/>
              <w:rPr>
                <w:rFonts w:eastAsia="Times New Roman"/>
                <w:szCs w:val="21"/>
              </w:rPr>
            </w:pPr>
            <w:r>
              <w:rPr>
                <w:spacing w:val="-11"/>
                <w:szCs w:val="21"/>
              </w:rPr>
              <w:t>易</w:t>
            </w:r>
            <w:r>
              <w:rPr>
                <w:spacing w:val="-7"/>
                <w:szCs w:val="21"/>
              </w:rPr>
              <w:t>燃液体，类别</w:t>
            </w:r>
            <w:r>
              <w:rPr>
                <w:rFonts w:eastAsia="Times New Roman"/>
                <w:spacing w:val="-7"/>
                <w:szCs w:val="21"/>
              </w:rPr>
              <w:t>2</w:t>
            </w:r>
          </w:p>
          <w:p w14:paraId="5E4268FD">
            <w:pPr>
              <w:spacing w:before="30" w:line="213" w:lineRule="auto"/>
              <w:ind w:left="124"/>
              <w:rPr>
                <w:rFonts w:eastAsia="Times New Roman"/>
                <w:spacing w:val="-2"/>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眼刺激，类别</w:t>
            </w:r>
            <w:r>
              <w:rPr>
                <w:rFonts w:eastAsia="Times New Roman"/>
                <w:spacing w:val="-2"/>
                <w:szCs w:val="21"/>
              </w:rPr>
              <w:t>1</w:t>
            </w:r>
          </w:p>
          <w:p w14:paraId="502381C6">
            <w:pPr>
              <w:spacing w:before="30" w:line="213" w:lineRule="auto"/>
              <w:ind w:left="124"/>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一次接触，类别</w:t>
            </w:r>
            <w:r>
              <w:rPr>
                <w:rFonts w:eastAsia="Times New Roman"/>
                <w:spacing w:val="-2"/>
                <w:szCs w:val="21"/>
              </w:rPr>
              <w:t>3</w:t>
            </w:r>
          </w:p>
          <w:p w14:paraId="12E6D1A3">
            <w:pPr>
              <w:spacing w:before="31" w:line="220" w:lineRule="auto"/>
              <w:rPr>
                <w:rFonts w:eastAsia="Times New Roman"/>
                <w:szCs w:val="21"/>
              </w:rPr>
            </w:pPr>
            <w:r>
              <w:rPr>
                <w:spacing w:val="19"/>
                <w:szCs w:val="21"/>
              </w:rPr>
              <w:t>(</w:t>
            </w:r>
            <w:r>
              <w:rPr>
                <w:spacing w:val="15"/>
                <w:szCs w:val="21"/>
              </w:rPr>
              <w:t>麻醉效应)</w:t>
            </w:r>
          </w:p>
        </w:tc>
        <w:tc>
          <w:tcPr>
            <w:tcW w:w="1200" w:type="dxa"/>
          </w:tcPr>
          <w:p w14:paraId="6C22F68B">
            <w:pPr>
              <w:spacing w:before="190" w:line="187" w:lineRule="auto"/>
              <w:ind w:left="798"/>
              <w:rPr>
                <w:rFonts w:eastAsia="Times New Roman"/>
                <w:szCs w:val="21"/>
              </w:rPr>
            </w:pPr>
            <w:r>
              <w:rPr>
                <w:rFonts w:eastAsia="Times New Roman"/>
                <w:szCs w:val="21"/>
              </w:rPr>
              <w:t>4</w:t>
            </w:r>
          </w:p>
        </w:tc>
        <w:tc>
          <w:tcPr>
            <w:tcW w:w="975" w:type="dxa"/>
          </w:tcPr>
          <w:p w14:paraId="32449651">
            <w:pPr>
              <w:spacing w:before="153" w:line="221" w:lineRule="auto"/>
              <w:ind w:left="354"/>
              <w:rPr>
                <w:szCs w:val="21"/>
              </w:rPr>
            </w:pPr>
            <w:r>
              <w:rPr>
                <w:spacing w:val="-9"/>
                <w:szCs w:val="21"/>
              </w:rPr>
              <w:t>甲</w:t>
            </w:r>
            <w:r>
              <w:rPr>
                <w:spacing w:val="-8"/>
                <w:szCs w:val="21"/>
              </w:rPr>
              <w:t>类</w:t>
            </w:r>
          </w:p>
        </w:tc>
      </w:tr>
      <w:tr w14:paraId="4C253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12C3BA3">
            <w:pPr>
              <w:spacing w:line="263" w:lineRule="auto"/>
            </w:pPr>
          </w:p>
          <w:p w14:paraId="5CE36283">
            <w:pPr>
              <w:spacing w:line="263" w:lineRule="auto"/>
            </w:pPr>
          </w:p>
          <w:p w14:paraId="3C8138F4">
            <w:pPr>
              <w:spacing w:before="60" w:line="187" w:lineRule="auto"/>
              <w:ind w:left="190"/>
              <w:rPr>
                <w:rFonts w:eastAsia="Times New Roman"/>
                <w:szCs w:val="21"/>
              </w:rPr>
            </w:pPr>
            <w:r>
              <w:rPr>
                <w:rFonts w:eastAsia="Times New Roman"/>
                <w:spacing w:val="-6"/>
                <w:szCs w:val="21"/>
              </w:rPr>
              <w:t>14</w:t>
            </w:r>
          </w:p>
        </w:tc>
        <w:tc>
          <w:tcPr>
            <w:tcW w:w="1020" w:type="dxa"/>
          </w:tcPr>
          <w:p w14:paraId="0284CF64">
            <w:pPr>
              <w:spacing w:line="242" w:lineRule="auto"/>
            </w:pPr>
          </w:p>
          <w:p w14:paraId="28BE7D91">
            <w:pPr>
              <w:spacing w:line="242" w:lineRule="auto"/>
            </w:pPr>
          </w:p>
          <w:p w14:paraId="6111D0B4">
            <w:pPr>
              <w:spacing w:before="68" w:line="222" w:lineRule="auto"/>
              <w:rPr>
                <w:szCs w:val="21"/>
              </w:rPr>
            </w:pPr>
            <w:r>
              <w:rPr>
                <w:spacing w:val="-5"/>
                <w:szCs w:val="21"/>
              </w:rPr>
              <w:t>乙酸酐</w:t>
            </w:r>
          </w:p>
        </w:tc>
        <w:tc>
          <w:tcPr>
            <w:tcW w:w="1025" w:type="dxa"/>
          </w:tcPr>
          <w:p w14:paraId="24B81347">
            <w:pPr>
              <w:spacing w:line="262" w:lineRule="auto"/>
            </w:pPr>
          </w:p>
          <w:p w14:paraId="3593A264">
            <w:pPr>
              <w:spacing w:line="263" w:lineRule="auto"/>
            </w:pPr>
          </w:p>
          <w:p w14:paraId="22591F17">
            <w:pPr>
              <w:spacing w:before="61" w:line="187" w:lineRule="auto"/>
              <w:ind w:left="257"/>
              <w:rPr>
                <w:rFonts w:eastAsia="Times New Roman"/>
                <w:szCs w:val="21"/>
              </w:rPr>
            </w:pPr>
            <w:r>
              <w:rPr>
                <w:rFonts w:eastAsia="Times New Roman"/>
                <w:spacing w:val="-1"/>
                <w:szCs w:val="21"/>
              </w:rPr>
              <w:t>26</w:t>
            </w:r>
            <w:r>
              <w:rPr>
                <w:rFonts w:eastAsia="Times New Roman"/>
                <w:szCs w:val="21"/>
              </w:rPr>
              <w:t>34</w:t>
            </w:r>
          </w:p>
        </w:tc>
        <w:tc>
          <w:tcPr>
            <w:tcW w:w="3687" w:type="dxa"/>
          </w:tcPr>
          <w:p w14:paraId="70848E3C">
            <w:pPr>
              <w:spacing w:before="30" w:line="213" w:lineRule="auto"/>
              <w:rPr>
                <w:rFonts w:eastAsia="Times New Roman"/>
                <w:szCs w:val="21"/>
              </w:rPr>
            </w:pPr>
            <w:r>
              <w:rPr>
                <w:spacing w:val="-7"/>
                <w:szCs w:val="21"/>
              </w:rPr>
              <w:t xml:space="preserve">易燃液体，类别 </w:t>
            </w:r>
            <w:r>
              <w:rPr>
                <w:rFonts w:eastAsia="Times New Roman"/>
                <w:spacing w:val="-7"/>
                <w:szCs w:val="21"/>
              </w:rPr>
              <w:t>3</w:t>
            </w:r>
          </w:p>
          <w:p w14:paraId="59882882">
            <w:pPr>
              <w:spacing w:before="30" w:line="223" w:lineRule="auto"/>
              <w:rPr>
                <w:rFonts w:eastAsia="Times New Roman"/>
                <w:szCs w:val="21"/>
              </w:rPr>
            </w:pPr>
            <w:r>
              <w:rPr>
                <w:spacing w:val="-6"/>
                <w:szCs w:val="21"/>
              </w:rPr>
              <w:t>皮肤腐</w:t>
            </w:r>
            <w:r>
              <w:rPr>
                <w:spacing w:val="-3"/>
                <w:szCs w:val="21"/>
              </w:rPr>
              <w:t>蚀</w:t>
            </w:r>
            <w:r>
              <w:rPr>
                <w:rFonts w:eastAsia="Times New Roman"/>
                <w:spacing w:val="-3"/>
                <w:szCs w:val="21"/>
              </w:rPr>
              <w:t>/</w:t>
            </w:r>
            <w:r>
              <w:rPr>
                <w:spacing w:val="-3"/>
                <w:szCs w:val="21"/>
              </w:rPr>
              <w:t xml:space="preserve">刺激，类别 </w:t>
            </w:r>
            <w:r>
              <w:rPr>
                <w:rFonts w:eastAsia="Times New Roman"/>
                <w:spacing w:val="-3"/>
                <w:szCs w:val="21"/>
              </w:rPr>
              <w:t>1B</w:t>
            </w:r>
          </w:p>
          <w:p w14:paraId="3B6CC88F">
            <w:pPr>
              <w:spacing w:before="17" w:line="223" w:lineRule="auto"/>
              <w:rPr>
                <w:rFonts w:eastAsia="Times New Roman"/>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 xml:space="preserve">眼刺激，类别 </w:t>
            </w:r>
            <w:r>
              <w:rPr>
                <w:rFonts w:eastAsia="Times New Roman"/>
                <w:spacing w:val="-2"/>
                <w:szCs w:val="21"/>
              </w:rPr>
              <w:t>1</w:t>
            </w:r>
          </w:p>
          <w:p w14:paraId="6A23A38A">
            <w:pPr>
              <w:spacing w:before="20" w:line="213" w:lineRule="auto"/>
              <w:ind w:left="124"/>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 xml:space="preserve">一次接触，类别 </w:t>
            </w:r>
            <w:r>
              <w:rPr>
                <w:rFonts w:eastAsia="Times New Roman"/>
                <w:spacing w:val="-2"/>
                <w:szCs w:val="21"/>
              </w:rPr>
              <w:t>3</w:t>
            </w:r>
          </w:p>
          <w:p w14:paraId="4E581F65">
            <w:pPr>
              <w:spacing w:before="29" w:line="217" w:lineRule="auto"/>
              <w:rPr>
                <w:szCs w:val="21"/>
              </w:rPr>
            </w:pPr>
            <w:r>
              <w:rPr>
                <w:spacing w:val="12"/>
                <w:szCs w:val="21"/>
              </w:rPr>
              <w:t>(呼吸道刺激)</w:t>
            </w:r>
          </w:p>
        </w:tc>
        <w:tc>
          <w:tcPr>
            <w:tcW w:w="1200" w:type="dxa"/>
          </w:tcPr>
          <w:p w14:paraId="55730038">
            <w:pPr>
              <w:spacing w:line="262" w:lineRule="auto"/>
            </w:pPr>
          </w:p>
          <w:p w14:paraId="6DBA2B7C">
            <w:pPr>
              <w:spacing w:line="263" w:lineRule="auto"/>
            </w:pPr>
          </w:p>
          <w:p w14:paraId="686C857C">
            <w:pPr>
              <w:spacing w:before="61" w:line="187" w:lineRule="auto"/>
              <w:ind w:left="673"/>
              <w:rPr>
                <w:rFonts w:eastAsia="Times New Roman"/>
                <w:szCs w:val="21"/>
              </w:rPr>
            </w:pPr>
            <w:r>
              <w:rPr>
                <w:rFonts w:eastAsia="Times New Roman"/>
                <w:spacing w:val="-1"/>
                <w:szCs w:val="21"/>
              </w:rPr>
              <w:t>0.13</w:t>
            </w:r>
          </w:p>
        </w:tc>
        <w:tc>
          <w:tcPr>
            <w:tcW w:w="975" w:type="dxa"/>
          </w:tcPr>
          <w:p w14:paraId="49BF8422">
            <w:pPr>
              <w:spacing w:line="242" w:lineRule="auto"/>
            </w:pPr>
          </w:p>
          <w:p w14:paraId="4F14125D">
            <w:pPr>
              <w:spacing w:line="242" w:lineRule="auto"/>
            </w:pPr>
          </w:p>
          <w:p w14:paraId="08BEE99D">
            <w:pPr>
              <w:spacing w:before="68" w:line="221" w:lineRule="auto"/>
              <w:ind w:left="354"/>
              <w:rPr>
                <w:szCs w:val="21"/>
              </w:rPr>
            </w:pPr>
            <w:r>
              <w:rPr>
                <w:spacing w:val="-9"/>
                <w:szCs w:val="21"/>
              </w:rPr>
              <w:t>甲</w:t>
            </w:r>
            <w:r>
              <w:rPr>
                <w:spacing w:val="-8"/>
                <w:szCs w:val="21"/>
              </w:rPr>
              <w:t>类</w:t>
            </w:r>
          </w:p>
        </w:tc>
      </w:tr>
      <w:tr w14:paraId="56099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0DE68A3">
            <w:pPr>
              <w:spacing w:line="263" w:lineRule="auto"/>
            </w:pPr>
          </w:p>
          <w:p w14:paraId="577E85FB">
            <w:pPr>
              <w:spacing w:line="263" w:lineRule="auto"/>
            </w:pPr>
          </w:p>
          <w:p w14:paraId="392C1417">
            <w:pPr>
              <w:spacing w:before="61" w:line="187" w:lineRule="auto"/>
              <w:ind w:left="190"/>
              <w:rPr>
                <w:rFonts w:eastAsia="Times New Roman"/>
                <w:szCs w:val="21"/>
              </w:rPr>
            </w:pPr>
            <w:r>
              <w:rPr>
                <w:rFonts w:eastAsia="Times New Roman"/>
                <w:spacing w:val="-6"/>
                <w:szCs w:val="21"/>
              </w:rPr>
              <w:t>15</w:t>
            </w:r>
          </w:p>
        </w:tc>
        <w:tc>
          <w:tcPr>
            <w:tcW w:w="1020" w:type="dxa"/>
          </w:tcPr>
          <w:p w14:paraId="708E98B3">
            <w:pPr>
              <w:spacing w:line="241" w:lineRule="auto"/>
            </w:pPr>
          </w:p>
          <w:p w14:paraId="77310754">
            <w:pPr>
              <w:spacing w:line="241" w:lineRule="auto"/>
            </w:pPr>
          </w:p>
          <w:p w14:paraId="390A7544">
            <w:pPr>
              <w:spacing w:before="69" w:line="222" w:lineRule="auto"/>
              <w:rPr>
                <w:szCs w:val="21"/>
              </w:rPr>
            </w:pPr>
            <w:r>
              <w:rPr>
                <w:spacing w:val="-2"/>
                <w:szCs w:val="21"/>
              </w:rPr>
              <w:t>盐酸</w:t>
            </w:r>
          </w:p>
        </w:tc>
        <w:tc>
          <w:tcPr>
            <w:tcW w:w="1025" w:type="dxa"/>
          </w:tcPr>
          <w:p w14:paraId="5D7CCD5A">
            <w:pPr>
              <w:spacing w:line="263" w:lineRule="auto"/>
            </w:pPr>
          </w:p>
          <w:p w14:paraId="389FB335">
            <w:pPr>
              <w:spacing w:line="263" w:lineRule="auto"/>
            </w:pPr>
          </w:p>
          <w:p w14:paraId="666E9510">
            <w:pPr>
              <w:spacing w:before="61" w:line="187" w:lineRule="auto"/>
              <w:ind w:left="257"/>
              <w:rPr>
                <w:rFonts w:eastAsia="Times New Roman"/>
                <w:szCs w:val="21"/>
              </w:rPr>
            </w:pPr>
            <w:r>
              <w:rPr>
                <w:rFonts w:eastAsia="Times New Roman"/>
                <w:spacing w:val="-1"/>
                <w:szCs w:val="21"/>
              </w:rPr>
              <w:t>25</w:t>
            </w:r>
            <w:r>
              <w:rPr>
                <w:rFonts w:eastAsia="Times New Roman"/>
                <w:szCs w:val="21"/>
              </w:rPr>
              <w:t>07</w:t>
            </w:r>
          </w:p>
        </w:tc>
        <w:tc>
          <w:tcPr>
            <w:tcW w:w="3687" w:type="dxa"/>
          </w:tcPr>
          <w:p w14:paraId="23CAB18A">
            <w:pPr>
              <w:spacing w:before="30" w:line="223" w:lineRule="auto"/>
              <w:rPr>
                <w:rFonts w:eastAsia="Times New Roman"/>
                <w:szCs w:val="21"/>
              </w:rPr>
            </w:pPr>
            <w:r>
              <w:rPr>
                <w:spacing w:val="-6"/>
                <w:szCs w:val="21"/>
              </w:rPr>
              <w:t>皮肤腐</w:t>
            </w:r>
            <w:r>
              <w:rPr>
                <w:spacing w:val="-3"/>
                <w:szCs w:val="21"/>
              </w:rPr>
              <w:t>蚀</w:t>
            </w:r>
            <w:r>
              <w:rPr>
                <w:rFonts w:eastAsia="Times New Roman"/>
                <w:spacing w:val="-3"/>
                <w:szCs w:val="21"/>
              </w:rPr>
              <w:t>/</w:t>
            </w:r>
            <w:r>
              <w:rPr>
                <w:spacing w:val="-3"/>
                <w:szCs w:val="21"/>
              </w:rPr>
              <w:t>刺激，类别</w:t>
            </w:r>
            <w:r>
              <w:rPr>
                <w:rFonts w:eastAsia="Times New Roman"/>
                <w:spacing w:val="-3"/>
                <w:szCs w:val="21"/>
              </w:rPr>
              <w:t>1B</w:t>
            </w:r>
          </w:p>
          <w:p w14:paraId="22ED478E">
            <w:pPr>
              <w:spacing w:before="17" w:line="223" w:lineRule="auto"/>
              <w:rPr>
                <w:rFonts w:eastAsia="Times New Roman"/>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眼刺激，类别</w:t>
            </w:r>
            <w:r>
              <w:rPr>
                <w:rFonts w:eastAsia="Times New Roman"/>
                <w:spacing w:val="-2"/>
                <w:szCs w:val="21"/>
              </w:rPr>
              <w:t>1</w:t>
            </w:r>
          </w:p>
          <w:p w14:paraId="4B35C44F">
            <w:pPr>
              <w:spacing w:before="20" w:line="213" w:lineRule="auto"/>
              <w:ind w:left="124"/>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一次接触，类别</w:t>
            </w:r>
            <w:r>
              <w:rPr>
                <w:rFonts w:eastAsia="Times New Roman"/>
                <w:spacing w:val="-2"/>
                <w:szCs w:val="21"/>
              </w:rPr>
              <w:t>3</w:t>
            </w:r>
          </w:p>
          <w:p w14:paraId="1F61B224">
            <w:pPr>
              <w:spacing w:before="28" w:line="221" w:lineRule="auto"/>
              <w:rPr>
                <w:szCs w:val="21"/>
              </w:rPr>
            </w:pPr>
            <w:r>
              <w:rPr>
                <w:spacing w:val="12"/>
                <w:szCs w:val="21"/>
              </w:rPr>
              <w:t>(呼吸道刺激)</w:t>
            </w:r>
          </w:p>
          <w:p w14:paraId="2750A6BA">
            <w:pPr>
              <w:spacing w:before="22" w:line="213" w:lineRule="auto"/>
              <w:rPr>
                <w:rFonts w:eastAsia="Times New Roman"/>
                <w:szCs w:val="21"/>
              </w:rPr>
            </w:pPr>
            <w:r>
              <w:rPr>
                <w:spacing w:val="-6"/>
                <w:szCs w:val="21"/>
              </w:rPr>
              <w:t>危害</w:t>
            </w:r>
            <w:r>
              <w:rPr>
                <w:spacing w:val="-5"/>
                <w:szCs w:val="21"/>
              </w:rPr>
              <w:t>水</w:t>
            </w:r>
            <w:r>
              <w:rPr>
                <w:spacing w:val="-3"/>
                <w:szCs w:val="21"/>
              </w:rPr>
              <w:t>生环境</w:t>
            </w:r>
            <w:r>
              <w:rPr>
                <w:rFonts w:eastAsia="Times New Roman"/>
                <w:spacing w:val="-3"/>
                <w:szCs w:val="21"/>
              </w:rPr>
              <w:t>-</w:t>
            </w:r>
            <w:r>
              <w:rPr>
                <w:spacing w:val="-3"/>
                <w:szCs w:val="21"/>
              </w:rPr>
              <w:t>急性危害，类别</w:t>
            </w:r>
            <w:r>
              <w:rPr>
                <w:rFonts w:eastAsia="Times New Roman"/>
                <w:spacing w:val="-3"/>
                <w:szCs w:val="21"/>
              </w:rPr>
              <w:t>2</w:t>
            </w:r>
          </w:p>
        </w:tc>
        <w:tc>
          <w:tcPr>
            <w:tcW w:w="1200" w:type="dxa"/>
          </w:tcPr>
          <w:p w14:paraId="3DEAF22F">
            <w:pPr>
              <w:spacing w:line="263" w:lineRule="auto"/>
            </w:pPr>
          </w:p>
          <w:p w14:paraId="767C4E95">
            <w:pPr>
              <w:spacing w:line="263" w:lineRule="auto"/>
            </w:pPr>
          </w:p>
          <w:p w14:paraId="24D78CDB">
            <w:pPr>
              <w:spacing w:before="61" w:line="187" w:lineRule="auto"/>
              <w:ind w:left="726"/>
              <w:rPr>
                <w:rFonts w:eastAsia="Times New Roman"/>
                <w:szCs w:val="21"/>
              </w:rPr>
            </w:pPr>
            <w:r>
              <w:rPr>
                <w:rFonts w:eastAsia="Times New Roman"/>
                <w:spacing w:val="-2"/>
                <w:szCs w:val="21"/>
              </w:rPr>
              <w:t>0</w:t>
            </w:r>
            <w:r>
              <w:rPr>
                <w:rFonts w:eastAsia="Times New Roman"/>
                <w:spacing w:val="-1"/>
                <w:szCs w:val="21"/>
              </w:rPr>
              <w:t>.6</w:t>
            </w:r>
          </w:p>
        </w:tc>
        <w:tc>
          <w:tcPr>
            <w:tcW w:w="975" w:type="dxa"/>
          </w:tcPr>
          <w:p w14:paraId="5EE02DD4">
            <w:pPr>
              <w:spacing w:line="241" w:lineRule="auto"/>
            </w:pPr>
          </w:p>
          <w:p w14:paraId="75F769BD">
            <w:pPr>
              <w:spacing w:line="241" w:lineRule="auto"/>
            </w:pPr>
          </w:p>
          <w:p w14:paraId="611E2465">
            <w:pPr>
              <w:spacing w:before="68" w:line="221" w:lineRule="auto"/>
              <w:ind w:left="328"/>
              <w:rPr>
                <w:szCs w:val="21"/>
              </w:rPr>
            </w:pPr>
            <w:r>
              <w:rPr>
                <w:spacing w:val="-2"/>
                <w:szCs w:val="21"/>
              </w:rPr>
              <w:t>戊类</w:t>
            </w:r>
          </w:p>
        </w:tc>
      </w:tr>
      <w:tr w14:paraId="5F490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C253F8E">
            <w:pPr>
              <w:spacing w:line="331" w:lineRule="auto"/>
            </w:pPr>
          </w:p>
          <w:p w14:paraId="16C3799B">
            <w:pPr>
              <w:spacing w:line="331" w:lineRule="auto"/>
            </w:pPr>
          </w:p>
          <w:p w14:paraId="36F1448F">
            <w:pPr>
              <w:spacing w:before="61" w:line="187" w:lineRule="auto"/>
              <w:ind w:left="190"/>
              <w:rPr>
                <w:rFonts w:eastAsia="Times New Roman"/>
                <w:szCs w:val="21"/>
              </w:rPr>
            </w:pPr>
            <w:r>
              <w:rPr>
                <w:rFonts w:eastAsia="Times New Roman"/>
                <w:spacing w:val="-6"/>
                <w:szCs w:val="21"/>
              </w:rPr>
              <w:t>16</w:t>
            </w:r>
          </w:p>
        </w:tc>
        <w:tc>
          <w:tcPr>
            <w:tcW w:w="1020" w:type="dxa"/>
          </w:tcPr>
          <w:p w14:paraId="75BFA80F">
            <w:pPr>
              <w:spacing w:line="310" w:lineRule="auto"/>
            </w:pPr>
          </w:p>
          <w:p w14:paraId="08383C62">
            <w:pPr>
              <w:spacing w:line="310" w:lineRule="auto"/>
            </w:pPr>
          </w:p>
          <w:p w14:paraId="4A4BDC3F">
            <w:pPr>
              <w:spacing w:before="69" w:line="221" w:lineRule="auto"/>
              <w:rPr>
                <w:szCs w:val="21"/>
              </w:rPr>
            </w:pPr>
            <w:r>
              <w:rPr>
                <w:spacing w:val="-2"/>
                <w:szCs w:val="21"/>
              </w:rPr>
              <w:t>三</w:t>
            </w:r>
            <w:r>
              <w:rPr>
                <w:spacing w:val="-1"/>
                <w:szCs w:val="21"/>
              </w:rPr>
              <w:t>氯甲烷</w:t>
            </w:r>
          </w:p>
        </w:tc>
        <w:tc>
          <w:tcPr>
            <w:tcW w:w="1025" w:type="dxa"/>
          </w:tcPr>
          <w:p w14:paraId="75E9DD72">
            <w:pPr>
              <w:spacing w:line="331" w:lineRule="auto"/>
            </w:pPr>
          </w:p>
          <w:p w14:paraId="11E1F787">
            <w:pPr>
              <w:spacing w:line="331" w:lineRule="auto"/>
            </w:pPr>
          </w:p>
          <w:p w14:paraId="73088E75">
            <w:pPr>
              <w:spacing w:before="61" w:line="187" w:lineRule="auto"/>
              <w:ind w:left="278"/>
              <w:rPr>
                <w:rFonts w:eastAsia="Times New Roman"/>
                <w:szCs w:val="21"/>
              </w:rPr>
            </w:pPr>
            <w:r>
              <w:rPr>
                <w:rFonts w:eastAsia="Times New Roman"/>
                <w:spacing w:val="-5"/>
                <w:szCs w:val="21"/>
              </w:rPr>
              <w:t>1</w:t>
            </w:r>
            <w:r>
              <w:rPr>
                <w:rFonts w:eastAsia="Times New Roman"/>
                <w:spacing w:val="-4"/>
                <w:szCs w:val="21"/>
              </w:rPr>
              <w:t>852</w:t>
            </w:r>
          </w:p>
        </w:tc>
        <w:tc>
          <w:tcPr>
            <w:tcW w:w="3687" w:type="dxa"/>
          </w:tcPr>
          <w:p w14:paraId="5B0A13EA">
            <w:pPr>
              <w:spacing w:before="31" w:line="213" w:lineRule="auto"/>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吸入，类别</w:t>
            </w:r>
            <w:r>
              <w:rPr>
                <w:rFonts w:eastAsia="Times New Roman"/>
                <w:spacing w:val="-4"/>
                <w:szCs w:val="21"/>
              </w:rPr>
              <w:t>3</w:t>
            </w:r>
          </w:p>
          <w:p w14:paraId="545FBA1A">
            <w:pPr>
              <w:spacing w:before="30" w:line="223" w:lineRule="auto"/>
              <w:rPr>
                <w:rFonts w:eastAsia="Times New Roman"/>
                <w:szCs w:val="21"/>
              </w:rPr>
            </w:pPr>
            <w:r>
              <w:rPr>
                <w:spacing w:val="-8"/>
                <w:szCs w:val="21"/>
              </w:rPr>
              <w:t>皮肤</w:t>
            </w:r>
            <w:r>
              <w:rPr>
                <w:spacing w:val="-6"/>
                <w:szCs w:val="21"/>
              </w:rPr>
              <w:t>腐</w:t>
            </w:r>
            <w:r>
              <w:rPr>
                <w:spacing w:val="-4"/>
                <w:szCs w:val="21"/>
              </w:rPr>
              <w:t>蚀</w:t>
            </w:r>
            <w:r>
              <w:rPr>
                <w:rFonts w:eastAsia="Times New Roman"/>
                <w:spacing w:val="-4"/>
                <w:szCs w:val="21"/>
              </w:rPr>
              <w:t>/</w:t>
            </w:r>
            <w:r>
              <w:rPr>
                <w:spacing w:val="-4"/>
                <w:szCs w:val="21"/>
              </w:rPr>
              <w:t>刺激，类别</w:t>
            </w:r>
            <w:r>
              <w:rPr>
                <w:rFonts w:eastAsia="Times New Roman"/>
                <w:spacing w:val="-4"/>
                <w:szCs w:val="21"/>
              </w:rPr>
              <w:t>2</w:t>
            </w:r>
          </w:p>
          <w:p w14:paraId="7022A837">
            <w:pPr>
              <w:spacing w:before="17" w:line="223" w:lineRule="auto"/>
              <w:rPr>
                <w:rFonts w:eastAsia="Times New Roman"/>
                <w:szCs w:val="21"/>
              </w:rPr>
            </w:pPr>
            <w:r>
              <w:rPr>
                <w:spacing w:val="-4"/>
                <w:szCs w:val="21"/>
              </w:rPr>
              <w:t>严重眼损伤</w:t>
            </w:r>
            <w:r>
              <w:rPr>
                <w:rFonts w:eastAsia="Times New Roman"/>
                <w:spacing w:val="-4"/>
                <w:szCs w:val="21"/>
              </w:rPr>
              <w:t>/</w:t>
            </w:r>
            <w:r>
              <w:rPr>
                <w:spacing w:val="-4"/>
                <w:szCs w:val="21"/>
              </w:rPr>
              <w:t>眼刺激，类别</w:t>
            </w:r>
            <w:r>
              <w:rPr>
                <w:rFonts w:eastAsia="Times New Roman"/>
                <w:spacing w:val="-3"/>
                <w:szCs w:val="21"/>
              </w:rPr>
              <w:t>2</w:t>
            </w:r>
          </w:p>
          <w:p w14:paraId="08DF45D4">
            <w:pPr>
              <w:spacing w:before="20" w:line="213" w:lineRule="auto"/>
              <w:rPr>
                <w:rFonts w:eastAsia="Times New Roman"/>
                <w:szCs w:val="21"/>
              </w:rPr>
            </w:pPr>
            <w:r>
              <w:rPr>
                <w:spacing w:val="-12"/>
                <w:szCs w:val="21"/>
              </w:rPr>
              <w:t>致</w:t>
            </w:r>
            <w:r>
              <w:rPr>
                <w:spacing w:val="-7"/>
                <w:szCs w:val="21"/>
              </w:rPr>
              <w:t>癌</w:t>
            </w:r>
            <w:r>
              <w:rPr>
                <w:spacing w:val="-6"/>
                <w:szCs w:val="21"/>
              </w:rPr>
              <w:t>性，类别</w:t>
            </w:r>
            <w:r>
              <w:rPr>
                <w:rFonts w:eastAsia="Times New Roman"/>
                <w:spacing w:val="-6"/>
                <w:szCs w:val="21"/>
              </w:rPr>
              <w:t>2</w:t>
            </w:r>
          </w:p>
          <w:p w14:paraId="452AA170">
            <w:pPr>
              <w:spacing w:before="28" w:line="213" w:lineRule="auto"/>
              <w:rPr>
                <w:rFonts w:eastAsia="Times New Roman"/>
                <w:szCs w:val="21"/>
              </w:rPr>
            </w:pPr>
            <w:r>
              <w:rPr>
                <w:spacing w:val="-7"/>
                <w:szCs w:val="21"/>
              </w:rPr>
              <w:t>生</w:t>
            </w:r>
            <w:r>
              <w:rPr>
                <w:spacing w:val="-6"/>
                <w:szCs w:val="21"/>
              </w:rPr>
              <w:t>殖毒性，类别</w:t>
            </w:r>
            <w:r>
              <w:rPr>
                <w:rFonts w:eastAsia="Times New Roman"/>
                <w:spacing w:val="-6"/>
                <w:szCs w:val="21"/>
              </w:rPr>
              <w:t>2</w:t>
            </w:r>
          </w:p>
          <w:p w14:paraId="5ED193DF">
            <w:pPr>
              <w:spacing w:before="32" w:line="213" w:lineRule="auto"/>
              <w:rPr>
                <w:rFonts w:eastAsia="Times New Roman"/>
                <w:szCs w:val="21"/>
              </w:rPr>
            </w:pPr>
            <w:r>
              <w:rPr>
                <w:spacing w:val="-2"/>
                <w:szCs w:val="21"/>
              </w:rPr>
              <w:t>特异性靶器官毒性</w:t>
            </w:r>
            <w:r>
              <w:rPr>
                <w:rFonts w:eastAsia="Times New Roman"/>
                <w:spacing w:val="-2"/>
                <w:szCs w:val="21"/>
              </w:rPr>
              <w:t>-</w:t>
            </w:r>
            <w:r>
              <w:rPr>
                <w:spacing w:val="-2"/>
                <w:szCs w:val="21"/>
              </w:rPr>
              <w:t>反复接触，类别</w:t>
            </w:r>
            <w:r>
              <w:rPr>
                <w:rFonts w:eastAsia="Times New Roman"/>
                <w:szCs w:val="21"/>
              </w:rPr>
              <w:t>1</w:t>
            </w:r>
          </w:p>
        </w:tc>
        <w:tc>
          <w:tcPr>
            <w:tcW w:w="1200" w:type="dxa"/>
          </w:tcPr>
          <w:p w14:paraId="67D3E8F7">
            <w:pPr>
              <w:spacing w:line="331" w:lineRule="auto"/>
            </w:pPr>
          </w:p>
          <w:p w14:paraId="40ADC8FA">
            <w:pPr>
              <w:spacing w:line="331" w:lineRule="auto"/>
            </w:pPr>
          </w:p>
          <w:p w14:paraId="330AEEEE">
            <w:pPr>
              <w:spacing w:before="61" w:line="187" w:lineRule="auto"/>
              <w:ind w:left="567"/>
              <w:rPr>
                <w:rFonts w:eastAsia="Times New Roman"/>
                <w:szCs w:val="21"/>
              </w:rPr>
            </w:pPr>
            <w:r>
              <w:rPr>
                <w:rFonts w:eastAsia="Times New Roman"/>
                <w:spacing w:val="-1"/>
                <w:szCs w:val="21"/>
              </w:rPr>
              <w:t>0.00</w:t>
            </w:r>
            <w:r>
              <w:rPr>
                <w:rFonts w:eastAsia="Times New Roman"/>
                <w:szCs w:val="21"/>
              </w:rPr>
              <w:t>45</w:t>
            </w:r>
          </w:p>
        </w:tc>
        <w:tc>
          <w:tcPr>
            <w:tcW w:w="975" w:type="dxa"/>
          </w:tcPr>
          <w:p w14:paraId="64A25DEA">
            <w:pPr>
              <w:spacing w:line="310" w:lineRule="auto"/>
            </w:pPr>
          </w:p>
          <w:p w14:paraId="448051E2">
            <w:pPr>
              <w:spacing w:line="310" w:lineRule="auto"/>
            </w:pPr>
          </w:p>
          <w:p w14:paraId="7EB397BC">
            <w:pPr>
              <w:spacing w:before="69" w:line="221" w:lineRule="auto"/>
              <w:ind w:left="328"/>
              <w:rPr>
                <w:szCs w:val="21"/>
              </w:rPr>
            </w:pPr>
            <w:r>
              <w:rPr>
                <w:spacing w:val="-2"/>
                <w:szCs w:val="21"/>
              </w:rPr>
              <w:t>戊类</w:t>
            </w:r>
          </w:p>
        </w:tc>
      </w:tr>
      <w:tr w14:paraId="50E30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6005FF4">
            <w:pPr>
              <w:spacing w:before="168" w:line="187" w:lineRule="auto"/>
              <w:ind w:left="190"/>
              <w:rPr>
                <w:rFonts w:eastAsia="Times New Roman"/>
                <w:szCs w:val="21"/>
              </w:rPr>
            </w:pPr>
            <w:r>
              <w:rPr>
                <w:rFonts w:eastAsia="Times New Roman"/>
                <w:spacing w:val="-6"/>
                <w:szCs w:val="21"/>
              </w:rPr>
              <w:t>17</w:t>
            </w:r>
          </w:p>
        </w:tc>
        <w:tc>
          <w:tcPr>
            <w:tcW w:w="1020" w:type="dxa"/>
          </w:tcPr>
          <w:p w14:paraId="458BD754">
            <w:pPr>
              <w:spacing w:before="135" w:line="221" w:lineRule="auto"/>
              <w:rPr>
                <w:szCs w:val="21"/>
              </w:rPr>
            </w:pPr>
            <w:r>
              <w:rPr>
                <w:spacing w:val="-7"/>
                <w:szCs w:val="21"/>
              </w:rPr>
              <w:t>乙</w:t>
            </w:r>
            <w:r>
              <w:rPr>
                <w:spacing w:val="-5"/>
                <w:szCs w:val="21"/>
              </w:rPr>
              <w:t>醇</w:t>
            </w:r>
          </w:p>
        </w:tc>
        <w:tc>
          <w:tcPr>
            <w:tcW w:w="1025" w:type="dxa"/>
          </w:tcPr>
          <w:p w14:paraId="42C44614">
            <w:pPr>
              <w:spacing w:before="171" w:line="183" w:lineRule="auto"/>
              <w:ind w:left="264"/>
              <w:rPr>
                <w:szCs w:val="21"/>
              </w:rPr>
            </w:pPr>
            <w:r>
              <w:rPr>
                <w:spacing w:val="-2"/>
                <w:szCs w:val="21"/>
              </w:rPr>
              <w:t>256</w:t>
            </w:r>
            <w:r>
              <w:rPr>
                <w:spacing w:val="-1"/>
                <w:szCs w:val="21"/>
              </w:rPr>
              <w:t>8</w:t>
            </w:r>
          </w:p>
        </w:tc>
        <w:tc>
          <w:tcPr>
            <w:tcW w:w="3687" w:type="dxa"/>
          </w:tcPr>
          <w:p w14:paraId="4D3AECB2">
            <w:pPr>
              <w:spacing w:before="156" w:line="219" w:lineRule="auto"/>
              <w:rPr>
                <w:szCs w:val="21"/>
              </w:rPr>
            </w:pPr>
            <w:r>
              <w:rPr>
                <w:spacing w:val="-7"/>
                <w:szCs w:val="21"/>
              </w:rPr>
              <w:t>易燃液体，类别2</w:t>
            </w:r>
          </w:p>
        </w:tc>
        <w:tc>
          <w:tcPr>
            <w:tcW w:w="1200" w:type="dxa"/>
          </w:tcPr>
          <w:p w14:paraId="5361055E">
            <w:pPr>
              <w:spacing w:before="169" w:line="187" w:lineRule="auto"/>
              <w:ind w:left="772"/>
              <w:rPr>
                <w:rFonts w:eastAsia="Times New Roman"/>
                <w:szCs w:val="21"/>
              </w:rPr>
            </w:pPr>
            <w:r>
              <w:rPr>
                <w:rFonts w:eastAsia="Times New Roman"/>
                <w:spacing w:val="-9"/>
                <w:szCs w:val="21"/>
              </w:rPr>
              <w:t>1</w:t>
            </w:r>
            <w:r>
              <w:rPr>
                <w:rFonts w:eastAsia="Times New Roman"/>
                <w:spacing w:val="-7"/>
                <w:szCs w:val="21"/>
              </w:rPr>
              <w:t>1</w:t>
            </w:r>
          </w:p>
        </w:tc>
        <w:tc>
          <w:tcPr>
            <w:tcW w:w="975" w:type="dxa"/>
          </w:tcPr>
          <w:p w14:paraId="2C29A649">
            <w:pPr>
              <w:spacing w:before="134" w:line="221" w:lineRule="auto"/>
              <w:ind w:left="354"/>
              <w:rPr>
                <w:szCs w:val="21"/>
              </w:rPr>
            </w:pPr>
            <w:r>
              <w:rPr>
                <w:spacing w:val="-9"/>
                <w:szCs w:val="21"/>
              </w:rPr>
              <w:t>甲</w:t>
            </w:r>
            <w:r>
              <w:rPr>
                <w:spacing w:val="-8"/>
                <w:szCs w:val="21"/>
              </w:rPr>
              <w:t>类</w:t>
            </w:r>
          </w:p>
        </w:tc>
      </w:tr>
      <w:tr w14:paraId="57C7E3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1B4F765">
            <w:pPr>
              <w:spacing w:line="249" w:lineRule="auto"/>
            </w:pPr>
          </w:p>
          <w:p w14:paraId="0C49F596">
            <w:pPr>
              <w:spacing w:line="249" w:lineRule="auto"/>
            </w:pPr>
          </w:p>
          <w:p w14:paraId="46E9A9FC">
            <w:pPr>
              <w:spacing w:line="249" w:lineRule="auto"/>
            </w:pPr>
          </w:p>
          <w:p w14:paraId="39F4BEAF">
            <w:pPr>
              <w:spacing w:line="249" w:lineRule="auto"/>
            </w:pPr>
          </w:p>
          <w:p w14:paraId="7463165C">
            <w:pPr>
              <w:spacing w:line="250" w:lineRule="auto"/>
            </w:pPr>
          </w:p>
          <w:p w14:paraId="3ADB5CC7">
            <w:pPr>
              <w:spacing w:line="250" w:lineRule="auto"/>
            </w:pPr>
          </w:p>
          <w:p w14:paraId="7E5EA96B">
            <w:pPr>
              <w:spacing w:line="250" w:lineRule="auto"/>
            </w:pPr>
          </w:p>
          <w:p w14:paraId="1C495905">
            <w:pPr>
              <w:spacing w:before="61" w:line="187" w:lineRule="auto"/>
              <w:ind w:left="190"/>
              <w:rPr>
                <w:rFonts w:eastAsia="Times New Roman"/>
                <w:szCs w:val="21"/>
              </w:rPr>
            </w:pPr>
            <w:r>
              <w:rPr>
                <w:rFonts w:eastAsia="Times New Roman"/>
                <w:spacing w:val="-6"/>
                <w:szCs w:val="21"/>
              </w:rPr>
              <w:t>18</w:t>
            </w:r>
          </w:p>
        </w:tc>
        <w:tc>
          <w:tcPr>
            <w:tcW w:w="1020" w:type="dxa"/>
          </w:tcPr>
          <w:p w14:paraId="7F9CCB9B">
            <w:pPr>
              <w:spacing w:line="257" w:lineRule="auto"/>
            </w:pPr>
          </w:p>
          <w:p w14:paraId="4340B81D">
            <w:pPr>
              <w:spacing w:line="258" w:lineRule="auto"/>
            </w:pPr>
          </w:p>
          <w:p w14:paraId="20288AA4">
            <w:pPr>
              <w:spacing w:line="258" w:lineRule="auto"/>
            </w:pPr>
          </w:p>
          <w:p w14:paraId="4DB77D18">
            <w:pPr>
              <w:spacing w:line="258" w:lineRule="auto"/>
            </w:pPr>
          </w:p>
          <w:p w14:paraId="102CA718">
            <w:pPr>
              <w:spacing w:line="258" w:lineRule="auto"/>
            </w:pPr>
          </w:p>
          <w:p w14:paraId="29E1EA4E">
            <w:pPr>
              <w:spacing w:line="258" w:lineRule="auto"/>
            </w:pPr>
          </w:p>
          <w:p w14:paraId="47138145">
            <w:pPr>
              <w:rPr>
                <w:szCs w:val="21"/>
              </w:rPr>
            </w:pPr>
            <w:r>
              <w:rPr>
                <w:spacing w:val="-2"/>
                <w:szCs w:val="21"/>
              </w:rPr>
              <w:t>黄</w:t>
            </w:r>
            <w:r>
              <w:rPr>
                <w:spacing w:val="-1"/>
                <w:szCs w:val="21"/>
              </w:rPr>
              <w:t>色氧化</w:t>
            </w:r>
            <w:r>
              <w:rPr>
                <w:szCs w:val="21"/>
              </w:rPr>
              <w:t xml:space="preserve"> 汞</w:t>
            </w:r>
          </w:p>
        </w:tc>
        <w:tc>
          <w:tcPr>
            <w:tcW w:w="1025" w:type="dxa"/>
          </w:tcPr>
          <w:p w14:paraId="5ACEEA70">
            <w:pPr>
              <w:spacing w:line="248" w:lineRule="auto"/>
            </w:pPr>
          </w:p>
          <w:p w14:paraId="7D5DFF3B">
            <w:pPr>
              <w:spacing w:line="248" w:lineRule="auto"/>
            </w:pPr>
          </w:p>
          <w:p w14:paraId="45FEA586">
            <w:pPr>
              <w:spacing w:line="248" w:lineRule="auto"/>
            </w:pPr>
          </w:p>
          <w:p w14:paraId="56A9365C">
            <w:pPr>
              <w:spacing w:line="248" w:lineRule="auto"/>
            </w:pPr>
          </w:p>
          <w:p w14:paraId="716B145D">
            <w:pPr>
              <w:spacing w:line="248" w:lineRule="auto"/>
            </w:pPr>
          </w:p>
          <w:p w14:paraId="646A36C7">
            <w:pPr>
              <w:spacing w:line="249" w:lineRule="auto"/>
            </w:pPr>
          </w:p>
          <w:p w14:paraId="3CFC20C7">
            <w:pPr>
              <w:spacing w:line="249" w:lineRule="auto"/>
            </w:pPr>
          </w:p>
          <w:p w14:paraId="489A99BB">
            <w:pPr>
              <w:spacing w:before="69" w:line="183" w:lineRule="auto"/>
              <w:ind w:left="264"/>
              <w:rPr>
                <w:szCs w:val="21"/>
              </w:rPr>
            </w:pPr>
            <w:r>
              <w:rPr>
                <w:spacing w:val="-2"/>
                <w:szCs w:val="21"/>
              </w:rPr>
              <w:t>253</w:t>
            </w:r>
            <w:r>
              <w:rPr>
                <w:spacing w:val="-1"/>
                <w:szCs w:val="21"/>
              </w:rPr>
              <w:t>3</w:t>
            </w:r>
          </w:p>
        </w:tc>
        <w:tc>
          <w:tcPr>
            <w:tcW w:w="3687" w:type="dxa"/>
          </w:tcPr>
          <w:p w14:paraId="47E13359">
            <w:pPr>
              <w:spacing w:before="31" w:line="241" w:lineRule="auto"/>
              <w:rPr>
                <w:szCs w:val="21"/>
              </w:rPr>
            </w:pPr>
            <w:r>
              <w:rPr>
                <w:spacing w:val="-8"/>
                <w:szCs w:val="21"/>
              </w:rPr>
              <w:t>急</w:t>
            </w:r>
            <w:r>
              <w:rPr>
                <w:spacing w:val="-7"/>
                <w:szCs w:val="21"/>
              </w:rPr>
              <w:t>性</w:t>
            </w:r>
            <w:r>
              <w:rPr>
                <w:spacing w:val="-4"/>
                <w:szCs w:val="21"/>
              </w:rPr>
              <w:t>毒性-经口，类别2</w:t>
            </w:r>
          </w:p>
          <w:p w14:paraId="53A6D1D3">
            <w:pPr>
              <w:spacing w:line="220" w:lineRule="auto"/>
              <w:rPr>
                <w:szCs w:val="21"/>
              </w:rPr>
            </w:pPr>
            <w:r>
              <w:rPr>
                <w:spacing w:val="-8"/>
                <w:szCs w:val="21"/>
              </w:rPr>
              <w:t>急</w:t>
            </w:r>
            <w:r>
              <w:rPr>
                <w:spacing w:val="-7"/>
                <w:szCs w:val="21"/>
              </w:rPr>
              <w:t>性</w:t>
            </w:r>
            <w:r>
              <w:rPr>
                <w:spacing w:val="-4"/>
                <w:szCs w:val="21"/>
              </w:rPr>
              <w:t>毒性-经皮，类别2</w:t>
            </w:r>
          </w:p>
          <w:p w14:paraId="7E25B3F9">
            <w:pPr>
              <w:spacing w:before="19" w:line="218" w:lineRule="auto"/>
              <w:rPr>
                <w:szCs w:val="21"/>
              </w:rPr>
            </w:pPr>
            <w:r>
              <w:rPr>
                <w:spacing w:val="-8"/>
                <w:szCs w:val="21"/>
              </w:rPr>
              <w:t>皮</w:t>
            </w:r>
            <w:r>
              <w:rPr>
                <w:spacing w:val="-4"/>
                <w:szCs w:val="21"/>
              </w:rPr>
              <w:t>肤腐蚀/刺激,类别2</w:t>
            </w:r>
          </w:p>
          <w:p w14:paraId="03A02DB8">
            <w:pPr>
              <w:spacing w:before="25"/>
              <w:ind w:right="493"/>
              <w:rPr>
                <w:szCs w:val="21"/>
              </w:rPr>
            </w:pPr>
            <w:r>
              <w:rPr>
                <w:spacing w:val="-8"/>
                <w:szCs w:val="21"/>
              </w:rPr>
              <w:t>严</w:t>
            </w:r>
            <w:r>
              <w:rPr>
                <w:spacing w:val="-6"/>
                <w:szCs w:val="21"/>
              </w:rPr>
              <w:t>重</w:t>
            </w:r>
            <w:r>
              <w:rPr>
                <w:spacing w:val="-4"/>
                <w:szCs w:val="21"/>
              </w:rPr>
              <w:t>眼损伤/眼刺激，类别2</w:t>
            </w:r>
            <w:r>
              <w:rPr>
                <w:spacing w:val="-6"/>
                <w:szCs w:val="21"/>
              </w:rPr>
              <w:t>皮肤</w:t>
            </w:r>
            <w:r>
              <w:rPr>
                <w:spacing w:val="-5"/>
                <w:szCs w:val="21"/>
              </w:rPr>
              <w:t>致</w:t>
            </w:r>
            <w:r>
              <w:rPr>
                <w:spacing w:val="-3"/>
                <w:szCs w:val="21"/>
              </w:rPr>
              <w:t>敏物，类别1</w:t>
            </w:r>
          </w:p>
          <w:p w14:paraId="7016090C">
            <w:pPr>
              <w:spacing w:line="220" w:lineRule="auto"/>
              <w:rPr>
                <w:szCs w:val="21"/>
              </w:rPr>
            </w:pPr>
            <w:r>
              <w:rPr>
                <w:spacing w:val="-5"/>
                <w:szCs w:val="21"/>
              </w:rPr>
              <w:t>生殖毒性,类别1</w:t>
            </w:r>
            <w:r>
              <w:rPr>
                <w:spacing w:val="-4"/>
                <w:szCs w:val="21"/>
              </w:rPr>
              <w:t>B</w:t>
            </w:r>
          </w:p>
          <w:p w14:paraId="2346F3AC">
            <w:pPr>
              <w:spacing w:line="220" w:lineRule="auto"/>
              <w:rPr>
                <w:szCs w:val="21"/>
              </w:rPr>
            </w:pPr>
            <w:r>
              <w:rPr>
                <w:spacing w:val="-1"/>
                <w:szCs w:val="21"/>
              </w:rPr>
              <w:t>特异性靶器官毒</w:t>
            </w:r>
            <w:r>
              <w:rPr>
                <w:szCs w:val="21"/>
              </w:rPr>
              <w:t>性-一次接触,类别1</w:t>
            </w:r>
          </w:p>
          <w:p w14:paraId="20206B76">
            <w:pPr>
              <w:spacing w:before="27" w:line="239" w:lineRule="auto"/>
              <w:ind w:right="150"/>
              <w:rPr>
                <w:szCs w:val="21"/>
              </w:rPr>
            </w:pPr>
            <w:r>
              <w:rPr>
                <w:spacing w:val="-1"/>
                <w:szCs w:val="21"/>
              </w:rPr>
              <w:t>特异性靶器官毒</w:t>
            </w:r>
            <w:r>
              <w:rPr>
                <w:szCs w:val="21"/>
              </w:rPr>
              <w:t>性-一次接触,类别</w:t>
            </w:r>
            <w:r>
              <w:rPr>
                <w:spacing w:val="-2"/>
                <w:szCs w:val="21"/>
              </w:rPr>
              <w:t>3</w:t>
            </w:r>
            <w:r>
              <w:rPr>
                <w:spacing w:val="-1"/>
                <w:szCs w:val="21"/>
              </w:rPr>
              <w:t>(呼吸道刺激)</w:t>
            </w:r>
          </w:p>
          <w:p w14:paraId="09B96BF5">
            <w:pPr>
              <w:spacing w:before="1" w:line="239" w:lineRule="auto"/>
              <w:ind w:right="150"/>
              <w:rPr>
                <w:szCs w:val="21"/>
              </w:rPr>
            </w:pPr>
            <w:r>
              <w:rPr>
                <w:spacing w:val="-1"/>
                <w:szCs w:val="21"/>
              </w:rPr>
              <w:t>特异性靶器官毒</w:t>
            </w:r>
            <w:r>
              <w:rPr>
                <w:szCs w:val="21"/>
              </w:rPr>
              <w:t>性-反复接触,类别2</w:t>
            </w:r>
          </w:p>
          <w:p w14:paraId="0988AF44">
            <w:pPr>
              <w:spacing w:before="1" w:line="226" w:lineRule="auto"/>
              <w:ind w:right="279"/>
              <w:rPr>
                <w:szCs w:val="21"/>
              </w:rPr>
            </w:pPr>
            <w:r>
              <w:rPr>
                <w:spacing w:val="-6"/>
                <w:szCs w:val="21"/>
              </w:rPr>
              <w:t>危害水</w:t>
            </w:r>
            <w:r>
              <w:rPr>
                <w:spacing w:val="-5"/>
                <w:szCs w:val="21"/>
              </w:rPr>
              <w:t>生</w:t>
            </w:r>
            <w:r>
              <w:rPr>
                <w:spacing w:val="-3"/>
                <w:szCs w:val="21"/>
              </w:rPr>
              <w:t>环境-急性危害,类别1</w:t>
            </w:r>
            <w:r>
              <w:rPr>
                <w:spacing w:val="-6"/>
                <w:szCs w:val="21"/>
              </w:rPr>
              <w:t>危害水</w:t>
            </w:r>
            <w:r>
              <w:rPr>
                <w:spacing w:val="-5"/>
                <w:szCs w:val="21"/>
              </w:rPr>
              <w:t>生</w:t>
            </w:r>
            <w:r>
              <w:rPr>
                <w:spacing w:val="-3"/>
                <w:szCs w:val="21"/>
              </w:rPr>
              <w:t>环境-长期危害,类别1</w:t>
            </w:r>
          </w:p>
        </w:tc>
        <w:tc>
          <w:tcPr>
            <w:tcW w:w="1200" w:type="dxa"/>
          </w:tcPr>
          <w:p w14:paraId="2E11EB0D">
            <w:pPr>
              <w:spacing w:line="248" w:lineRule="auto"/>
            </w:pPr>
          </w:p>
          <w:p w14:paraId="67B85E2A">
            <w:pPr>
              <w:spacing w:line="248" w:lineRule="auto"/>
            </w:pPr>
          </w:p>
          <w:p w14:paraId="02615F9A">
            <w:pPr>
              <w:spacing w:line="248" w:lineRule="auto"/>
            </w:pPr>
          </w:p>
          <w:p w14:paraId="58450273">
            <w:pPr>
              <w:spacing w:line="248" w:lineRule="auto"/>
            </w:pPr>
          </w:p>
          <w:p w14:paraId="7D438E18">
            <w:pPr>
              <w:spacing w:line="248" w:lineRule="auto"/>
            </w:pPr>
          </w:p>
          <w:p w14:paraId="4D3F612C">
            <w:pPr>
              <w:spacing w:line="249" w:lineRule="auto"/>
            </w:pPr>
          </w:p>
          <w:p w14:paraId="555C033E">
            <w:pPr>
              <w:spacing w:line="249" w:lineRule="auto"/>
            </w:pPr>
          </w:p>
          <w:p w14:paraId="03E5E8A5">
            <w:pPr>
              <w:spacing w:before="68" w:line="183" w:lineRule="auto"/>
              <w:ind w:left="438"/>
              <w:rPr>
                <w:szCs w:val="21"/>
              </w:rPr>
            </w:pPr>
            <w:r>
              <w:rPr>
                <w:spacing w:val="-1"/>
                <w:szCs w:val="21"/>
              </w:rPr>
              <w:t>0.00023</w:t>
            </w:r>
            <w:r>
              <w:rPr>
                <w:szCs w:val="21"/>
              </w:rPr>
              <w:t>3</w:t>
            </w:r>
          </w:p>
        </w:tc>
        <w:tc>
          <w:tcPr>
            <w:tcW w:w="975" w:type="dxa"/>
          </w:tcPr>
          <w:p w14:paraId="7F0168A6">
            <w:pPr>
              <w:spacing w:line="243" w:lineRule="auto"/>
            </w:pPr>
          </w:p>
          <w:p w14:paraId="5000B533">
            <w:pPr>
              <w:spacing w:line="243" w:lineRule="auto"/>
            </w:pPr>
          </w:p>
          <w:p w14:paraId="2B15C2A7">
            <w:pPr>
              <w:spacing w:line="243" w:lineRule="auto"/>
            </w:pPr>
          </w:p>
          <w:p w14:paraId="193B41DE">
            <w:pPr>
              <w:spacing w:line="243" w:lineRule="auto"/>
            </w:pPr>
          </w:p>
          <w:p w14:paraId="0870EC82">
            <w:pPr>
              <w:spacing w:line="243" w:lineRule="auto"/>
            </w:pPr>
          </w:p>
          <w:p w14:paraId="13663F7E">
            <w:pPr>
              <w:spacing w:line="243" w:lineRule="auto"/>
            </w:pPr>
          </w:p>
          <w:p w14:paraId="57E44BA3">
            <w:pPr>
              <w:spacing w:line="244" w:lineRule="auto"/>
            </w:pPr>
          </w:p>
          <w:p w14:paraId="4FB1AC03">
            <w:pPr>
              <w:spacing w:before="69" w:line="221" w:lineRule="auto"/>
              <w:ind w:left="328"/>
              <w:rPr>
                <w:szCs w:val="21"/>
              </w:rPr>
            </w:pPr>
            <w:r>
              <w:rPr>
                <w:spacing w:val="-2"/>
                <w:szCs w:val="21"/>
              </w:rPr>
              <w:t>戊类</w:t>
            </w:r>
          </w:p>
        </w:tc>
      </w:tr>
      <w:tr w14:paraId="3759D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4299CCC">
            <w:pPr>
              <w:spacing w:line="264" w:lineRule="auto"/>
            </w:pPr>
          </w:p>
          <w:p w14:paraId="1607CAD4">
            <w:pPr>
              <w:spacing w:line="265" w:lineRule="auto"/>
            </w:pPr>
          </w:p>
          <w:p w14:paraId="6ACA6345">
            <w:pPr>
              <w:spacing w:before="60" w:line="187" w:lineRule="auto"/>
              <w:ind w:left="190"/>
              <w:rPr>
                <w:rFonts w:eastAsia="Times New Roman"/>
                <w:szCs w:val="21"/>
              </w:rPr>
            </w:pPr>
            <w:r>
              <w:rPr>
                <w:rFonts w:eastAsia="Times New Roman"/>
                <w:spacing w:val="-6"/>
                <w:szCs w:val="21"/>
              </w:rPr>
              <w:t>19</w:t>
            </w:r>
          </w:p>
        </w:tc>
        <w:tc>
          <w:tcPr>
            <w:tcW w:w="1020" w:type="dxa"/>
          </w:tcPr>
          <w:p w14:paraId="4BC9CC70">
            <w:pPr>
              <w:spacing w:line="244" w:lineRule="auto"/>
            </w:pPr>
          </w:p>
          <w:p w14:paraId="13DC2850">
            <w:pPr>
              <w:spacing w:before="68" w:line="221" w:lineRule="auto"/>
              <w:rPr>
                <w:szCs w:val="21"/>
              </w:rPr>
            </w:pPr>
            <w:r>
              <w:rPr>
                <w:spacing w:val="-2"/>
                <w:szCs w:val="21"/>
              </w:rPr>
              <w:t>异丁</w:t>
            </w:r>
            <w:r>
              <w:rPr>
                <w:spacing w:val="-1"/>
                <w:szCs w:val="21"/>
              </w:rPr>
              <w:t>醇</w:t>
            </w:r>
          </w:p>
        </w:tc>
        <w:tc>
          <w:tcPr>
            <w:tcW w:w="1025" w:type="dxa"/>
          </w:tcPr>
          <w:p w14:paraId="4C18B08D">
            <w:pPr>
              <w:spacing w:line="261" w:lineRule="auto"/>
            </w:pPr>
          </w:p>
          <w:p w14:paraId="3D076558">
            <w:pPr>
              <w:spacing w:line="261" w:lineRule="auto"/>
            </w:pPr>
          </w:p>
          <w:p w14:paraId="06EBF258">
            <w:pPr>
              <w:spacing w:before="68" w:line="184" w:lineRule="auto"/>
              <w:ind w:left="277"/>
              <w:rPr>
                <w:szCs w:val="21"/>
              </w:rPr>
            </w:pPr>
            <w:r>
              <w:rPr>
                <w:spacing w:val="-5"/>
                <w:szCs w:val="21"/>
              </w:rPr>
              <w:t>1</w:t>
            </w:r>
            <w:r>
              <w:rPr>
                <w:spacing w:val="-4"/>
                <w:szCs w:val="21"/>
              </w:rPr>
              <w:t>033</w:t>
            </w:r>
          </w:p>
        </w:tc>
        <w:tc>
          <w:tcPr>
            <w:tcW w:w="3687" w:type="dxa"/>
          </w:tcPr>
          <w:p w14:paraId="2E4F8F4F">
            <w:pPr>
              <w:spacing w:before="33" w:line="241" w:lineRule="auto"/>
              <w:rPr>
                <w:szCs w:val="21"/>
              </w:rPr>
            </w:pPr>
            <w:r>
              <w:rPr>
                <w:spacing w:val="-12"/>
                <w:szCs w:val="21"/>
              </w:rPr>
              <w:t>易</w:t>
            </w:r>
            <w:r>
              <w:rPr>
                <w:spacing w:val="-7"/>
                <w:szCs w:val="21"/>
              </w:rPr>
              <w:t>燃</w:t>
            </w:r>
            <w:r>
              <w:rPr>
                <w:spacing w:val="-6"/>
                <w:szCs w:val="21"/>
              </w:rPr>
              <w:t>液体，类别3</w:t>
            </w:r>
          </w:p>
          <w:p w14:paraId="6F14B13C">
            <w:pPr>
              <w:spacing w:line="217" w:lineRule="auto"/>
              <w:rPr>
                <w:szCs w:val="21"/>
              </w:rPr>
            </w:pPr>
            <w:r>
              <w:rPr>
                <w:spacing w:val="-8"/>
                <w:szCs w:val="21"/>
              </w:rPr>
              <w:t>皮</w:t>
            </w:r>
            <w:r>
              <w:rPr>
                <w:spacing w:val="-4"/>
                <w:szCs w:val="21"/>
              </w:rPr>
              <w:t>肤腐蚀/刺激,类别 2</w:t>
            </w:r>
          </w:p>
          <w:p w14:paraId="31033216">
            <w:pPr>
              <w:spacing w:before="23" w:line="218" w:lineRule="auto"/>
              <w:rPr>
                <w:szCs w:val="21"/>
              </w:rPr>
            </w:pPr>
            <w:r>
              <w:rPr>
                <w:spacing w:val="-4"/>
                <w:szCs w:val="21"/>
              </w:rPr>
              <w:t>严重眼损伤</w:t>
            </w:r>
            <w:r>
              <w:rPr>
                <w:spacing w:val="-3"/>
                <w:szCs w:val="21"/>
              </w:rPr>
              <w:t>/</w:t>
            </w:r>
            <w:r>
              <w:rPr>
                <w:spacing w:val="-2"/>
                <w:szCs w:val="21"/>
              </w:rPr>
              <w:t>眼刺激,类别 1</w:t>
            </w:r>
          </w:p>
          <w:p w14:paraId="09D59B43">
            <w:pPr>
              <w:spacing w:before="26" w:line="226" w:lineRule="auto"/>
              <w:ind w:right="150"/>
              <w:rPr>
                <w:szCs w:val="21"/>
              </w:rPr>
            </w:pPr>
            <w:r>
              <w:rPr>
                <w:spacing w:val="-1"/>
                <w:szCs w:val="21"/>
              </w:rPr>
              <w:t>特异性靶器官毒</w:t>
            </w:r>
            <w:r>
              <w:rPr>
                <w:szCs w:val="21"/>
              </w:rPr>
              <w:t xml:space="preserve">性-一次接触,类别 </w:t>
            </w:r>
            <w:r>
              <w:rPr>
                <w:spacing w:val="-1"/>
                <w:szCs w:val="21"/>
              </w:rPr>
              <w:t>3 (呼吸道刺激、麻醉</w:t>
            </w:r>
            <w:r>
              <w:rPr>
                <w:szCs w:val="21"/>
              </w:rPr>
              <w:t>效应)</w:t>
            </w:r>
          </w:p>
        </w:tc>
        <w:tc>
          <w:tcPr>
            <w:tcW w:w="1200" w:type="dxa"/>
          </w:tcPr>
          <w:p w14:paraId="081C0905">
            <w:pPr>
              <w:spacing w:line="261" w:lineRule="auto"/>
            </w:pPr>
          </w:p>
          <w:p w14:paraId="15231A46">
            <w:pPr>
              <w:spacing w:line="261" w:lineRule="auto"/>
            </w:pPr>
          </w:p>
          <w:p w14:paraId="7807CBDC">
            <w:pPr>
              <w:spacing w:before="69" w:line="183" w:lineRule="auto"/>
              <w:ind w:left="543"/>
              <w:rPr>
                <w:szCs w:val="21"/>
              </w:rPr>
            </w:pPr>
            <w:r>
              <w:rPr>
                <w:spacing w:val="-1"/>
                <w:szCs w:val="21"/>
              </w:rPr>
              <w:t>0.0015</w:t>
            </w:r>
          </w:p>
        </w:tc>
        <w:tc>
          <w:tcPr>
            <w:tcW w:w="975" w:type="dxa"/>
          </w:tcPr>
          <w:p w14:paraId="3E669A2B">
            <w:pPr>
              <w:spacing w:line="243" w:lineRule="auto"/>
            </w:pPr>
          </w:p>
          <w:p w14:paraId="4384EF86">
            <w:pPr>
              <w:spacing w:line="244" w:lineRule="auto"/>
            </w:pPr>
          </w:p>
          <w:p w14:paraId="04517A0D">
            <w:pPr>
              <w:spacing w:before="68" w:line="221" w:lineRule="auto"/>
              <w:ind w:left="354"/>
              <w:rPr>
                <w:szCs w:val="21"/>
              </w:rPr>
            </w:pPr>
            <w:r>
              <w:rPr>
                <w:spacing w:val="-9"/>
                <w:szCs w:val="21"/>
              </w:rPr>
              <w:t>甲</w:t>
            </w:r>
            <w:r>
              <w:rPr>
                <w:spacing w:val="-8"/>
                <w:szCs w:val="21"/>
              </w:rPr>
              <w:t>类</w:t>
            </w:r>
          </w:p>
        </w:tc>
      </w:tr>
      <w:tr w14:paraId="7C22E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396F873">
            <w:pPr>
              <w:spacing w:line="258" w:lineRule="auto"/>
            </w:pPr>
          </w:p>
          <w:p w14:paraId="174ED356">
            <w:pPr>
              <w:spacing w:before="61" w:line="187" w:lineRule="auto"/>
              <w:ind w:left="169"/>
              <w:rPr>
                <w:rFonts w:eastAsia="Times New Roman"/>
                <w:szCs w:val="21"/>
              </w:rPr>
            </w:pPr>
            <w:r>
              <w:rPr>
                <w:rFonts w:eastAsia="Times New Roman"/>
                <w:spacing w:val="-1"/>
                <w:szCs w:val="21"/>
              </w:rPr>
              <w:t>20</w:t>
            </w:r>
          </w:p>
        </w:tc>
        <w:tc>
          <w:tcPr>
            <w:tcW w:w="1020" w:type="dxa"/>
          </w:tcPr>
          <w:p w14:paraId="2E62DC64">
            <w:pPr>
              <w:rPr>
                <w:szCs w:val="21"/>
              </w:rPr>
            </w:pPr>
            <w:r>
              <w:rPr>
                <w:spacing w:val="-4"/>
                <w:szCs w:val="21"/>
              </w:rPr>
              <w:t>溴</w:t>
            </w:r>
            <w:r>
              <w:rPr>
                <w:spacing w:val="-2"/>
                <w:szCs w:val="21"/>
              </w:rPr>
              <w:t>乙酸乙</w:t>
            </w:r>
            <w:r>
              <w:rPr>
                <w:szCs w:val="21"/>
              </w:rPr>
              <w:t xml:space="preserve"> 酯</w:t>
            </w:r>
          </w:p>
        </w:tc>
        <w:tc>
          <w:tcPr>
            <w:tcW w:w="1025" w:type="dxa"/>
          </w:tcPr>
          <w:p w14:paraId="6EC8ED7D">
            <w:pPr>
              <w:spacing w:line="253" w:lineRule="auto"/>
            </w:pPr>
          </w:p>
          <w:p w14:paraId="71CBAB62">
            <w:pPr>
              <w:spacing w:before="68" w:line="183" w:lineRule="auto"/>
              <w:ind w:left="264"/>
              <w:rPr>
                <w:szCs w:val="21"/>
              </w:rPr>
            </w:pPr>
            <w:r>
              <w:rPr>
                <w:spacing w:val="-2"/>
                <w:szCs w:val="21"/>
              </w:rPr>
              <w:t>243</w:t>
            </w:r>
            <w:r>
              <w:rPr>
                <w:spacing w:val="-1"/>
                <w:szCs w:val="21"/>
              </w:rPr>
              <w:t>2</w:t>
            </w:r>
          </w:p>
        </w:tc>
        <w:tc>
          <w:tcPr>
            <w:tcW w:w="3687" w:type="dxa"/>
          </w:tcPr>
          <w:p w14:paraId="3F068CD0">
            <w:pPr>
              <w:spacing w:before="34" w:line="221" w:lineRule="auto"/>
              <w:rPr>
                <w:szCs w:val="21"/>
              </w:rPr>
            </w:pPr>
            <w:r>
              <w:rPr>
                <w:spacing w:val="-8"/>
                <w:szCs w:val="21"/>
              </w:rPr>
              <w:t>急性</w:t>
            </w:r>
            <w:r>
              <w:rPr>
                <w:spacing w:val="-4"/>
                <w:szCs w:val="21"/>
              </w:rPr>
              <w:t>毒性-经口,类别 2*</w:t>
            </w:r>
          </w:p>
          <w:p w14:paraId="405A3857">
            <w:pPr>
              <w:spacing w:before="19" w:line="221" w:lineRule="auto"/>
              <w:rPr>
                <w:szCs w:val="21"/>
              </w:rPr>
            </w:pPr>
            <w:r>
              <w:rPr>
                <w:spacing w:val="-6"/>
                <w:szCs w:val="21"/>
              </w:rPr>
              <w:t>急性</w:t>
            </w:r>
            <w:r>
              <w:rPr>
                <w:spacing w:val="-3"/>
                <w:szCs w:val="21"/>
              </w:rPr>
              <w:t>毒性-经皮,类别 1</w:t>
            </w:r>
          </w:p>
          <w:p w14:paraId="25A291AE">
            <w:pPr>
              <w:spacing w:before="22" w:line="212" w:lineRule="auto"/>
              <w:rPr>
                <w:szCs w:val="21"/>
              </w:rPr>
            </w:pPr>
            <w:r>
              <w:rPr>
                <w:spacing w:val="-8"/>
                <w:szCs w:val="21"/>
              </w:rPr>
              <w:t>急性</w:t>
            </w:r>
            <w:r>
              <w:rPr>
                <w:spacing w:val="-4"/>
                <w:szCs w:val="21"/>
              </w:rPr>
              <w:t>毒性-吸入,类别 2*</w:t>
            </w:r>
          </w:p>
        </w:tc>
        <w:tc>
          <w:tcPr>
            <w:tcW w:w="1200" w:type="dxa"/>
          </w:tcPr>
          <w:p w14:paraId="2327B4B8">
            <w:pPr>
              <w:spacing w:line="252" w:lineRule="auto"/>
            </w:pPr>
          </w:p>
          <w:p w14:paraId="1E923C00">
            <w:pPr>
              <w:spacing w:before="68" w:line="183" w:lineRule="auto"/>
              <w:ind w:left="596"/>
              <w:rPr>
                <w:szCs w:val="21"/>
              </w:rPr>
            </w:pPr>
            <w:r>
              <w:rPr>
                <w:spacing w:val="-2"/>
                <w:szCs w:val="21"/>
              </w:rPr>
              <w:t>0</w:t>
            </w:r>
            <w:r>
              <w:rPr>
                <w:spacing w:val="-1"/>
                <w:szCs w:val="21"/>
              </w:rPr>
              <w:t>.013</w:t>
            </w:r>
          </w:p>
        </w:tc>
        <w:tc>
          <w:tcPr>
            <w:tcW w:w="975" w:type="dxa"/>
          </w:tcPr>
          <w:p w14:paraId="51B093FC">
            <w:pPr>
              <w:spacing w:before="286" w:line="221" w:lineRule="auto"/>
              <w:ind w:left="344"/>
              <w:rPr>
                <w:szCs w:val="21"/>
              </w:rPr>
            </w:pPr>
            <w:r>
              <w:rPr>
                <w:spacing w:val="-7"/>
                <w:szCs w:val="21"/>
              </w:rPr>
              <w:t>乙</w:t>
            </w:r>
            <w:r>
              <w:rPr>
                <w:spacing w:val="-5"/>
                <w:szCs w:val="21"/>
              </w:rPr>
              <w:t>类</w:t>
            </w:r>
          </w:p>
        </w:tc>
      </w:tr>
      <w:tr w14:paraId="577E0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D2A8344">
            <w:pPr>
              <w:spacing w:line="265" w:lineRule="auto"/>
            </w:pPr>
          </w:p>
          <w:p w14:paraId="7B3DC51A">
            <w:pPr>
              <w:spacing w:line="265" w:lineRule="auto"/>
            </w:pPr>
          </w:p>
          <w:p w14:paraId="3A500092">
            <w:pPr>
              <w:spacing w:before="60" w:line="187" w:lineRule="auto"/>
              <w:ind w:left="169"/>
              <w:rPr>
                <w:rFonts w:eastAsia="Times New Roman"/>
                <w:szCs w:val="21"/>
              </w:rPr>
            </w:pPr>
            <w:r>
              <w:rPr>
                <w:rFonts w:eastAsia="Times New Roman"/>
                <w:spacing w:val="-1"/>
                <w:szCs w:val="21"/>
              </w:rPr>
              <w:t>21</w:t>
            </w:r>
          </w:p>
        </w:tc>
        <w:tc>
          <w:tcPr>
            <w:tcW w:w="1020" w:type="dxa"/>
          </w:tcPr>
          <w:p w14:paraId="6B756926">
            <w:pPr>
              <w:spacing w:line="244" w:lineRule="auto"/>
            </w:pPr>
          </w:p>
          <w:p w14:paraId="771B669D">
            <w:pPr>
              <w:spacing w:line="244" w:lineRule="auto"/>
            </w:pPr>
          </w:p>
          <w:p w14:paraId="42817507">
            <w:pPr>
              <w:spacing w:before="68" w:line="221" w:lineRule="auto"/>
              <w:rPr>
                <w:szCs w:val="21"/>
              </w:rPr>
            </w:pPr>
            <w:r>
              <w:rPr>
                <w:spacing w:val="-2"/>
                <w:szCs w:val="21"/>
              </w:rPr>
              <w:t>三</w:t>
            </w:r>
            <w:r>
              <w:rPr>
                <w:spacing w:val="-1"/>
                <w:szCs w:val="21"/>
              </w:rPr>
              <w:t>氯化磷</w:t>
            </w:r>
          </w:p>
        </w:tc>
        <w:tc>
          <w:tcPr>
            <w:tcW w:w="1025" w:type="dxa"/>
          </w:tcPr>
          <w:p w14:paraId="1BB7E2E8">
            <w:pPr>
              <w:spacing w:line="261" w:lineRule="auto"/>
            </w:pPr>
          </w:p>
          <w:p w14:paraId="078730F4">
            <w:pPr>
              <w:spacing w:line="262" w:lineRule="auto"/>
            </w:pPr>
          </w:p>
          <w:p w14:paraId="21BFCA8F">
            <w:pPr>
              <w:spacing w:before="68" w:line="184" w:lineRule="auto"/>
              <w:ind w:left="277"/>
              <w:rPr>
                <w:szCs w:val="21"/>
              </w:rPr>
            </w:pPr>
            <w:r>
              <w:rPr>
                <w:spacing w:val="-5"/>
                <w:szCs w:val="21"/>
              </w:rPr>
              <w:t>1</w:t>
            </w:r>
            <w:r>
              <w:rPr>
                <w:spacing w:val="-4"/>
                <w:szCs w:val="21"/>
              </w:rPr>
              <w:t>841</w:t>
            </w:r>
          </w:p>
        </w:tc>
        <w:tc>
          <w:tcPr>
            <w:tcW w:w="3687" w:type="dxa"/>
          </w:tcPr>
          <w:p w14:paraId="4DF245DB">
            <w:pPr>
              <w:spacing w:before="33"/>
              <w:ind w:right="649"/>
              <w:rPr>
                <w:szCs w:val="21"/>
              </w:rPr>
            </w:pPr>
            <w:r>
              <w:rPr>
                <w:spacing w:val="-5"/>
                <w:szCs w:val="21"/>
              </w:rPr>
              <w:t>急性毒性-经口,类别2*</w:t>
            </w:r>
          </w:p>
          <w:p w14:paraId="17DF6AA0">
            <w:pPr>
              <w:spacing w:before="33"/>
              <w:ind w:right="649"/>
              <w:rPr>
                <w:szCs w:val="21"/>
              </w:rPr>
            </w:pPr>
            <w:r>
              <w:rPr>
                <w:spacing w:val="-8"/>
                <w:szCs w:val="21"/>
              </w:rPr>
              <w:t>急性</w:t>
            </w:r>
            <w:r>
              <w:rPr>
                <w:spacing w:val="-6"/>
                <w:szCs w:val="21"/>
              </w:rPr>
              <w:t>毒</w:t>
            </w:r>
            <w:r>
              <w:rPr>
                <w:spacing w:val="-4"/>
                <w:szCs w:val="21"/>
              </w:rPr>
              <w:t>性-吸入,类别2*</w:t>
            </w:r>
            <w:r>
              <w:rPr>
                <w:spacing w:val="-8"/>
                <w:szCs w:val="21"/>
              </w:rPr>
              <w:t>皮肤</w:t>
            </w:r>
            <w:r>
              <w:rPr>
                <w:spacing w:val="-6"/>
                <w:szCs w:val="21"/>
              </w:rPr>
              <w:t>腐</w:t>
            </w:r>
            <w:r>
              <w:rPr>
                <w:spacing w:val="-4"/>
                <w:szCs w:val="21"/>
              </w:rPr>
              <w:t>蚀/刺激,类别1A</w:t>
            </w:r>
          </w:p>
          <w:p w14:paraId="37D08667">
            <w:pPr>
              <w:spacing w:line="228" w:lineRule="auto"/>
              <w:ind w:right="150"/>
              <w:rPr>
                <w:szCs w:val="21"/>
              </w:rPr>
            </w:pPr>
            <w:r>
              <w:rPr>
                <w:spacing w:val="-8"/>
                <w:szCs w:val="21"/>
              </w:rPr>
              <w:t>严</w:t>
            </w:r>
            <w:r>
              <w:rPr>
                <w:spacing w:val="-6"/>
                <w:szCs w:val="21"/>
              </w:rPr>
              <w:t>重</w:t>
            </w:r>
            <w:r>
              <w:rPr>
                <w:spacing w:val="-4"/>
                <w:szCs w:val="21"/>
              </w:rPr>
              <w:t>眼损伤/眼刺激,类别1</w:t>
            </w:r>
          </w:p>
          <w:p w14:paraId="68017768">
            <w:pPr>
              <w:spacing w:line="228" w:lineRule="auto"/>
              <w:ind w:right="150"/>
              <w:rPr>
                <w:szCs w:val="21"/>
              </w:rPr>
            </w:pPr>
            <w:r>
              <w:rPr>
                <w:spacing w:val="-1"/>
                <w:szCs w:val="21"/>
              </w:rPr>
              <w:t>特异性靶器官毒</w:t>
            </w:r>
            <w:r>
              <w:rPr>
                <w:szCs w:val="21"/>
              </w:rPr>
              <w:t>性-反复接触,类别</w:t>
            </w:r>
            <w:r>
              <w:rPr>
                <w:spacing w:val="-3"/>
                <w:szCs w:val="21"/>
              </w:rPr>
              <w:t>2</w:t>
            </w:r>
            <w:r>
              <w:rPr>
                <w:spacing w:val="-2"/>
                <w:szCs w:val="21"/>
              </w:rPr>
              <w:t>*</w:t>
            </w:r>
          </w:p>
        </w:tc>
        <w:tc>
          <w:tcPr>
            <w:tcW w:w="1200" w:type="dxa"/>
          </w:tcPr>
          <w:p w14:paraId="4209199C">
            <w:pPr>
              <w:spacing w:line="261" w:lineRule="auto"/>
            </w:pPr>
          </w:p>
          <w:p w14:paraId="1DFEA9C4">
            <w:pPr>
              <w:spacing w:line="262" w:lineRule="auto"/>
            </w:pPr>
          </w:p>
          <w:p w14:paraId="5F3300E9">
            <w:pPr>
              <w:spacing w:before="69" w:line="183" w:lineRule="auto"/>
              <w:ind w:left="490"/>
              <w:rPr>
                <w:szCs w:val="21"/>
              </w:rPr>
            </w:pPr>
            <w:r>
              <w:rPr>
                <w:spacing w:val="-1"/>
                <w:szCs w:val="21"/>
              </w:rPr>
              <w:t>0.00157</w:t>
            </w:r>
          </w:p>
        </w:tc>
        <w:tc>
          <w:tcPr>
            <w:tcW w:w="975" w:type="dxa"/>
          </w:tcPr>
          <w:p w14:paraId="4C706CC2">
            <w:pPr>
              <w:spacing w:line="244" w:lineRule="auto"/>
            </w:pPr>
          </w:p>
          <w:p w14:paraId="7A85701F">
            <w:pPr>
              <w:spacing w:line="244" w:lineRule="auto"/>
            </w:pPr>
          </w:p>
          <w:p w14:paraId="25788694">
            <w:pPr>
              <w:spacing w:before="68" w:line="221" w:lineRule="auto"/>
              <w:ind w:left="328"/>
              <w:rPr>
                <w:szCs w:val="21"/>
              </w:rPr>
            </w:pPr>
            <w:r>
              <w:rPr>
                <w:spacing w:val="-2"/>
                <w:szCs w:val="21"/>
              </w:rPr>
              <w:t>戊类</w:t>
            </w:r>
          </w:p>
        </w:tc>
      </w:tr>
      <w:tr w14:paraId="0F449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A14F282">
            <w:pPr>
              <w:spacing w:before="222" w:line="187" w:lineRule="auto"/>
              <w:ind w:left="169"/>
              <w:rPr>
                <w:rFonts w:eastAsia="Times New Roman"/>
                <w:szCs w:val="21"/>
              </w:rPr>
            </w:pPr>
            <w:r>
              <w:rPr>
                <w:rFonts w:eastAsia="Times New Roman"/>
                <w:spacing w:val="-1"/>
                <w:szCs w:val="21"/>
              </w:rPr>
              <w:t>22</w:t>
            </w:r>
          </w:p>
        </w:tc>
        <w:tc>
          <w:tcPr>
            <w:tcW w:w="1020" w:type="dxa"/>
          </w:tcPr>
          <w:p w14:paraId="3299DC81">
            <w:pPr>
              <w:rPr>
                <w:spacing w:val="-9"/>
                <w:szCs w:val="21"/>
              </w:rPr>
            </w:pPr>
            <w:r>
              <w:rPr>
                <w:spacing w:val="-4"/>
                <w:szCs w:val="21"/>
              </w:rPr>
              <w:t>原</w:t>
            </w:r>
            <w:r>
              <w:rPr>
                <w:spacing w:val="-3"/>
                <w:szCs w:val="21"/>
              </w:rPr>
              <w:t>甲</w:t>
            </w:r>
            <w:r>
              <w:rPr>
                <w:spacing w:val="-2"/>
                <w:szCs w:val="21"/>
              </w:rPr>
              <w:t>酸三</w:t>
            </w:r>
            <w:r>
              <w:rPr>
                <w:spacing w:val="-7"/>
                <w:szCs w:val="21"/>
              </w:rPr>
              <w:t>乙</w:t>
            </w:r>
            <w:r>
              <w:rPr>
                <w:spacing w:val="-5"/>
                <w:szCs w:val="21"/>
              </w:rPr>
              <w:t>酯</w:t>
            </w:r>
          </w:p>
        </w:tc>
        <w:tc>
          <w:tcPr>
            <w:tcW w:w="1025" w:type="dxa"/>
          </w:tcPr>
          <w:p w14:paraId="33A69DAE">
            <w:pPr>
              <w:spacing w:before="224" w:line="183" w:lineRule="auto"/>
              <w:ind w:left="264"/>
              <w:rPr>
                <w:rFonts w:eastAsia="Times New Roman"/>
                <w:spacing w:val="-5"/>
                <w:szCs w:val="21"/>
              </w:rPr>
            </w:pPr>
            <w:r>
              <w:rPr>
                <w:spacing w:val="-2"/>
                <w:szCs w:val="21"/>
              </w:rPr>
              <w:t>274</w:t>
            </w:r>
            <w:r>
              <w:rPr>
                <w:spacing w:val="-1"/>
                <w:szCs w:val="21"/>
              </w:rPr>
              <w:t>7</w:t>
            </w:r>
          </w:p>
        </w:tc>
        <w:tc>
          <w:tcPr>
            <w:tcW w:w="3687" w:type="dxa"/>
          </w:tcPr>
          <w:p w14:paraId="696E2D92">
            <w:pPr>
              <w:spacing w:before="207" w:line="219" w:lineRule="auto"/>
              <w:rPr>
                <w:spacing w:val="-8"/>
                <w:szCs w:val="21"/>
              </w:rPr>
            </w:pPr>
            <w:r>
              <w:rPr>
                <w:spacing w:val="-12"/>
                <w:szCs w:val="21"/>
              </w:rPr>
              <w:t>易</w:t>
            </w:r>
            <w:r>
              <w:rPr>
                <w:spacing w:val="-7"/>
                <w:szCs w:val="21"/>
              </w:rPr>
              <w:t>燃</w:t>
            </w:r>
            <w:r>
              <w:rPr>
                <w:spacing w:val="-6"/>
                <w:szCs w:val="21"/>
              </w:rPr>
              <w:t>液体，类别 3</w:t>
            </w:r>
          </w:p>
        </w:tc>
        <w:tc>
          <w:tcPr>
            <w:tcW w:w="1200" w:type="dxa"/>
          </w:tcPr>
          <w:p w14:paraId="60DAE2BD">
            <w:pPr>
              <w:spacing w:before="223" w:line="183" w:lineRule="auto"/>
              <w:ind w:left="543"/>
              <w:rPr>
                <w:rFonts w:eastAsia="Times New Roman"/>
                <w:spacing w:val="-2"/>
                <w:szCs w:val="21"/>
              </w:rPr>
            </w:pPr>
            <w:r>
              <w:rPr>
                <w:spacing w:val="-1"/>
                <w:szCs w:val="21"/>
              </w:rPr>
              <w:t>0.1219</w:t>
            </w:r>
          </w:p>
        </w:tc>
        <w:tc>
          <w:tcPr>
            <w:tcW w:w="975" w:type="dxa"/>
          </w:tcPr>
          <w:p w14:paraId="6EC05B46">
            <w:pPr>
              <w:spacing w:before="187" w:line="221" w:lineRule="auto"/>
              <w:ind w:left="344"/>
              <w:rPr>
                <w:spacing w:val="-9"/>
                <w:szCs w:val="21"/>
              </w:rPr>
            </w:pPr>
            <w:r>
              <w:rPr>
                <w:spacing w:val="-7"/>
                <w:szCs w:val="21"/>
              </w:rPr>
              <w:t>乙</w:t>
            </w:r>
            <w:r>
              <w:rPr>
                <w:spacing w:val="-5"/>
                <w:szCs w:val="21"/>
              </w:rPr>
              <w:t>类</w:t>
            </w:r>
          </w:p>
        </w:tc>
      </w:tr>
      <w:tr w14:paraId="1EEAF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9236986">
            <w:pPr>
              <w:spacing w:line="266" w:lineRule="auto"/>
            </w:pPr>
          </w:p>
          <w:p w14:paraId="20407F3B">
            <w:pPr>
              <w:spacing w:line="267" w:lineRule="auto"/>
            </w:pPr>
          </w:p>
          <w:p w14:paraId="282B1109">
            <w:pPr>
              <w:spacing w:line="267" w:lineRule="auto"/>
            </w:pPr>
          </w:p>
          <w:p w14:paraId="045BA9E9">
            <w:pPr>
              <w:spacing w:line="267" w:lineRule="auto"/>
            </w:pPr>
          </w:p>
          <w:p w14:paraId="13CBC400">
            <w:pPr>
              <w:spacing w:before="60" w:line="187" w:lineRule="auto"/>
              <w:ind w:left="169"/>
              <w:rPr>
                <w:rFonts w:eastAsia="Times New Roman"/>
                <w:szCs w:val="21"/>
              </w:rPr>
            </w:pPr>
            <w:r>
              <w:rPr>
                <w:rFonts w:eastAsia="Times New Roman"/>
                <w:spacing w:val="-1"/>
                <w:szCs w:val="21"/>
              </w:rPr>
              <w:t>23</w:t>
            </w:r>
          </w:p>
        </w:tc>
        <w:tc>
          <w:tcPr>
            <w:tcW w:w="1020" w:type="dxa"/>
          </w:tcPr>
          <w:p w14:paraId="7963BC06">
            <w:pPr>
              <w:spacing w:line="256" w:lineRule="auto"/>
            </w:pPr>
          </w:p>
          <w:p w14:paraId="3E023FC8">
            <w:pPr>
              <w:spacing w:line="256" w:lineRule="auto"/>
            </w:pPr>
          </w:p>
          <w:p w14:paraId="2B97D1C4">
            <w:pPr>
              <w:spacing w:line="256" w:lineRule="auto"/>
            </w:pPr>
          </w:p>
          <w:p w14:paraId="710CD089">
            <w:pPr>
              <w:spacing w:line="257" w:lineRule="auto"/>
            </w:pPr>
          </w:p>
          <w:p w14:paraId="1544B1F4">
            <w:pPr>
              <w:spacing w:before="68" w:line="221" w:lineRule="auto"/>
              <w:rPr>
                <w:spacing w:val="-9"/>
                <w:szCs w:val="21"/>
              </w:rPr>
            </w:pPr>
            <w:r>
              <w:rPr>
                <w:spacing w:val="-2"/>
                <w:szCs w:val="21"/>
              </w:rPr>
              <w:t>氯化汞</w:t>
            </w:r>
          </w:p>
        </w:tc>
        <w:tc>
          <w:tcPr>
            <w:tcW w:w="1025" w:type="dxa"/>
          </w:tcPr>
          <w:p w14:paraId="4A18BECB">
            <w:pPr>
              <w:spacing w:line="265" w:lineRule="auto"/>
            </w:pPr>
          </w:p>
          <w:p w14:paraId="387D305A">
            <w:pPr>
              <w:spacing w:line="265" w:lineRule="auto"/>
            </w:pPr>
          </w:p>
          <w:p w14:paraId="700FDBF4">
            <w:pPr>
              <w:spacing w:line="265" w:lineRule="auto"/>
            </w:pPr>
          </w:p>
          <w:p w14:paraId="4AA9389D">
            <w:pPr>
              <w:spacing w:line="265" w:lineRule="auto"/>
            </w:pPr>
          </w:p>
          <w:p w14:paraId="21012EFB">
            <w:pPr>
              <w:spacing w:before="68" w:line="184" w:lineRule="auto"/>
              <w:ind w:left="277"/>
              <w:rPr>
                <w:rFonts w:eastAsia="Times New Roman"/>
                <w:spacing w:val="-5"/>
                <w:szCs w:val="21"/>
              </w:rPr>
            </w:pPr>
            <w:r>
              <w:rPr>
                <w:spacing w:val="-5"/>
                <w:szCs w:val="21"/>
              </w:rPr>
              <w:t>1</w:t>
            </w:r>
            <w:r>
              <w:rPr>
                <w:spacing w:val="-4"/>
                <w:szCs w:val="21"/>
              </w:rPr>
              <w:t>464</w:t>
            </w:r>
          </w:p>
        </w:tc>
        <w:tc>
          <w:tcPr>
            <w:tcW w:w="3687" w:type="dxa"/>
          </w:tcPr>
          <w:p w14:paraId="115ABE92">
            <w:pPr>
              <w:spacing w:before="33" w:line="239" w:lineRule="auto"/>
              <w:ind w:right="649"/>
              <w:rPr>
                <w:szCs w:val="21"/>
              </w:rPr>
            </w:pPr>
            <w:r>
              <w:rPr>
                <w:spacing w:val="-5"/>
                <w:szCs w:val="21"/>
              </w:rPr>
              <w:t>急性毒性-经口,类别 2*</w:t>
            </w:r>
          </w:p>
          <w:p w14:paraId="7E951D13">
            <w:pPr>
              <w:spacing w:before="33" w:line="239" w:lineRule="auto"/>
              <w:ind w:right="649"/>
              <w:rPr>
                <w:szCs w:val="21"/>
              </w:rPr>
            </w:pPr>
            <w:r>
              <w:rPr>
                <w:spacing w:val="-8"/>
                <w:szCs w:val="21"/>
              </w:rPr>
              <w:t>皮肤</w:t>
            </w:r>
            <w:r>
              <w:rPr>
                <w:spacing w:val="-6"/>
                <w:szCs w:val="21"/>
              </w:rPr>
              <w:t>腐</w:t>
            </w:r>
            <w:r>
              <w:rPr>
                <w:spacing w:val="-4"/>
                <w:szCs w:val="21"/>
              </w:rPr>
              <w:t>蚀/刺激,类别 1B</w:t>
            </w:r>
          </w:p>
          <w:p w14:paraId="6AE67D79">
            <w:pPr>
              <w:spacing w:line="217" w:lineRule="auto"/>
              <w:rPr>
                <w:szCs w:val="21"/>
              </w:rPr>
            </w:pPr>
            <w:r>
              <w:rPr>
                <w:spacing w:val="-4"/>
                <w:szCs w:val="21"/>
              </w:rPr>
              <w:t>严重眼损伤</w:t>
            </w:r>
            <w:r>
              <w:rPr>
                <w:spacing w:val="-3"/>
                <w:szCs w:val="21"/>
              </w:rPr>
              <w:t>/</w:t>
            </w:r>
            <w:r>
              <w:rPr>
                <w:spacing w:val="-2"/>
                <w:szCs w:val="21"/>
              </w:rPr>
              <w:t>眼刺激,类别 1</w:t>
            </w:r>
          </w:p>
          <w:p w14:paraId="7A66EE55">
            <w:pPr>
              <w:spacing w:before="23" w:line="221" w:lineRule="auto"/>
              <w:rPr>
                <w:szCs w:val="21"/>
              </w:rPr>
            </w:pPr>
            <w:r>
              <w:rPr>
                <w:spacing w:val="-4"/>
                <w:szCs w:val="21"/>
              </w:rPr>
              <w:t xml:space="preserve">生殖细胞致突变性,类别 </w:t>
            </w:r>
            <w:r>
              <w:rPr>
                <w:spacing w:val="-3"/>
                <w:szCs w:val="21"/>
              </w:rPr>
              <w:t>2</w:t>
            </w:r>
          </w:p>
          <w:p w14:paraId="7E0067BF">
            <w:pPr>
              <w:spacing w:before="21" w:line="221" w:lineRule="auto"/>
              <w:rPr>
                <w:szCs w:val="21"/>
              </w:rPr>
            </w:pPr>
            <w:r>
              <w:rPr>
                <w:spacing w:val="-10"/>
                <w:szCs w:val="21"/>
              </w:rPr>
              <w:t>生</w:t>
            </w:r>
            <w:r>
              <w:rPr>
                <w:spacing w:val="-6"/>
                <w:szCs w:val="21"/>
              </w:rPr>
              <w:t>殖</w:t>
            </w:r>
            <w:r>
              <w:rPr>
                <w:spacing w:val="-5"/>
                <w:szCs w:val="21"/>
              </w:rPr>
              <w:t>毒性,类别 2</w:t>
            </w:r>
          </w:p>
          <w:p w14:paraId="40E37B1E">
            <w:pPr>
              <w:spacing w:before="21" w:line="239" w:lineRule="auto"/>
              <w:ind w:right="150"/>
              <w:rPr>
                <w:szCs w:val="21"/>
              </w:rPr>
            </w:pPr>
            <w:r>
              <w:rPr>
                <w:spacing w:val="-1"/>
                <w:szCs w:val="21"/>
              </w:rPr>
              <w:t>特异性靶器官毒</w:t>
            </w:r>
            <w:r>
              <w:rPr>
                <w:szCs w:val="21"/>
              </w:rPr>
              <w:t>性-反复接触,类别 1</w:t>
            </w:r>
          </w:p>
          <w:p w14:paraId="63288725">
            <w:pPr>
              <w:spacing w:before="1" w:line="228" w:lineRule="auto"/>
              <w:ind w:right="279"/>
              <w:rPr>
                <w:spacing w:val="-8"/>
                <w:szCs w:val="21"/>
              </w:rPr>
            </w:pPr>
            <w:r>
              <w:rPr>
                <w:spacing w:val="-6"/>
                <w:szCs w:val="21"/>
              </w:rPr>
              <w:t>危害水</w:t>
            </w:r>
            <w:r>
              <w:rPr>
                <w:spacing w:val="-5"/>
                <w:szCs w:val="21"/>
              </w:rPr>
              <w:t>生</w:t>
            </w:r>
            <w:r>
              <w:rPr>
                <w:spacing w:val="-3"/>
                <w:szCs w:val="21"/>
              </w:rPr>
              <w:t>环境-急性危害,类别 1</w:t>
            </w:r>
            <w:r>
              <w:rPr>
                <w:spacing w:val="-6"/>
                <w:szCs w:val="21"/>
              </w:rPr>
              <w:t>危害水</w:t>
            </w:r>
            <w:r>
              <w:rPr>
                <w:spacing w:val="-5"/>
                <w:szCs w:val="21"/>
              </w:rPr>
              <w:t>生</w:t>
            </w:r>
            <w:r>
              <w:rPr>
                <w:spacing w:val="-3"/>
                <w:szCs w:val="21"/>
              </w:rPr>
              <w:t>环境-长期危害,类别 1</w:t>
            </w:r>
          </w:p>
        </w:tc>
        <w:tc>
          <w:tcPr>
            <w:tcW w:w="1200" w:type="dxa"/>
          </w:tcPr>
          <w:p w14:paraId="10F0B29A">
            <w:pPr>
              <w:spacing w:line="265" w:lineRule="auto"/>
            </w:pPr>
          </w:p>
          <w:p w14:paraId="29211482">
            <w:pPr>
              <w:spacing w:line="265" w:lineRule="auto"/>
            </w:pPr>
          </w:p>
          <w:p w14:paraId="7E35F452">
            <w:pPr>
              <w:spacing w:line="265" w:lineRule="auto"/>
            </w:pPr>
          </w:p>
          <w:p w14:paraId="60D189FF">
            <w:pPr>
              <w:spacing w:line="265" w:lineRule="auto"/>
            </w:pPr>
          </w:p>
          <w:p w14:paraId="538C8699">
            <w:pPr>
              <w:spacing w:before="68" w:line="183" w:lineRule="auto"/>
              <w:ind w:left="490"/>
              <w:rPr>
                <w:rFonts w:eastAsia="Times New Roman"/>
                <w:spacing w:val="-2"/>
                <w:szCs w:val="21"/>
              </w:rPr>
            </w:pPr>
            <w:r>
              <w:rPr>
                <w:spacing w:val="-1"/>
                <w:szCs w:val="21"/>
              </w:rPr>
              <w:t>0.00375</w:t>
            </w:r>
          </w:p>
        </w:tc>
        <w:tc>
          <w:tcPr>
            <w:tcW w:w="975" w:type="dxa"/>
          </w:tcPr>
          <w:p w14:paraId="758C4D77">
            <w:pPr>
              <w:spacing w:line="256" w:lineRule="auto"/>
            </w:pPr>
          </w:p>
          <w:p w14:paraId="33CB92FF">
            <w:pPr>
              <w:spacing w:line="256" w:lineRule="auto"/>
            </w:pPr>
          </w:p>
          <w:p w14:paraId="4D992D93">
            <w:pPr>
              <w:spacing w:line="256" w:lineRule="auto"/>
            </w:pPr>
          </w:p>
          <w:p w14:paraId="0F393F57">
            <w:pPr>
              <w:spacing w:line="257" w:lineRule="auto"/>
            </w:pPr>
          </w:p>
          <w:p w14:paraId="1B3EB85D">
            <w:pPr>
              <w:spacing w:before="68" w:line="221" w:lineRule="auto"/>
              <w:ind w:left="328"/>
              <w:rPr>
                <w:spacing w:val="-9"/>
                <w:szCs w:val="21"/>
              </w:rPr>
            </w:pPr>
            <w:r>
              <w:rPr>
                <w:spacing w:val="-2"/>
                <w:szCs w:val="21"/>
              </w:rPr>
              <w:t>戊类</w:t>
            </w:r>
          </w:p>
        </w:tc>
      </w:tr>
      <w:tr w14:paraId="596805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7180915">
            <w:pPr>
              <w:spacing w:line="268" w:lineRule="auto"/>
            </w:pPr>
          </w:p>
          <w:p w14:paraId="1289F9A6">
            <w:pPr>
              <w:spacing w:line="268" w:lineRule="auto"/>
            </w:pPr>
          </w:p>
          <w:p w14:paraId="4963D9BC">
            <w:pPr>
              <w:spacing w:line="268" w:lineRule="auto"/>
            </w:pPr>
          </w:p>
          <w:p w14:paraId="784AF32B">
            <w:pPr>
              <w:spacing w:line="268" w:lineRule="auto"/>
            </w:pPr>
          </w:p>
          <w:p w14:paraId="7DE987C2">
            <w:pPr>
              <w:spacing w:line="268" w:lineRule="auto"/>
            </w:pPr>
          </w:p>
          <w:p w14:paraId="03839578">
            <w:pPr>
              <w:spacing w:line="269" w:lineRule="auto"/>
            </w:pPr>
          </w:p>
          <w:p w14:paraId="2B84BEE7">
            <w:pPr>
              <w:spacing w:before="61" w:line="187" w:lineRule="auto"/>
              <w:ind w:left="169"/>
              <w:rPr>
                <w:rFonts w:eastAsia="Times New Roman"/>
                <w:szCs w:val="21"/>
              </w:rPr>
            </w:pPr>
            <w:r>
              <w:rPr>
                <w:rFonts w:eastAsia="Times New Roman"/>
                <w:spacing w:val="-1"/>
                <w:szCs w:val="21"/>
              </w:rPr>
              <w:t>24</w:t>
            </w:r>
          </w:p>
        </w:tc>
        <w:tc>
          <w:tcPr>
            <w:tcW w:w="1020" w:type="dxa"/>
          </w:tcPr>
          <w:p w14:paraId="00C44619">
            <w:pPr>
              <w:spacing w:line="261" w:lineRule="auto"/>
            </w:pPr>
          </w:p>
          <w:p w14:paraId="435CB11E">
            <w:pPr>
              <w:spacing w:line="261" w:lineRule="auto"/>
            </w:pPr>
          </w:p>
          <w:p w14:paraId="31101929">
            <w:pPr>
              <w:spacing w:line="261" w:lineRule="auto"/>
            </w:pPr>
          </w:p>
          <w:p w14:paraId="70CC0D0D">
            <w:pPr>
              <w:spacing w:line="261" w:lineRule="auto"/>
            </w:pPr>
          </w:p>
          <w:p w14:paraId="460EADCD">
            <w:pPr>
              <w:spacing w:line="261" w:lineRule="auto"/>
            </w:pPr>
          </w:p>
          <w:p w14:paraId="4870CB2C">
            <w:pPr>
              <w:spacing w:line="261" w:lineRule="auto"/>
            </w:pPr>
          </w:p>
          <w:p w14:paraId="6B65D469">
            <w:pPr>
              <w:spacing w:before="68" w:line="221" w:lineRule="auto"/>
              <w:rPr>
                <w:spacing w:val="-9"/>
                <w:szCs w:val="21"/>
              </w:rPr>
            </w:pPr>
            <w:r>
              <w:rPr>
                <w:spacing w:val="-5"/>
                <w:szCs w:val="21"/>
              </w:rPr>
              <w:t>乙酸汞</w:t>
            </w:r>
          </w:p>
        </w:tc>
        <w:tc>
          <w:tcPr>
            <w:tcW w:w="1025" w:type="dxa"/>
          </w:tcPr>
          <w:p w14:paraId="5F91818B">
            <w:pPr>
              <w:spacing w:line="266" w:lineRule="auto"/>
            </w:pPr>
          </w:p>
          <w:p w14:paraId="4973DB2B">
            <w:pPr>
              <w:spacing w:line="267" w:lineRule="auto"/>
            </w:pPr>
          </w:p>
          <w:p w14:paraId="5D890557">
            <w:pPr>
              <w:spacing w:line="267" w:lineRule="auto"/>
            </w:pPr>
          </w:p>
          <w:p w14:paraId="2C0CEA68">
            <w:pPr>
              <w:spacing w:line="267" w:lineRule="auto"/>
            </w:pPr>
          </w:p>
          <w:p w14:paraId="5EA537F7">
            <w:pPr>
              <w:spacing w:line="267" w:lineRule="auto"/>
            </w:pPr>
          </w:p>
          <w:p w14:paraId="7BCA0791">
            <w:pPr>
              <w:spacing w:line="267" w:lineRule="auto"/>
            </w:pPr>
          </w:p>
          <w:p w14:paraId="79A17F04">
            <w:pPr>
              <w:spacing w:before="68" w:line="183" w:lineRule="auto"/>
              <w:ind w:left="264"/>
              <w:rPr>
                <w:rFonts w:eastAsia="Times New Roman"/>
                <w:spacing w:val="-5"/>
                <w:szCs w:val="21"/>
              </w:rPr>
            </w:pPr>
            <w:r>
              <w:rPr>
                <w:spacing w:val="-2"/>
                <w:szCs w:val="21"/>
              </w:rPr>
              <w:t>263</w:t>
            </w:r>
            <w:r>
              <w:rPr>
                <w:spacing w:val="-1"/>
                <w:szCs w:val="21"/>
              </w:rPr>
              <w:t>5</w:t>
            </w:r>
          </w:p>
        </w:tc>
        <w:tc>
          <w:tcPr>
            <w:tcW w:w="3687" w:type="dxa"/>
          </w:tcPr>
          <w:p w14:paraId="70DE2909">
            <w:pPr>
              <w:spacing w:before="30" w:line="241" w:lineRule="auto"/>
              <w:rPr>
                <w:szCs w:val="21"/>
              </w:rPr>
            </w:pPr>
            <w:r>
              <w:rPr>
                <w:spacing w:val="-8"/>
                <w:szCs w:val="21"/>
              </w:rPr>
              <w:t>急</w:t>
            </w:r>
            <w:r>
              <w:rPr>
                <w:spacing w:val="-7"/>
                <w:szCs w:val="21"/>
              </w:rPr>
              <w:t>性</w:t>
            </w:r>
            <w:r>
              <w:rPr>
                <w:spacing w:val="-4"/>
                <w:szCs w:val="21"/>
              </w:rPr>
              <w:t>毒性-经口,类别 2</w:t>
            </w:r>
          </w:p>
          <w:p w14:paraId="429539A3">
            <w:pPr>
              <w:spacing w:line="217" w:lineRule="auto"/>
              <w:rPr>
                <w:szCs w:val="21"/>
              </w:rPr>
            </w:pPr>
            <w:r>
              <w:rPr>
                <w:spacing w:val="-8"/>
                <w:szCs w:val="21"/>
              </w:rPr>
              <w:t>急</w:t>
            </w:r>
            <w:r>
              <w:rPr>
                <w:spacing w:val="-5"/>
                <w:szCs w:val="21"/>
              </w:rPr>
              <w:t>性</w:t>
            </w:r>
            <w:r>
              <w:rPr>
                <w:spacing w:val="-4"/>
                <w:szCs w:val="21"/>
              </w:rPr>
              <w:t>毒性-经皮,类别 3</w:t>
            </w:r>
          </w:p>
          <w:p w14:paraId="5F8D31C3">
            <w:pPr>
              <w:spacing w:before="23" w:line="218" w:lineRule="auto"/>
              <w:rPr>
                <w:szCs w:val="21"/>
              </w:rPr>
            </w:pPr>
            <w:r>
              <w:rPr>
                <w:spacing w:val="-6"/>
                <w:szCs w:val="21"/>
              </w:rPr>
              <w:t>皮</w:t>
            </w:r>
            <w:r>
              <w:rPr>
                <w:spacing w:val="-3"/>
                <w:szCs w:val="21"/>
              </w:rPr>
              <w:t>肤腐蚀/刺激,类别 1</w:t>
            </w:r>
          </w:p>
          <w:p w14:paraId="5BFAC01E">
            <w:pPr>
              <w:spacing w:before="25" w:line="218" w:lineRule="auto"/>
              <w:rPr>
                <w:szCs w:val="21"/>
              </w:rPr>
            </w:pPr>
            <w:r>
              <w:rPr>
                <w:spacing w:val="-4"/>
                <w:szCs w:val="21"/>
              </w:rPr>
              <w:t>严重眼损伤</w:t>
            </w:r>
            <w:r>
              <w:rPr>
                <w:spacing w:val="-3"/>
                <w:szCs w:val="21"/>
              </w:rPr>
              <w:t>/</w:t>
            </w:r>
            <w:r>
              <w:rPr>
                <w:spacing w:val="-2"/>
                <w:szCs w:val="21"/>
              </w:rPr>
              <w:t>眼刺激,类别 1</w:t>
            </w:r>
          </w:p>
          <w:p w14:paraId="25312CF0">
            <w:pPr>
              <w:spacing w:before="23" w:line="218" w:lineRule="auto"/>
              <w:rPr>
                <w:szCs w:val="21"/>
              </w:rPr>
            </w:pPr>
            <w:r>
              <w:rPr>
                <w:spacing w:val="-6"/>
                <w:szCs w:val="21"/>
              </w:rPr>
              <w:t>皮肤</w:t>
            </w:r>
            <w:r>
              <w:rPr>
                <w:spacing w:val="-5"/>
                <w:szCs w:val="21"/>
              </w:rPr>
              <w:t>致</w:t>
            </w:r>
            <w:r>
              <w:rPr>
                <w:spacing w:val="-3"/>
                <w:szCs w:val="21"/>
              </w:rPr>
              <w:t>敏物,类别 1</w:t>
            </w:r>
          </w:p>
          <w:p w14:paraId="28CC5D61">
            <w:pPr>
              <w:spacing w:before="24" w:line="221" w:lineRule="auto"/>
              <w:rPr>
                <w:szCs w:val="21"/>
              </w:rPr>
            </w:pPr>
            <w:r>
              <w:rPr>
                <w:spacing w:val="-4"/>
                <w:szCs w:val="21"/>
              </w:rPr>
              <w:t xml:space="preserve">生殖细胞致突变性,类别 </w:t>
            </w:r>
            <w:r>
              <w:rPr>
                <w:spacing w:val="-3"/>
                <w:szCs w:val="21"/>
              </w:rPr>
              <w:t>2</w:t>
            </w:r>
          </w:p>
          <w:p w14:paraId="6D1C8F05">
            <w:pPr>
              <w:spacing w:before="21" w:line="221" w:lineRule="auto"/>
              <w:rPr>
                <w:szCs w:val="21"/>
              </w:rPr>
            </w:pPr>
            <w:r>
              <w:rPr>
                <w:spacing w:val="-10"/>
                <w:szCs w:val="21"/>
              </w:rPr>
              <w:t>生</w:t>
            </w:r>
            <w:r>
              <w:rPr>
                <w:spacing w:val="-6"/>
                <w:szCs w:val="21"/>
              </w:rPr>
              <w:t>殖</w:t>
            </w:r>
            <w:r>
              <w:rPr>
                <w:spacing w:val="-5"/>
                <w:szCs w:val="21"/>
              </w:rPr>
              <w:t>毒性,类别 2</w:t>
            </w:r>
          </w:p>
          <w:p w14:paraId="4AD0BFFD">
            <w:pPr>
              <w:spacing w:before="20" w:line="220" w:lineRule="auto"/>
              <w:rPr>
                <w:szCs w:val="21"/>
              </w:rPr>
            </w:pPr>
            <w:r>
              <w:rPr>
                <w:spacing w:val="-1"/>
                <w:szCs w:val="21"/>
              </w:rPr>
              <w:t>特异性靶器官毒</w:t>
            </w:r>
            <w:r>
              <w:rPr>
                <w:szCs w:val="21"/>
              </w:rPr>
              <w:t>性一次接触,类别2</w:t>
            </w:r>
          </w:p>
          <w:p w14:paraId="620AEB4C">
            <w:pPr>
              <w:spacing w:before="25" w:line="220" w:lineRule="auto"/>
              <w:rPr>
                <w:szCs w:val="21"/>
              </w:rPr>
            </w:pPr>
            <w:r>
              <w:rPr>
                <w:spacing w:val="-1"/>
                <w:szCs w:val="21"/>
              </w:rPr>
              <w:t>特异性靶器官毒</w:t>
            </w:r>
            <w:r>
              <w:rPr>
                <w:szCs w:val="21"/>
              </w:rPr>
              <w:t>性-反复接触,类别1</w:t>
            </w:r>
          </w:p>
          <w:p w14:paraId="7BC94F9F">
            <w:pPr>
              <w:spacing w:before="25" w:line="228" w:lineRule="auto"/>
              <w:ind w:right="279"/>
              <w:rPr>
                <w:spacing w:val="-8"/>
                <w:szCs w:val="21"/>
              </w:rPr>
            </w:pPr>
            <w:r>
              <w:rPr>
                <w:spacing w:val="-6"/>
                <w:szCs w:val="21"/>
              </w:rPr>
              <w:t>危害水</w:t>
            </w:r>
            <w:r>
              <w:rPr>
                <w:spacing w:val="-5"/>
                <w:szCs w:val="21"/>
              </w:rPr>
              <w:t>生</w:t>
            </w:r>
            <w:r>
              <w:rPr>
                <w:spacing w:val="-3"/>
                <w:szCs w:val="21"/>
              </w:rPr>
              <w:t>环境-急性危害,类别 1</w:t>
            </w:r>
            <w:r>
              <w:rPr>
                <w:spacing w:val="-6"/>
                <w:szCs w:val="21"/>
              </w:rPr>
              <w:t>危害水</w:t>
            </w:r>
            <w:r>
              <w:rPr>
                <w:spacing w:val="-5"/>
                <w:szCs w:val="21"/>
              </w:rPr>
              <w:t>生</w:t>
            </w:r>
            <w:r>
              <w:rPr>
                <w:spacing w:val="-3"/>
                <w:szCs w:val="21"/>
              </w:rPr>
              <w:t>环境-长期危害,类别 1</w:t>
            </w:r>
          </w:p>
        </w:tc>
        <w:tc>
          <w:tcPr>
            <w:tcW w:w="1200" w:type="dxa"/>
          </w:tcPr>
          <w:p w14:paraId="69D9E0AF">
            <w:pPr>
              <w:spacing w:line="266" w:lineRule="auto"/>
            </w:pPr>
          </w:p>
          <w:p w14:paraId="7BA6F70F">
            <w:pPr>
              <w:spacing w:line="266" w:lineRule="auto"/>
            </w:pPr>
          </w:p>
          <w:p w14:paraId="2C94FCC0">
            <w:pPr>
              <w:spacing w:line="267" w:lineRule="auto"/>
            </w:pPr>
          </w:p>
          <w:p w14:paraId="616C030D">
            <w:pPr>
              <w:spacing w:line="267" w:lineRule="auto"/>
            </w:pPr>
          </w:p>
          <w:p w14:paraId="254061C0">
            <w:pPr>
              <w:spacing w:line="267" w:lineRule="auto"/>
            </w:pPr>
          </w:p>
          <w:p w14:paraId="7D136F4F">
            <w:pPr>
              <w:spacing w:line="267" w:lineRule="auto"/>
            </w:pPr>
          </w:p>
          <w:p w14:paraId="4645C8F1">
            <w:pPr>
              <w:spacing w:before="69" w:line="183" w:lineRule="auto"/>
              <w:ind w:left="543"/>
              <w:rPr>
                <w:rFonts w:eastAsia="Times New Roman"/>
                <w:spacing w:val="-2"/>
                <w:szCs w:val="21"/>
              </w:rPr>
            </w:pPr>
            <w:r>
              <w:rPr>
                <w:spacing w:val="-1"/>
                <w:szCs w:val="21"/>
              </w:rPr>
              <w:t>0.0006</w:t>
            </w:r>
          </w:p>
        </w:tc>
        <w:tc>
          <w:tcPr>
            <w:tcW w:w="975" w:type="dxa"/>
          </w:tcPr>
          <w:p w14:paraId="5302F706">
            <w:pPr>
              <w:spacing w:line="260" w:lineRule="auto"/>
            </w:pPr>
          </w:p>
          <w:p w14:paraId="0FBA43A1">
            <w:pPr>
              <w:spacing w:line="261" w:lineRule="auto"/>
            </w:pPr>
          </w:p>
          <w:p w14:paraId="0955CDB1">
            <w:pPr>
              <w:spacing w:line="261" w:lineRule="auto"/>
            </w:pPr>
          </w:p>
          <w:p w14:paraId="52FE611B">
            <w:pPr>
              <w:spacing w:line="261" w:lineRule="auto"/>
            </w:pPr>
          </w:p>
          <w:p w14:paraId="230F97B9">
            <w:pPr>
              <w:spacing w:line="261" w:lineRule="auto"/>
            </w:pPr>
          </w:p>
          <w:p w14:paraId="6653A21F">
            <w:pPr>
              <w:spacing w:line="261" w:lineRule="auto"/>
            </w:pPr>
          </w:p>
          <w:p w14:paraId="3086B3DC">
            <w:pPr>
              <w:spacing w:before="68" w:line="221" w:lineRule="auto"/>
              <w:ind w:left="328"/>
              <w:rPr>
                <w:spacing w:val="-9"/>
                <w:szCs w:val="21"/>
              </w:rPr>
            </w:pPr>
            <w:r>
              <w:rPr>
                <w:spacing w:val="-2"/>
                <w:szCs w:val="21"/>
              </w:rPr>
              <w:t>戊类</w:t>
            </w:r>
          </w:p>
        </w:tc>
      </w:tr>
      <w:tr w14:paraId="189DC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E80FA49">
            <w:pPr>
              <w:spacing w:line="258" w:lineRule="auto"/>
            </w:pPr>
          </w:p>
          <w:p w14:paraId="795A514E">
            <w:pPr>
              <w:spacing w:before="60" w:line="187" w:lineRule="auto"/>
              <w:ind w:left="169"/>
              <w:rPr>
                <w:rFonts w:eastAsia="Times New Roman"/>
                <w:szCs w:val="21"/>
              </w:rPr>
            </w:pPr>
            <w:r>
              <w:rPr>
                <w:rFonts w:eastAsia="Times New Roman"/>
                <w:spacing w:val="-1"/>
                <w:szCs w:val="21"/>
              </w:rPr>
              <w:t>25</w:t>
            </w:r>
          </w:p>
        </w:tc>
        <w:tc>
          <w:tcPr>
            <w:tcW w:w="1020" w:type="dxa"/>
          </w:tcPr>
          <w:p w14:paraId="5E371E1A">
            <w:pPr>
              <w:spacing w:before="283" w:line="217" w:lineRule="auto"/>
              <w:rPr>
                <w:spacing w:val="-9"/>
                <w:szCs w:val="21"/>
              </w:rPr>
            </w:pPr>
            <w:r>
              <w:rPr>
                <w:spacing w:val="-2"/>
                <w:szCs w:val="21"/>
              </w:rPr>
              <w:t>叠氮化钠</w:t>
            </w:r>
          </w:p>
        </w:tc>
        <w:tc>
          <w:tcPr>
            <w:tcW w:w="1025" w:type="dxa"/>
          </w:tcPr>
          <w:p w14:paraId="7C6A313B">
            <w:pPr>
              <w:spacing w:line="248" w:lineRule="auto"/>
            </w:pPr>
          </w:p>
          <w:p w14:paraId="1D7E6E6C">
            <w:pPr>
              <w:spacing w:before="69" w:line="184" w:lineRule="auto"/>
              <w:ind w:left="317"/>
              <w:rPr>
                <w:rFonts w:eastAsia="Times New Roman"/>
                <w:spacing w:val="-5"/>
                <w:szCs w:val="21"/>
              </w:rPr>
            </w:pPr>
            <w:r>
              <w:rPr>
                <w:spacing w:val="-2"/>
                <w:szCs w:val="21"/>
              </w:rPr>
              <w:t>217</w:t>
            </w:r>
          </w:p>
        </w:tc>
        <w:tc>
          <w:tcPr>
            <w:tcW w:w="3687" w:type="dxa"/>
          </w:tcPr>
          <w:p w14:paraId="5B23B24F">
            <w:pPr>
              <w:spacing w:before="31" w:line="221" w:lineRule="auto"/>
              <w:rPr>
                <w:szCs w:val="21"/>
              </w:rPr>
            </w:pPr>
            <w:r>
              <w:rPr>
                <w:spacing w:val="-8"/>
                <w:szCs w:val="21"/>
              </w:rPr>
              <w:t>急性</w:t>
            </w:r>
            <w:r>
              <w:rPr>
                <w:spacing w:val="-4"/>
                <w:szCs w:val="21"/>
              </w:rPr>
              <w:t>毒性-经口,类别 2*</w:t>
            </w:r>
          </w:p>
          <w:p w14:paraId="3147745C">
            <w:pPr>
              <w:spacing w:before="22" w:line="221" w:lineRule="auto"/>
              <w:rPr>
                <w:szCs w:val="21"/>
              </w:rPr>
            </w:pPr>
            <w:r>
              <w:rPr>
                <w:spacing w:val="-4"/>
                <w:szCs w:val="21"/>
              </w:rPr>
              <w:t>危害</w:t>
            </w:r>
            <w:r>
              <w:rPr>
                <w:spacing w:val="-2"/>
                <w:szCs w:val="21"/>
              </w:rPr>
              <w:t>水生环境-急性危害,类别 1</w:t>
            </w:r>
          </w:p>
          <w:p w14:paraId="16FCDE1A">
            <w:pPr>
              <w:spacing w:before="19" w:line="216" w:lineRule="auto"/>
              <w:rPr>
                <w:spacing w:val="-8"/>
                <w:szCs w:val="21"/>
              </w:rPr>
            </w:pPr>
            <w:r>
              <w:rPr>
                <w:spacing w:val="-4"/>
                <w:szCs w:val="21"/>
              </w:rPr>
              <w:t>危害</w:t>
            </w:r>
            <w:r>
              <w:rPr>
                <w:spacing w:val="-2"/>
                <w:szCs w:val="21"/>
              </w:rPr>
              <w:t>水生环境-长期危害,类别 1</w:t>
            </w:r>
          </w:p>
        </w:tc>
        <w:tc>
          <w:tcPr>
            <w:tcW w:w="1200" w:type="dxa"/>
          </w:tcPr>
          <w:p w14:paraId="28FBBAC0">
            <w:pPr>
              <w:spacing w:line="249" w:lineRule="auto"/>
            </w:pPr>
          </w:p>
          <w:p w14:paraId="1CF3B39A">
            <w:pPr>
              <w:spacing w:before="68" w:line="183" w:lineRule="auto"/>
              <w:ind w:left="438"/>
              <w:rPr>
                <w:rFonts w:eastAsia="Times New Roman"/>
                <w:spacing w:val="-2"/>
                <w:szCs w:val="21"/>
              </w:rPr>
            </w:pPr>
            <w:r>
              <w:rPr>
                <w:spacing w:val="-1"/>
                <w:szCs w:val="21"/>
              </w:rPr>
              <w:t>0.04753</w:t>
            </w:r>
            <w:r>
              <w:rPr>
                <w:szCs w:val="21"/>
              </w:rPr>
              <w:t>7</w:t>
            </w:r>
          </w:p>
        </w:tc>
        <w:tc>
          <w:tcPr>
            <w:tcW w:w="975" w:type="dxa"/>
          </w:tcPr>
          <w:p w14:paraId="49A7CB8F">
            <w:pPr>
              <w:spacing w:before="283" w:line="221" w:lineRule="auto"/>
              <w:ind w:left="328"/>
              <w:rPr>
                <w:spacing w:val="-9"/>
                <w:szCs w:val="21"/>
              </w:rPr>
            </w:pPr>
            <w:r>
              <w:rPr>
                <w:spacing w:val="-2"/>
                <w:szCs w:val="21"/>
              </w:rPr>
              <w:t>戊类</w:t>
            </w:r>
          </w:p>
        </w:tc>
      </w:tr>
      <w:tr w14:paraId="10AC2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E8E96ED">
            <w:pPr>
              <w:spacing w:line="256" w:lineRule="auto"/>
            </w:pPr>
          </w:p>
          <w:p w14:paraId="1BC36AE4">
            <w:pPr>
              <w:spacing w:before="61" w:line="187" w:lineRule="auto"/>
              <w:ind w:left="169"/>
              <w:rPr>
                <w:rFonts w:eastAsia="Times New Roman"/>
                <w:szCs w:val="21"/>
              </w:rPr>
            </w:pPr>
            <w:r>
              <w:rPr>
                <w:rFonts w:eastAsia="Times New Roman"/>
                <w:spacing w:val="-1"/>
                <w:szCs w:val="21"/>
              </w:rPr>
              <w:t>26</w:t>
            </w:r>
          </w:p>
        </w:tc>
        <w:tc>
          <w:tcPr>
            <w:tcW w:w="1020" w:type="dxa"/>
          </w:tcPr>
          <w:p w14:paraId="29CDB581">
            <w:pPr>
              <w:spacing w:before="284" w:line="225" w:lineRule="auto"/>
              <w:rPr>
                <w:spacing w:val="-9"/>
                <w:szCs w:val="21"/>
              </w:rPr>
            </w:pPr>
            <w:r>
              <w:rPr>
                <w:spacing w:val="-7"/>
                <w:szCs w:val="21"/>
              </w:rPr>
              <w:t>乙</w:t>
            </w:r>
            <w:r>
              <w:rPr>
                <w:spacing w:val="-5"/>
                <w:szCs w:val="21"/>
              </w:rPr>
              <w:t>醚</w:t>
            </w:r>
          </w:p>
        </w:tc>
        <w:tc>
          <w:tcPr>
            <w:tcW w:w="1025" w:type="dxa"/>
          </w:tcPr>
          <w:p w14:paraId="6C7C8C94">
            <w:pPr>
              <w:spacing w:line="251" w:lineRule="auto"/>
            </w:pPr>
          </w:p>
          <w:p w14:paraId="3BBCD6AA">
            <w:pPr>
              <w:spacing w:before="68" w:line="183" w:lineRule="auto"/>
              <w:ind w:left="264"/>
              <w:rPr>
                <w:rFonts w:eastAsia="Times New Roman"/>
                <w:spacing w:val="-5"/>
                <w:szCs w:val="21"/>
              </w:rPr>
            </w:pPr>
            <w:r>
              <w:rPr>
                <w:spacing w:val="-2"/>
                <w:szCs w:val="21"/>
              </w:rPr>
              <w:t>262</w:t>
            </w:r>
            <w:r>
              <w:rPr>
                <w:spacing w:val="-1"/>
                <w:szCs w:val="21"/>
              </w:rPr>
              <w:t>5</w:t>
            </w:r>
          </w:p>
        </w:tc>
        <w:tc>
          <w:tcPr>
            <w:tcW w:w="3687" w:type="dxa"/>
          </w:tcPr>
          <w:p w14:paraId="1EB99766">
            <w:pPr>
              <w:spacing w:before="33" w:line="219" w:lineRule="auto"/>
              <w:rPr>
                <w:szCs w:val="21"/>
              </w:rPr>
            </w:pPr>
            <w:r>
              <w:rPr>
                <w:spacing w:val="-10"/>
                <w:szCs w:val="21"/>
              </w:rPr>
              <w:t>易</w:t>
            </w:r>
            <w:r>
              <w:rPr>
                <w:spacing w:val="-5"/>
                <w:szCs w:val="21"/>
              </w:rPr>
              <w:t>燃液体,类别 1</w:t>
            </w:r>
          </w:p>
          <w:p w14:paraId="73ADB990">
            <w:pPr>
              <w:spacing w:before="23" w:line="226" w:lineRule="auto"/>
              <w:ind w:right="150"/>
              <w:rPr>
                <w:spacing w:val="-8"/>
                <w:szCs w:val="21"/>
              </w:rPr>
            </w:pPr>
            <w:r>
              <w:rPr>
                <w:spacing w:val="-1"/>
                <w:szCs w:val="21"/>
              </w:rPr>
              <w:t>特异性靶器官毒</w:t>
            </w:r>
            <w:r>
              <w:rPr>
                <w:szCs w:val="21"/>
              </w:rPr>
              <w:t xml:space="preserve">性-一次接触,类别 </w:t>
            </w:r>
            <w:r>
              <w:rPr>
                <w:spacing w:val="-4"/>
                <w:szCs w:val="21"/>
              </w:rPr>
              <w:t xml:space="preserve">3 </w:t>
            </w:r>
            <w:r>
              <w:rPr>
                <w:spacing w:val="-2"/>
                <w:szCs w:val="21"/>
              </w:rPr>
              <w:t>(麻醉效应)</w:t>
            </w:r>
          </w:p>
        </w:tc>
        <w:tc>
          <w:tcPr>
            <w:tcW w:w="1200" w:type="dxa"/>
          </w:tcPr>
          <w:p w14:paraId="0A6379D2">
            <w:pPr>
              <w:spacing w:line="250" w:lineRule="auto"/>
            </w:pPr>
          </w:p>
          <w:p w14:paraId="559EB865">
            <w:pPr>
              <w:spacing w:before="68" w:line="183" w:lineRule="auto"/>
              <w:ind w:left="543"/>
              <w:rPr>
                <w:rFonts w:eastAsia="Times New Roman"/>
                <w:spacing w:val="-2"/>
                <w:szCs w:val="21"/>
              </w:rPr>
            </w:pPr>
            <w:r>
              <w:rPr>
                <w:spacing w:val="-2"/>
                <w:szCs w:val="21"/>
              </w:rPr>
              <w:t>0</w:t>
            </w:r>
            <w:r>
              <w:rPr>
                <w:spacing w:val="-1"/>
                <w:szCs w:val="21"/>
              </w:rPr>
              <w:t>.0165</w:t>
            </w:r>
          </w:p>
        </w:tc>
        <w:tc>
          <w:tcPr>
            <w:tcW w:w="975" w:type="dxa"/>
          </w:tcPr>
          <w:p w14:paraId="7DD43C0C">
            <w:pPr>
              <w:spacing w:before="284" w:line="221" w:lineRule="auto"/>
              <w:ind w:left="354"/>
              <w:rPr>
                <w:spacing w:val="-9"/>
                <w:szCs w:val="21"/>
              </w:rPr>
            </w:pPr>
            <w:r>
              <w:rPr>
                <w:spacing w:val="-9"/>
                <w:szCs w:val="21"/>
              </w:rPr>
              <w:t>甲</w:t>
            </w:r>
            <w:r>
              <w:rPr>
                <w:spacing w:val="-8"/>
                <w:szCs w:val="21"/>
              </w:rPr>
              <w:t>类</w:t>
            </w:r>
          </w:p>
        </w:tc>
      </w:tr>
      <w:tr w14:paraId="14C4D7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B7EBD17">
            <w:pPr>
              <w:spacing w:line="241" w:lineRule="auto"/>
            </w:pPr>
          </w:p>
          <w:p w14:paraId="73D68A89">
            <w:pPr>
              <w:spacing w:line="241" w:lineRule="auto"/>
            </w:pPr>
          </w:p>
          <w:p w14:paraId="54E76EBE">
            <w:pPr>
              <w:spacing w:line="241" w:lineRule="auto"/>
            </w:pPr>
          </w:p>
          <w:p w14:paraId="3FD871F2">
            <w:pPr>
              <w:spacing w:line="241" w:lineRule="auto"/>
            </w:pPr>
          </w:p>
          <w:p w14:paraId="705AE00F">
            <w:pPr>
              <w:spacing w:line="242" w:lineRule="auto"/>
            </w:pPr>
          </w:p>
          <w:p w14:paraId="1628CBFF">
            <w:pPr>
              <w:spacing w:before="61" w:line="187" w:lineRule="auto"/>
              <w:ind w:left="169"/>
              <w:rPr>
                <w:rFonts w:eastAsia="Times New Roman"/>
                <w:szCs w:val="21"/>
              </w:rPr>
            </w:pPr>
            <w:r>
              <w:rPr>
                <w:rFonts w:eastAsia="Times New Roman"/>
                <w:spacing w:val="-1"/>
                <w:szCs w:val="21"/>
              </w:rPr>
              <w:t>27</w:t>
            </w:r>
          </w:p>
        </w:tc>
        <w:tc>
          <w:tcPr>
            <w:tcW w:w="1020" w:type="dxa"/>
          </w:tcPr>
          <w:p w14:paraId="52B91944">
            <w:pPr>
              <w:spacing w:line="291" w:lineRule="auto"/>
            </w:pPr>
          </w:p>
          <w:p w14:paraId="177600BF">
            <w:pPr>
              <w:spacing w:line="291" w:lineRule="auto"/>
            </w:pPr>
          </w:p>
          <w:p w14:paraId="6FB96BED">
            <w:pPr>
              <w:spacing w:line="291" w:lineRule="auto"/>
            </w:pPr>
          </w:p>
          <w:p w14:paraId="2A69256E">
            <w:pPr>
              <w:spacing w:line="292" w:lineRule="auto"/>
            </w:pPr>
          </w:p>
          <w:p w14:paraId="1CD50935">
            <w:pPr>
              <w:spacing w:before="68" w:line="220" w:lineRule="auto"/>
              <w:rPr>
                <w:spacing w:val="-9"/>
                <w:szCs w:val="21"/>
              </w:rPr>
            </w:pPr>
            <w:r>
              <w:rPr>
                <w:spacing w:val="-3"/>
                <w:szCs w:val="21"/>
              </w:rPr>
              <w:t>苯</w:t>
            </w:r>
            <w:r>
              <w:rPr>
                <w:spacing w:val="-2"/>
                <w:szCs w:val="21"/>
              </w:rPr>
              <w:t>肼</w:t>
            </w:r>
          </w:p>
        </w:tc>
        <w:tc>
          <w:tcPr>
            <w:tcW w:w="1025" w:type="dxa"/>
          </w:tcPr>
          <w:p w14:paraId="5478BF8D"/>
          <w:p w14:paraId="30E89B10"/>
          <w:p w14:paraId="5E27C4E9"/>
          <w:p w14:paraId="153AF156"/>
          <w:p w14:paraId="0489B56D">
            <w:pPr>
              <w:spacing w:line="241" w:lineRule="auto"/>
            </w:pPr>
          </w:p>
          <w:p w14:paraId="126FB137">
            <w:pPr>
              <w:spacing w:before="68" w:line="183" w:lineRule="auto"/>
              <w:ind w:left="365"/>
              <w:rPr>
                <w:rFonts w:eastAsia="Times New Roman"/>
                <w:spacing w:val="-5"/>
                <w:szCs w:val="21"/>
              </w:rPr>
            </w:pPr>
            <w:r>
              <w:rPr>
                <w:spacing w:val="-2"/>
                <w:szCs w:val="21"/>
              </w:rPr>
              <w:t>84</w:t>
            </w:r>
          </w:p>
        </w:tc>
        <w:tc>
          <w:tcPr>
            <w:tcW w:w="3687" w:type="dxa"/>
          </w:tcPr>
          <w:p w14:paraId="3915A642">
            <w:pPr>
              <w:spacing w:before="35" w:line="221" w:lineRule="auto"/>
              <w:rPr>
                <w:szCs w:val="21"/>
              </w:rPr>
            </w:pPr>
            <w:r>
              <w:rPr>
                <w:spacing w:val="-8"/>
                <w:szCs w:val="21"/>
              </w:rPr>
              <w:t>急</w:t>
            </w:r>
            <w:r>
              <w:rPr>
                <w:spacing w:val="-7"/>
                <w:szCs w:val="21"/>
              </w:rPr>
              <w:t>性</w:t>
            </w:r>
            <w:r>
              <w:rPr>
                <w:spacing w:val="-4"/>
                <w:szCs w:val="21"/>
              </w:rPr>
              <w:t>毒性-经口,类别 3*</w:t>
            </w:r>
          </w:p>
          <w:p w14:paraId="625F3BFB">
            <w:pPr>
              <w:spacing w:before="19" w:line="221" w:lineRule="auto"/>
              <w:rPr>
                <w:szCs w:val="21"/>
              </w:rPr>
            </w:pPr>
            <w:r>
              <w:rPr>
                <w:spacing w:val="-8"/>
                <w:szCs w:val="21"/>
              </w:rPr>
              <w:t>急</w:t>
            </w:r>
            <w:r>
              <w:rPr>
                <w:spacing w:val="-7"/>
                <w:szCs w:val="21"/>
              </w:rPr>
              <w:t>性</w:t>
            </w:r>
            <w:r>
              <w:rPr>
                <w:spacing w:val="-4"/>
                <w:szCs w:val="21"/>
              </w:rPr>
              <w:t>毒性-经皮,类别 3*</w:t>
            </w:r>
          </w:p>
          <w:p w14:paraId="643BBB6A">
            <w:pPr>
              <w:spacing w:before="22" w:line="221" w:lineRule="auto"/>
              <w:rPr>
                <w:szCs w:val="21"/>
              </w:rPr>
            </w:pPr>
            <w:r>
              <w:rPr>
                <w:spacing w:val="-8"/>
                <w:szCs w:val="21"/>
              </w:rPr>
              <w:t>急</w:t>
            </w:r>
            <w:r>
              <w:rPr>
                <w:spacing w:val="-7"/>
                <w:szCs w:val="21"/>
              </w:rPr>
              <w:t>性</w:t>
            </w:r>
            <w:r>
              <w:rPr>
                <w:spacing w:val="-4"/>
                <w:szCs w:val="21"/>
              </w:rPr>
              <w:t>毒性-吸入,类别 3*</w:t>
            </w:r>
          </w:p>
          <w:p w14:paraId="60FA7CE5">
            <w:pPr>
              <w:spacing w:before="19" w:line="218" w:lineRule="auto"/>
              <w:rPr>
                <w:szCs w:val="21"/>
              </w:rPr>
            </w:pPr>
            <w:r>
              <w:rPr>
                <w:spacing w:val="-8"/>
                <w:szCs w:val="21"/>
              </w:rPr>
              <w:t>皮</w:t>
            </w:r>
            <w:r>
              <w:rPr>
                <w:spacing w:val="-4"/>
                <w:szCs w:val="21"/>
              </w:rPr>
              <w:t>肤腐蚀/刺激,类别 2</w:t>
            </w:r>
          </w:p>
          <w:p w14:paraId="6A263F74">
            <w:pPr>
              <w:spacing w:before="27" w:line="239" w:lineRule="auto"/>
              <w:ind w:right="493"/>
              <w:rPr>
                <w:szCs w:val="21"/>
              </w:rPr>
            </w:pPr>
            <w:r>
              <w:rPr>
                <w:spacing w:val="-8"/>
                <w:szCs w:val="21"/>
              </w:rPr>
              <w:t>严</w:t>
            </w:r>
            <w:r>
              <w:rPr>
                <w:spacing w:val="-6"/>
                <w:szCs w:val="21"/>
              </w:rPr>
              <w:t>重</w:t>
            </w:r>
            <w:r>
              <w:rPr>
                <w:spacing w:val="-4"/>
                <w:szCs w:val="21"/>
              </w:rPr>
              <w:t>眼损伤/眼刺激,类别 2</w:t>
            </w:r>
            <w:r>
              <w:rPr>
                <w:spacing w:val="-6"/>
                <w:szCs w:val="21"/>
              </w:rPr>
              <w:t>皮肤</w:t>
            </w:r>
            <w:r>
              <w:rPr>
                <w:spacing w:val="-5"/>
                <w:szCs w:val="21"/>
              </w:rPr>
              <w:t>致</w:t>
            </w:r>
            <w:r>
              <w:rPr>
                <w:spacing w:val="-3"/>
                <w:szCs w:val="21"/>
              </w:rPr>
              <w:t>敏物,类别 1</w:t>
            </w:r>
          </w:p>
          <w:p w14:paraId="13123190">
            <w:pPr>
              <w:spacing w:line="221" w:lineRule="auto"/>
              <w:rPr>
                <w:szCs w:val="21"/>
              </w:rPr>
            </w:pPr>
            <w:r>
              <w:rPr>
                <w:spacing w:val="-4"/>
                <w:szCs w:val="21"/>
              </w:rPr>
              <w:t xml:space="preserve">生殖细胞致突变性,类别 </w:t>
            </w:r>
            <w:r>
              <w:rPr>
                <w:spacing w:val="-3"/>
                <w:szCs w:val="21"/>
              </w:rPr>
              <w:t>2</w:t>
            </w:r>
          </w:p>
          <w:p w14:paraId="3083EEE3">
            <w:pPr>
              <w:spacing w:before="20" w:line="220" w:lineRule="auto"/>
              <w:rPr>
                <w:szCs w:val="21"/>
              </w:rPr>
            </w:pPr>
            <w:r>
              <w:rPr>
                <w:spacing w:val="-1"/>
                <w:szCs w:val="21"/>
              </w:rPr>
              <w:t>特异性靶器官毒</w:t>
            </w:r>
            <w:r>
              <w:rPr>
                <w:szCs w:val="21"/>
              </w:rPr>
              <w:t>性-反复接触,类别1</w:t>
            </w:r>
          </w:p>
          <w:p w14:paraId="67E32964">
            <w:pPr>
              <w:spacing w:before="27" w:line="212" w:lineRule="auto"/>
              <w:rPr>
                <w:spacing w:val="-8"/>
                <w:szCs w:val="21"/>
              </w:rPr>
            </w:pPr>
            <w:r>
              <w:rPr>
                <w:spacing w:val="-4"/>
                <w:szCs w:val="21"/>
              </w:rPr>
              <w:t>危害</w:t>
            </w:r>
            <w:r>
              <w:rPr>
                <w:spacing w:val="-2"/>
                <w:szCs w:val="21"/>
              </w:rPr>
              <w:t>水生环境-急性危害,类别 1</w:t>
            </w:r>
          </w:p>
        </w:tc>
        <w:tc>
          <w:tcPr>
            <w:tcW w:w="1200" w:type="dxa"/>
          </w:tcPr>
          <w:p w14:paraId="40483F7C"/>
          <w:p w14:paraId="5FB5D28C"/>
          <w:p w14:paraId="0E4DB4B0"/>
          <w:p w14:paraId="0193FF37"/>
          <w:p w14:paraId="0D2BE8AB"/>
          <w:p w14:paraId="5A2D2514">
            <w:pPr>
              <w:spacing w:before="68" w:line="183" w:lineRule="auto"/>
              <w:ind w:left="702"/>
              <w:rPr>
                <w:rFonts w:eastAsia="Times New Roman"/>
                <w:spacing w:val="-2"/>
                <w:szCs w:val="21"/>
              </w:rPr>
            </w:pPr>
            <w:r>
              <w:rPr>
                <w:spacing w:val="-2"/>
                <w:szCs w:val="21"/>
              </w:rPr>
              <w:t>0.3</w:t>
            </w:r>
          </w:p>
        </w:tc>
        <w:tc>
          <w:tcPr>
            <w:tcW w:w="975" w:type="dxa"/>
          </w:tcPr>
          <w:p w14:paraId="5DE32850">
            <w:pPr>
              <w:spacing w:line="291" w:lineRule="auto"/>
            </w:pPr>
          </w:p>
          <w:p w14:paraId="4B4E2B99">
            <w:pPr>
              <w:spacing w:line="291" w:lineRule="auto"/>
            </w:pPr>
          </w:p>
          <w:p w14:paraId="2FDFD867">
            <w:pPr>
              <w:spacing w:line="291" w:lineRule="auto"/>
            </w:pPr>
          </w:p>
          <w:p w14:paraId="258C60BE">
            <w:pPr>
              <w:spacing w:line="291" w:lineRule="auto"/>
            </w:pPr>
          </w:p>
          <w:p w14:paraId="23418A72">
            <w:pPr>
              <w:spacing w:before="69" w:line="221" w:lineRule="auto"/>
              <w:ind w:left="331"/>
              <w:rPr>
                <w:spacing w:val="-9"/>
                <w:szCs w:val="21"/>
              </w:rPr>
            </w:pPr>
            <w:r>
              <w:rPr>
                <w:spacing w:val="-4"/>
                <w:szCs w:val="21"/>
              </w:rPr>
              <w:t>丙</w:t>
            </w:r>
            <w:r>
              <w:rPr>
                <w:spacing w:val="-2"/>
                <w:szCs w:val="21"/>
              </w:rPr>
              <w:t>类</w:t>
            </w:r>
          </w:p>
        </w:tc>
      </w:tr>
      <w:tr w14:paraId="7236D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7ACE993">
            <w:pPr>
              <w:spacing w:line="265" w:lineRule="auto"/>
            </w:pPr>
          </w:p>
          <w:p w14:paraId="2F9620F8">
            <w:pPr>
              <w:spacing w:line="265" w:lineRule="auto"/>
            </w:pPr>
          </w:p>
          <w:p w14:paraId="0803FBD2">
            <w:pPr>
              <w:spacing w:before="60" w:line="187" w:lineRule="auto"/>
              <w:ind w:left="169"/>
              <w:rPr>
                <w:rFonts w:eastAsia="Times New Roman"/>
                <w:szCs w:val="21"/>
              </w:rPr>
            </w:pPr>
            <w:r>
              <w:rPr>
                <w:rFonts w:eastAsia="Times New Roman"/>
                <w:spacing w:val="-1"/>
                <w:szCs w:val="21"/>
              </w:rPr>
              <w:t>28</w:t>
            </w:r>
          </w:p>
        </w:tc>
        <w:tc>
          <w:tcPr>
            <w:tcW w:w="1020" w:type="dxa"/>
          </w:tcPr>
          <w:p w14:paraId="09E03C19">
            <w:pPr>
              <w:spacing w:line="333" w:lineRule="auto"/>
            </w:pPr>
          </w:p>
          <w:p w14:paraId="47ADD51D">
            <w:pPr>
              <w:rPr>
                <w:spacing w:val="-9"/>
                <w:szCs w:val="21"/>
              </w:rPr>
            </w:pPr>
            <w:r>
              <w:rPr>
                <w:spacing w:val="-2"/>
                <w:szCs w:val="21"/>
              </w:rPr>
              <w:t>三氧</w:t>
            </w:r>
            <w:r>
              <w:rPr>
                <w:spacing w:val="-1"/>
                <w:szCs w:val="21"/>
              </w:rPr>
              <w:t>化二</w:t>
            </w:r>
            <w:r>
              <w:rPr>
                <w:szCs w:val="21"/>
              </w:rPr>
              <w:t xml:space="preserve"> 砷</w:t>
            </w:r>
          </w:p>
        </w:tc>
        <w:tc>
          <w:tcPr>
            <w:tcW w:w="1025" w:type="dxa"/>
          </w:tcPr>
          <w:p w14:paraId="25D20FA9">
            <w:pPr>
              <w:spacing w:line="261" w:lineRule="auto"/>
            </w:pPr>
          </w:p>
          <w:p w14:paraId="172249A3">
            <w:pPr>
              <w:spacing w:line="262" w:lineRule="auto"/>
            </w:pPr>
          </w:p>
          <w:p w14:paraId="238498E2">
            <w:pPr>
              <w:spacing w:before="68" w:line="184" w:lineRule="auto"/>
              <w:ind w:left="277"/>
              <w:rPr>
                <w:rFonts w:eastAsia="Times New Roman"/>
                <w:spacing w:val="-5"/>
                <w:szCs w:val="21"/>
              </w:rPr>
            </w:pPr>
            <w:r>
              <w:rPr>
                <w:spacing w:val="-5"/>
                <w:szCs w:val="21"/>
              </w:rPr>
              <w:t>1</w:t>
            </w:r>
            <w:r>
              <w:rPr>
                <w:spacing w:val="-4"/>
                <w:szCs w:val="21"/>
              </w:rPr>
              <w:t>912</w:t>
            </w:r>
          </w:p>
        </w:tc>
        <w:tc>
          <w:tcPr>
            <w:tcW w:w="3687" w:type="dxa"/>
          </w:tcPr>
          <w:p w14:paraId="44FC50EF">
            <w:pPr>
              <w:spacing w:before="36" w:line="221" w:lineRule="auto"/>
              <w:rPr>
                <w:szCs w:val="21"/>
              </w:rPr>
            </w:pPr>
            <w:r>
              <w:rPr>
                <w:spacing w:val="-8"/>
                <w:szCs w:val="21"/>
              </w:rPr>
              <w:t>急性</w:t>
            </w:r>
            <w:r>
              <w:rPr>
                <w:spacing w:val="-4"/>
                <w:szCs w:val="21"/>
              </w:rPr>
              <w:t>毒性-经口,类别 2*</w:t>
            </w:r>
          </w:p>
          <w:p w14:paraId="1AFCF11A">
            <w:pPr>
              <w:spacing w:before="19" w:line="218" w:lineRule="auto"/>
              <w:rPr>
                <w:szCs w:val="21"/>
              </w:rPr>
            </w:pPr>
            <w:r>
              <w:rPr>
                <w:spacing w:val="-4"/>
                <w:szCs w:val="21"/>
              </w:rPr>
              <w:t>皮肤腐蚀/刺激,类别 1</w:t>
            </w:r>
            <w:r>
              <w:rPr>
                <w:spacing w:val="-2"/>
                <w:szCs w:val="21"/>
              </w:rPr>
              <w:t>B</w:t>
            </w:r>
          </w:p>
          <w:p w14:paraId="35AE1EC9">
            <w:pPr>
              <w:spacing w:before="25" w:line="218" w:lineRule="auto"/>
              <w:rPr>
                <w:szCs w:val="21"/>
              </w:rPr>
            </w:pPr>
            <w:r>
              <w:rPr>
                <w:spacing w:val="-4"/>
                <w:szCs w:val="21"/>
              </w:rPr>
              <w:t>严重眼损伤</w:t>
            </w:r>
            <w:r>
              <w:rPr>
                <w:spacing w:val="-3"/>
                <w:szCs w:val="21"/>
              </w:rPr>
              <w:t>/</w:t>
            </w:r>
            <w:r>
              <w:rPr>
                <w:spacing w:val="-2"/>
                <w:szCs w:val="21"/>
              </w:rPr>
              <w:t>眼刺激,类别 1</w:t>
            </w:r>
          </w:p>
          <w:p w14:paraId="47F17BD6">
            <w:pPr>
              <w:spacing w:before="23" w:line="218" w:lineRule="auto"/>
              <w:rPr>
                <w:szCs w:val="21"/>
              </w:rPr>
            </w:pPr>
            <w:r>
              <w:rPr>
                <w:spacing w:val="-6"/>
                <w:szCs w:val="21"/>
              </w:rPr>
              <w:t>致</w:t>
            </w:r>
            <w:r>
              <w:rPr>
                <w:spacing w:val="-5"/>
                <w:szCs w:val="21"/>
              </w:rPr>
              <w:t>癌性,类别 1A</w:t>
            </w:r>
          </w:p>
          <w:p w14:paraId="4E853DFF">
            <w:pPr>
              <w:spacing w:before="25" w:line="216" w:lineRule="auto"/>
              <w:rPr>
                <w:spacing w:val="-8"/>
                <w:szCs w:val="21"/>
              </w:rPr>
            </w:pPr>
            <w:r>
              <w:rPr>
                <w:spacing w:val="-4"/>
                <w:szCs w:val="21"/>
              </w:rPr>
              <w:t>危害</w:t>
            </w:r>
            <w:r>
              <w:rPr>
                <w:spacing w:val="-2"/>
                <w:szCs w:val="21"/>
              </w:rPr>
              <w:t>水生环境-急性危害,类别 1</w:t>
            </w:r>
          </w:p>
        </w:tc>
        <w:tc>
          <w:tcPr>
            <w:tcW w:w="1200" w:type="dxa"/>
          </w:tcPr>
          <w:p w14:paraId="4E3DBEA4">
            <w:pPr>
              <w:spacing w:line="262" w:lineRule="auto"/>
            </w:pPr>
          </w:p>
          <w:p w14:paraId="291282C4">
            <w:pPr>
              <w:spacing w:line="262" w:lineRule="auto"/>
            </w:pPr>
          </w:p>
          <w:p w14:paraId="3E44238E">
            <w:pPr>
              <w:spacing w:before="68" w:line="183" w:lineRule="auto"/>
              <w:ind w:left="490"/>
              <w:rPr>
                <w:rFonts w:eastAsia="Times New Roman"/>
                <w:spacing w:val="-2"/>
                <w:szCs w:val="21"/>
              </w:rPr>
            </w:pPr>
            <w:r>
              <w:rPr>
                <w:spacing w:val="-1"/>
                <w:szCs w:val="21"/>
              </w:rPr>
              <w:t>0.00012</w:t>
            </w:r>
          </w:p>
        </w:tc>
        <w:tc>
          <w:tcPr>
            <w:tcW w:w="975" w:type="dxa"/>
          </w:tcPr>
          <w:p w14:paraId="5A9287EE">
            <w:pPr>
              <w:spacing w:line="244" w:lineRule="auto"/>
            </w:pPr>
          </w:p>
          <w:p w14:paraId="4A47A144">
            <w:pPr>
              <w:spacing w:line="244" w:lineRule="auto"/>
            </w:pPr>
          </w:p>
          <w:p w14:paraId="64404975">
            <w:pPr>
              <w:spacing w:before="68" w:line="221" w:lineRule="auto"/>
              <w:ind w:left="328"/>
              <w:rPr>
                <w:spacing w:val="-9"/>
                <w:szCs w:val="21"/>
              </w:rPr>
            </w:pPr>
            <w:r>
              <w:rPr>
                <w:spacing w:val="-2"/>
                <w:szCs w:val="21"/>
              </w:rPr>
              <w:t>戊类</w:t>
            </w:r>
          </w:p>
        </w:tc>
      </w:tr>
      <w:tr w14:paraId="5B689C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C22C2AE">
            <w:pPr>
              <w:spacing w:line="392" w:lineRule="auto"/>
            </w:pPr>
          </w:p>
          <w:p w14:paraId="2EE8452C">
            <w:pPr>
              <w:spacing w:before="60" w:line="187" w:lineRule="auto"/>
              <w:ind w:left="169"/>
              <w:rPr>
                <w:rFonts w:eastAsia="Times New Roman"/>
                <w:szCs w:val="21"/>
              </w:rPr>
            </w:pPr>
            <w:r>
              <w:rPr>
                <w:rFonts w:eastAsia="Times New Roman"/>
                <w:spacing w:val="-1"/>
                <w:szCs w:val="21"/>
              </w:rPr>
              <w:t>29</w:t>
            </w:r>
          </w:p>
        </w:tc>
        <w:tc>
          <w:tcPr>
            <w:tcW w:w="1020" w:type="dxa"/>
          </w:tcPr>
          <w:p w14:paraId="110B015A">
            <w:pPr>
              <w:spacing w:line="348" w:lineRule="auto"/>
            </w:pPr>
          </w:p>
          <w:p w14:paraId="5C3F3DC1">
            <w:pPr>
              <w:spacing w:before="68" w:line="222" w:lineRule="auto"/>
              <w:rPr>
                <w:szCs w:val="21"/>
              </w:rPr>
            </w:pPr>
            <w:r>
              <w:rPr>
                <w:spacing w:val="-2"/>
                <w:szCs w:val="21"/>
              </w:rPr>
              <w:t>硫</w:t>
            </w:r>
            <w:r>
              <w:rPr>
                <w:spacing w:val="-1"/>
                <w:szCs w:val="21"/>
              </w:rPr>
              <w:t>酸</w:t>
            </w:r>
          </w:p>
        </w:tc>
        <w:tc>
          <w:tcPr>
            <w:tcW w:w="1025" w:type="dxa"/>
          </w:tcPr>
          <w:p w14:paraId="6FCEE287">
            <w:pPr>
              <w:spacing w:line="384" w:lineRule="auto"/>
            </w:pPr>
          </w:p>
          <w:p w14:paraId="069356D3">
            <w:pPr>
              <w:spacing w:before="68" w:line="183" w:lineRule="auto"/>
              <w:ind w:left="319"/>
              <w:rPr>
                <w:szCs w:val="21"/>
              </w:rPr>
            </w:pPr>
            <w:r>
              <w:rPr>
                <w:spacing w:val="-4"/>
                <w:szCs w:val="21"/>
              </w:rPr>
              <w:t>724</w:t>
            </w:r>
          </w:p>
        </w:tc>
        <w:tc>
          <w:tcPr>
            <w:tcW w:w="3687" w:type="dxa"/>
          </w:tcPr>
          <w:p w14:paraId="0A76EA26">
            <w:pPr>
              <w:spacing w:before="31" w:line="239" w:lineRule="auto"/>
              <w:ind w:right="493"/>
              <w:rPr>
                <w:szCs w:val="21"/>
              </w:rPr>
            </w:pPr>
            <w:r>
              <w:rPr>
                <w:spacing w:val="-8"/>
                <w:szCs w:val="21"/>
              </w:rPr>
              <w:t>皮肤</w:t>
            </w:r>
            <w:r>
              <w:rPr>
                <w:spacing w:val="-6"/>
                <w:szCs w:val="21"/>
              </w:rPr>
              <w:t>腐</w:t>
            </w:r>
            <w:r>
              <w:rPr>
                <w:spacing w:val="-4"/>
                <w:szCs w:val="21"/>
              </w:rPr>
              <w:t>蚀/刺激,类别 1A</w:t>
            </w:r>
          </w:p>
          <w:p w14:paraId="65F48B3B">
            <w:pPr>
              <w:spacing w:before="31" w:line="239" w:lineRule="auto"/>
              <w:ind w:right="493"/>
              <w:rPr>
                <w:szCs w:val="21"/>
              </w:rPr>
            </w:pPr>
            <w:r>
              <w:rPr>
                <w:spacing w:val="-8"/>
                <w:szCs w:val="21"/>
              </w:rPr>
              <w:t>严</w:t>
            </w:r>
            <w:r>
              <w:rPr>
                <w:spacing w:val="-6"/>
                <w:szCs w:val="21"/>
              </w:rPr>
              <w:t>重</w:t>
            </w:r>
            <w:r>
              <w:rPr>
                <w:spacing w:val="-4"/>
                <w:szCs w:val="21"/>
              </w:rPr>
              <w:t>眼损伤/眼刺激,类别 1</w:t>
            </w:r>
          </w:p>
          <w:p w14:paraId="79F6A517">
            <w:pPr>
              <w:spacing w:line="228" w:lineRule="auto"/>
              <w:ind w:right="150"/>
              <w:rPr>
                <w:szCs w:val="21"/>
              </w:rPr>
            </w:pPr>
            <w:r>
              <w:rPr>
                <w:spacing w:val="-1"/>
                <w:szCs w:val="21"/>
              </w:rPr>
              <w:t>特异性靶器官毒</w:t>
            </w:r>
            <w:r>
              <w:rPr>
                <w:szCs w:val="21"/>
              </w:rPr>
              <w:t xml:space="preserve">性-一次接触,类别 </w:t>
            </w:r>
            <w:r>
              <w:rPr>
                <w:spacing w:val="-2"/>
                <w:szCs w:val="21"/>
              </w:rPr>
              <w:t>3</w:t>
            </w:r>
            <w:r>
              <w:rPr>
                <w:spacing w:val="-1"/>
                <w:szCs w:val="21"/>
              </w:rPr>
              <w:t xml:space="preserve"> (呼吸道刺激)</w:t>
            </w:r>
          </w:p>
        </w:tc>
        <w:tc>
          <w:tcPr>
            <w:tcW w:w="1200" w:type="dxa"/>
          </w:tcPr>
          <w:p w14:paraId="6E4BEC5D">
            <w:pPr>
              <w:spacing w:line="383" w:lineRule="auto"/>
            </w:pPr>
          </w:p>
          <w:p w14:paraId="55064CC8">
            <w:pPr>
              <w:spacing w:before="68" w:line="183" w:lineRule="auto"/>
              <w:ind w:left="649"/>
              <w:rPr>
                <w:szCs w:val="21"/>
              </w:rPr>
            </w:pPr>
            <w:r>
              <w:rPr>
                <w:spacing w:val="-2"/>
                <w:szCs w:val="21"/>
              </w:rPr>
              <w:t>0.</w:t>
            </w:r>
            <w:r>
              <w:rPr>
                <w:spacing w:val="-1"/>
                <w:szCs w:val="21"/>
              </w:rPr>
              <w:t>03</w:t>
            </w:r>
          </w:p>
        </w:tc>
        <w:tc>
          <w:tcPr>
            <w:tcW w:w="975" w:type="dxa"/>
          </w:tcPr>
          <w:p w14:paraId="57D264DE">
            <w:pPr>
              <w:spacing w:line="347" w:lineRule="auto"/>
            </w:pPr>
          </w:p>
          <w:p w14:paraId="6E3C7718">
            <w:pPr>
              <w:spacing w:before="69" w:line="221" w:lineRule="auto"/>
              <w:ind w:left="344"/>
              <w:rPr>
                <w:szCs w:val="21"/>
              </w:rPr>
            </w:pPr>
            <w:r>
              <w:rPr>
                <w:spacing w:val="-7"/>
                <w:szCs w:val="21"/>
              </w:rPr>
              <w:t>乙</w:t>
            </w:r>
            <w:r>
              <w:rPr>
                <w:spacing w:val="-5"/>
                <w:szCs w:val="21"/>
              </w:rPr>
              <w:t>类</w:t>
            </w:r>
          </w:p>
        </w:tc>
      </w:tr>
      <w:tr w14:paraId="1530F9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F59DB4D">
            <w:pPr>
              <w:spacing w:line="256" w:lineRule="auto"/>
            </w:pPr>
          </w:p>
          <w:p w14:paraId="7DE0FFE5">
            <w:pPr>
              <w:spacing w:before="60" w:line="187" w:lineRule="auto"/>
              <w:ind w:left="174"/>
              <w:rPr>
                <w:rFonts w:eastAsia="Times New Roman"/>
                <w:szCs w:val="21"/>
              </w:rPr>
            </w:pPr>
            <w:r>
              <w:rPr>
                <w:rFonts w:eastAsia="Times New Roman"/>
                <w:spacing w:val="-2"/>
                <w:szCs w:val="21"/>
              </w:rPr>
              <w:t>30</w:t>
            </w:r>
          </w:p>
        </w:tc>
        <w:tc>
          <w:tcPr>
            <w:tcW w:w="1020" w:type="dxa"/>
          </w:tcPr>
          <w:p w14:paraId="3A48B3E6">
            <w:pPr>
              <w:rPr>
                <w:szCs w:val="21"/>
              </w:rPr>
            </w:pPr>
            <w:r>
              <w:rPr>
                <w:rFonts w:eastAsia="Times New Roman"/>
                <w:szCs w:val="21"/>
              </w:rPr>
              <w:t>N</w:t>
            </w:r>
            <w:r>
              <w:rPr>
                <w:rFonts w:eastAsia="Times New Roman"/>
                <w:spacing w:val="1"/>
                <w:szCs w:val="21"/>
              </w:rPr>
              <w:t>,</w:t>
            </w:r>
            <w:r>
              <w:rPr>
                <w:rFonts w:eastAsia="Times New Roman"/>
                <w:szCs w:val="21"/>
              </w:rPr>
              <w:t>N</w:t>
            </w:r>
            <w:r>
              <w:rPr>
                <w:rFonts w:eastAsia="Times New Roman"/>
                <w:spacing w:val="1"/>
                <w:szCs w:val="21"/>
              </w:rPr>
              <w:t>-</w:t>
            </w:r>
            <w:r>
              <w:rPr>
                <w:spacing w:val="1"/>
                <w:szCs w:val="21"/>
              </w:rPr>
              <w:t>二</w:t>
            </w:r>
            <w:r>
              <w:rPr>
                <w:szCs w:val="21"/>
              </w:rPr>
              <w:t xml:space="preserve">甲 </w:t>
            </w:r>
            <w:r>
              <w:rPr>
                <w:spacing w:val="-2"/>
                <w:szCs w:val="21"/>
              </w:rPr>
              <w:t>基</w:t>
            </w:r>
            <w:r>
              <w:rPr>
                <w:spacing w:val="-1"/>
                <w:szCs w:val="21"/>
              </w:rPr>
              <w:t>甲酰胺</w:t>
            </w:r>
          </w:p>
        </w:tc>
        <w:tc>
          <w:tcPr>
            <w:tcW w:w="1025" w:type="dxa"/>
          </w:tcPr>
          <w:p w14:paraId="64E036DA">
            <w:pPr>
              <w:spacing w:line="250" w:lineRule="auto"/>
            </w:pPr>
          </w:p>
          <w:p w14:paraId="692ECEF6">
            <w:pPr>
              <w:spacing w:before="68" w:line="183" w:lineRule="auto"/>
              <w:ind w:left="313"/>
              <w:rPr>
                <w:szCs w:val="21"/>
              </w:rPr>
            </w:pPr>
            <w:r>
              <w:rPr>
                <w:spacing w:val="-2"/>
                <w:szCs w:val="21"/>
              </w:rPr>
              <w:t>4</w:t>
            </w:r>
            <w:r>
              <w:rPr>
                <w:spacing w:val="-1"/>
                <w:szCs w:val="21"/>
              </w:rPr>
              <w:t>60</w:t>
            </w:r>
          </w:p>
        </w:tc>
        <w:tc>
          <w:tcPr>
            <w:tcW w:w="3687" w:type="dxa"/>
          </w:tcPr>
          <w:p w14:paraId="7E8E5A56">
            <w:pPr>
              <w:spacing w:before="32" w:line="219" w:lineRule="auto"/>
              <w:rPr>
                <w:szCs w:val="21"/>
              </w:rPr>
            </w:pPr>
            <w:r>
              <w:rPr>
                <w:spacing w:val="-12"/>
                <w:szCs w:val="21"/>
              </w:rPr>
              <w:t>易</w:t>
            </w:r>
            <w:r>
              <w:rPr>
                <w:spacing w:val="-7"/>
                <w:szCs w:val="21"/>
              </w:rPr>
              <w:t>燃</w:t>
            </w:r>
            <w:r>
              <w:rPr>
                <w:spacing w:val="-6"/>
                <w:szCs w:val="21"/>
              </w:rPr>
              <w:t>液体,类别 3</w:t>
            </w:r>
          </w:p>
          <w:p w14:paraId="6E69F750">
            <w:pPr>
              <w:spacing w:before="21" w:line="218" w:lineRule="auto"/>
              <w:rPr>
                <w:szCs w:val="21"/>
              </w:rPr>
            </w:pPr>
            <w:r>
              <w:rPr>
                <w:spacing w:val="-6"/>
                <w:szCs w:val="21"/>
              </w:rPr>
              <w:t>严重眼</w:t>
            </w:r>
            <w:r>
              <w:rPr>
                <w:spacing w:val="-4"/>
                <w:szCs w:val="21"/>
              </w:rPr>
              <w:t>损</w:t>
            </w:r>
            <w:r>
              <w:rPr>
                <w:spacing w:val="-3"/>
                <w:szCs w:val="21"/>
              </w:rPr>
              <w:t>伤/眼刺激,类别 2</w:t>
            </w:r>
          </w:p>
          <w:p w14:paraId="5CEBB986">
            <w:pPr>
              <w:spacing w:before="25" w:line="216" w:lineRule="auto"/>
              <w:rPr>
                <w:szCs w:val="21"/>
              </w:rPr>
            </w:pPr>
            <w:r>
              <w:rPr>
                <w:spacing w:val="-5"/>
                <w:szCs w:val="21"/>
              </w:rPr>
              <w:t>生殖毒性,类别 1</w:t>
            </w:r>
            <w:r>
              <w:rPr>
                <w:spacing w:val="-4"/>
                <w:szCs w:val="21"/>
              </w:rPr>
              <w:t>B</w:t>
            </w:r>
          </w:p>
        </w:tc>
        <w:tc>
          <w:tcPr>
            <w:tcW w:w="1200" w:type="dxa"/>
          </w:tcPr>
          <w:p w14:paraId="74BECC7F">
            <w:pPr>
              <w:spacing w:line="248" w:lineRule="auto"/>
            </w:pPr>
          </w:p>
          <w:p w14:paraId="5732979D">
            <w:pPr>
              <w:spacing w:before="69" w:line="186" w:lineRule="auto"/>
              <w:ind w:left="819"/>
              <w:rPr>
                <w:szCs w:val="21"/>
              </w:rPr>
            </w:pPr>
            <w:r>
              <w:rPr>
                <w:szCs w:val="21"/>
              </w:rPr>
              <w:t>1</w:t>
            </w:r>
          </w:p>
        </w:tc>
        <w:tc>
          <w:tcPr>
            <w:tcW w:w="975" w:type="dxa"/>
          </w:tcPr>
          <w:p w14:paraId="00E1D3D2">
            <w:pPr>
              <w:spacing w:before="284" w:line="221" w:lineRule="auto"/>
              <w:ind w:left="344"/>
              <w:rPr>
                <w:szCs w:val="21"/>
              </w:rPr>
            </w:pPr>
            <w:r>
              <w:rPr>
                <w:spacing w:val="-7"/>
                <w:szCs w:val="21"/>
              </w:rPr>
              <w:t>乙</w:t>
            </w:r>
            <w:r>
              <w:rPr>
                <w:spacing w:val="-5"/>
                <w:szCs w:val="21"/>
              </w:rPr>
              <w:t>类</w:t>
            </w:r>
          </w:p>
        </w:tc>
      </w:tr>
      <w:tr w14:paraId="735F7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6AE23ED">
            <w:pPr>
              <w:spacing w:line="262" w:lineRule="auto"/>
            </w:pPr>
          </w:p>
          <w:p w14:paraId="291C620D">
            <w:pPr>
              <w:spacing w:line="263" w:lineRule="auto"/>
            </w:pPr>
          </w:p>
          <w:p w14:paraId="70429E77">
            <w:pPr>
              <w:spacing w:before="61" w:line="187" w:lineRule="auto"/>
              <w:ind w:left="174"/>
              <w:rPr>
                <w:rFonts w:eastAsia="Times New Roman"/>
                <w:szCs w:val="21"/>
              </w:rPr>
            </w:pPr>
            <w:r>
              <w:rPr>
                <w:rFonts w:eastAsia="Times New Roman"/>
                <w:spacing w:val="-2"/>
                <w:szCs w:val="21"/>
              </w:rPr>
              <w:t>31</w:t>
            </w:r>
          </w:p>
        </w:tc>
        <w:tc>
          <w:tcPr>
            <w:tcW w:w="1020" w:type="dxa"/>
          </w:tcPr>
          <w:p w14:paraId="12EC33D8">
            <w:pPr>
              <w:spacing w:line="242" w:lineRule="auto"/>
            </w:pPr>
          </w:p>
          <w:p w14:paraId="759812AF">
            <w:pPr>
              <w:spacing w:line="243" w:lineRule="auto"/>
            </w:pPr>
          </w:p>
          <w:p w14:paraId="514090E1">
            <w:pPr>
              <w:spacing w:before="68" w:line="218" w:lineRule="auto"/>
              <w:rPr>
                <w:szCs w:val="21"/>
              </w:rPr>
            </w:pPr>
            <w:r>
              <w:rPr>
                <w:spacing w:val="-2"/>
                <w:szCs w:val="21"/>
              </w:rPr>
              <w:t>氨</w:t>
            </w:r>
            <w:r>
              <w:rPr>
                <w:spacing w:val="-1"/>
                <w:szCs w:val="21"/>
              </w:rPr>
              <w:t>水</w:t>
            </w:r>
          </w:p>
        </w:tc>
        <w:tc>
          <w:tcPr>
            <w:tcW w:w="1025" w:type="dxa"/>
          </w:tcPr>
          <w:p w14:paraId="5EE967D8">
            <w:pPr>
              <w:spacing w:line="260" w:lineRule="auto"/>
            </w:pPr>
          </w:p>
          <w:p w14:paraId="4077D5D5">
            <w:pPr>
              <w:spacing w:line="260" w:lineRule="auto"/>
            </w:pPr>
          </w:p>
          <w:p w14:paraId="1679CB42">
            <w:pPr>
              <w:spacing w:before="68" w:line="183" w:lineRule="auto"/>
              <w:ind w:left="369"/>
              <w:rPr>
                <w:szCs w:val="21"/>
              </w:rPr>
            </w:pPr>
            <w:r>
              <w:rPr>
                <w:spacing w:val="-3"/>
                <w:szCs w:val="21"/>
              </w:rPr>
              <w:t>35</w:t>
            </w:r>
          </w:p>
        </w:tc>
        <w:tc>
          <w:tcPr>
            <w:tcW w:w="3687" w:type="dxa"/>
          </w:tcPr>
          <w:p w14:paraId="71C2942E">
            <w:pPr>
              <w:spacing w:before="31" w:line="239" w:lineRule="auto"/>
              <w:ind w:right="493"/>
              <w:rPr>
                <w:szCs w:val="21"/>
              </w:rPr>
            </w:pPr>
            <w:r>
              <w:rPr>
                <w:spacing w:val="-8"/>
                <w:szCs w:val="21"/>
              </w:rPr>
              <w:t>皮肤</w:t>
            </w:r>
            <w:r>
              <w:rPr>
                <w:spacing w:val="-6"/>
                <w:szCs w:val="21"/>
              </w:rPr>
              <w:t>腐</w:t>
            </w:r>
            <w:r>
              <w:rPr>
                <w:spacing w:val="-4"/>
                <w:szCs w:val="21"/>
              </w:rPr>
              <w:t>蚀/刺激,类别 1B</w:t>
            </w:r>
          </w:p>
          <w:p w14:paraId="732477A5">
            <w:pPr>
              <w:spacing w:before="31" w:line="239" w:lineRule="auto"/>
              <w:ind w:right="493"/>
              <w:rPr>
                <w:szCs w:val="21"/>
              </w:rPr>
            </w:pPr>
            <w:r>
              <w:rPr>
                <w:spacing w:val="-8"/>
                <w:szCs w:val="21"/>
              </w:rPr>
              <w:t>严</w:t>
            </w:r>
            <w:r>
              <w:rPr>
                <w:spacing w:val="-6"/>
                <w:szCs w:val="21"/>
              </w:rPr>
              <w:t>重</w:t>
            </w:r>
            <w:r>
              <w:rPr>
                <w:spacing w:val="-4"/>
                <w:szCs w:val="21"/>
              </w:rPr>
              <w:t>眼损伤/眼刺激,类别 1</w:t>
            </w:r>
          </w:p>
          <w:p w14:paraId="145E8141">
            <w:pPr>
              <w:spacing w:before="1" w:line="239" w:lineRule="auto"/>
              <w:ind w:right="150"/>
              <w:rPr>
                <w:szCs w:val="21"/>
              </w:rPr>
            </w:pPr>
            <w:r>
              <w:rPr>
                <w:spacing w:val="-1"/>
                <w:szCs w:val="21"/>
              </w:rPr>
              <w:t>特异性靶器官毒</w:t>
            </w:r>
            <w:r>
              <w:rPr>
                <w:szCs w:val="21"/>
              </w:rPr>
              <w:t xml:space="preserve">性-一次接触,类别 </w:t>
            </w:r>
            <w:r>
              <w:rPr>
                <w:spacing w:val="-2"/>
                <w:szCs w:val="21"/>
              </w:rPr>
              <w:t>3</w:t>
            </w:r>
            <w:r>
              <w:rPr>
                <w:spacing w:val="-1"/>
                <w:szCs w:val="21"/>
              </w:rPr>
              <w:t xml:space="preserve"> (呼吸道刺激)</w:t>
            </w:r>
          </w:p>
          <w:p w14:paraId="4ACCBD4E">
            <w:pPr>
              <w:spacing w:line="217" w:lineRule="auto"/>
              <w:rPr>
                <w:szCs w:val="21"/>
              </w:rPr>
            </w:pPr>
            <w:r>
              <w:rPr>
                <w:spacing w:val="-4"/>
                <w:szCs w:val="21"/>
              </w:rPr>
              <w:t>危害</w:t>
            </w:r>
            <w:r>
              <w:rPr>
                <w:spacing w:val="-2"/>
                <w:szCs w:val="21"/>
              </w:rPr>
              <w:t>水生环境-急性危害,类别 1</w:t>
            </w:r>
          </w:p>
        </w:tc>
        <w:tc>
          <w:tcPr>
            <w:tcW w:w="1200" w:type="dxa"/>
          </w:tcPr>
          <w:p w14:paraId="48EA6976">
            <w:pPr>
              <w:spacing w:line="259" w:lineRule="auto"/>
            </w:pPr>
          </w:p>
          <w:p w14:paraId="033E7D67">
            <w:pPr>
              <w:spacing w:line="260" w:lineRule="auto"/>
            </w:pPr>
          </w:p>
          <w:p w14:paraId="32E334BB">
            <w:pPr>
              <w:spacing w:before="68" w:line="183" w:lineRule="auto"/>
              <w:ind w:left="596"/>
              <w:rPr>
                <w:szCs w:val="21"/>
              </w:rPr>
            </w:pPr>
            <w:r>
              <w:rPr>
                <w:spacing w:val="-2"/>
                <w:szCs w:val="21"/>
              </w:rPr>
              <w:t>0</w:t>
            </w:r>
            <w:r>
              <w:rPr>
                <w:spacing w:val="-1"/>
                <w:szCs w:val="21"/>
              </w:rPr>
              <w:t>.049</w:t>
            </w:r>
          </w:p>
        </w:tc>
        <w:tc>
          <w:tcPr>
            <w:tcW w:w="975" w:type="dxa"/>
          </w:tcPr>
          <w:p w14:paraId="3DC6A49A">
            <w:pPr>
              <w:spacing w:line="242" w:lineRule="auto"/>
            </w:pPr>
          </w:p>
          <w:p w14:paraId="22FE057E">
            <w:pPr>
              <w:spacing w:line="242" w:lineRule="auto"/>
            </w:pPr>
          </w:p>
          <w:p w14:paraId="5C0A3369">
            <w:pPr>
              <w:spacing w:before="68" w:line="221" w:lineRule="auto"/>
              <w:ind w:left="331"/>
              <w:rPr>
                <w:szCs w:val="21"/>
              </w:rPr>
            </w:pPr>
            <w:r>
              <w:rPr>
                <w:spacing w:val="-4"/>
                <w:szCs w:val="21"/>
              </w:rPr>
              <w:t>丙</w:t>
            </w:r>
            <w:r>
              <w:rPr>
                <w:spacing w:val="-2"/>
                <w:szCs w:val="21"/>
              </w:rPr>
              <w:t>类</w:t>
            </w:r>
          </w:p>
        </w:tc>
      </w:tr>
      <w:tr w14:paraId="3B169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7CE33BA">
            <w:pPr>
              <w:spacing w:line="263" w:lineRule="auto"/>
            </w:pPr>
          </w:p>
          <w:p w14:paraId="6AAA7D4A">
            <w:pPr>
              <w:spacing w:line="263" w:lineRule="auto"/>
            </w:pPr>
          </w:p>
          <w:p w14:paraId="4A2E3482">
            <w:pPr>
              <w:spacing w:before="60" w:line="187" w:lineRule="auto"/>
              <w:ind w:left="174"/>
              <w:rPr>
                <w:rFonts w:eastAsia="Times New Roman"/>
                <w:szCs w:val="21"/>
              </w:rPr>
            </w:pPr>
            <w:r>
              <w:rPr>
                <w:rFonts w:eastAsia="Times New Roman"/>
                <w:spacing w:val="-2"/>
                <w:szCs w:val="21"/>
              </w:rPr>
              <w:t>32</w:t>
            </w:r>
          </w:p>
        </w:tc>
        <w:tc>
          <w:tcPr>
            <w:tcW w:w="1020" w:type="dxa"/>
          </w:tcPr>
          <w:p w14:paraId="4EEC78C5">
            <w:pPr>
              <w:spacing w:line="241" w:lineRule="auto"/>
            </w:pPr>
          </w:p>
          <w:p w14:paraId="1B9F0F4C">
            <w:pPr>
              <w:spacing w:line="241" w:lineRule="auto"/>
            </w:pPr>
          </w:p>
          <w:p w14:paraId="64227BCD">
            <w:pPr>
              <w:spacing w:before="69" w:line="221" w:lineRule="auto"/>
              <w:rPr>
                <w:szCs w:val="21"/>
              </w:rPr>
            </w:pPr>
            <w:r>
              <w:rPr>
                <w:spacing w:val="-9"/>
                <w:szCs w:val="21"/>
              </w:rPr>
              <w:t>甲</w:t>
            </w:r>
            <w:r>
              <w:rPr>
                <w:spacing w:val="-8"/>
                <w:szCs w:val="21"/>
              </w:rPr>
              <w:t>醇</w:t>
            </w:r>
          </w:p>
        </w:tc>
        <w:tc>
          <w:tcPr>
            <w:tcW w:w="1025" w:type="dxa"/>
          </w:tcPr>
          <w:p w14:paraId="43E41781">
            <w:pPr>
              <w:spacing w:line="269" w:lineRule="auto"/>
            </w:pPr>
          </w:p>
          <w:p w14:paraId="054719EE">
            <w:pPr>
              <w:spacing w:line="269" w:lineRule="auto"/>
            </w:pPr>
          </w:p>
          <w:p w14:paraId="05140022">
            <w:pPr>
              <w:spacing w:before="68" w:line="184" w:lineRule="auto"/>
              <w:ind w:left="277"/>
              <w:rPr>
                <w:szCs w:val="21"/>
              </w:rPr>
            </w:pPr>
            <w:r>
              <w:rPr>
                <w:spacing w:val="-5"/>
                <w:szCs w:val="21"/>
              </w:rPr>
              <w:t>1</w:t>
            </w:r>
            <w:r>
              <w:rPr>
                <w:spacing w:val="-4"/>
                <w:szCs w:val="21"/>
              </w:rPr>
              <w:t>022</w:t>
            </w:r>
          </w:p>
        </w:tc>
        <w:tc>
          <w:tcPr>
            <w:tcW w:w="3687" w:type="dxa"/>
          </w:tcPr>
          <w:p w14:paraId="09759977">
            <w:pPr>
              <w:spacing w:before="32" w:line="239" w:lineRule="auto"/>
              <w:ind w:right="690"/>
              <w:rPr>
                <w:rFonts w:eastAsia="Times New Roman"/>
                <w:szCs w:val="21"/>
              </w:rPr>
            </w:pPr>
            <w:r>
              <w:rPr>
                <w:spacing w:val="-8"/>
                <w:szCs w:val="21"/>
              </w:rPr>
              <w:t>易燃液体</w:t>
            </w:r>
            <w:r>
              <w:rPr>
                <w:rFonts w:eastAsia="Times New Roman"/>
                <w:spacing w:val="-8"/>
                <w:szCs w:val="21"/>
              </w:rPr>
              <w:t>,</w:t>
            </w:r>
            <w:r>
              <w:rPr>
                <w:spacing w:val="-8"/>
                <w:szCs w:val="21"/>
              </w:rPr>
              <w:t xml:space="preserve">类别 </w:t>
            </w:r>
            <w:r>
              <w:rPr>
                <w:rFonts w:eastAsia="Times New Roman"/>
                <w:spacing w:val="-7"/>
                <w:szCs w:val="21"/>
              </w:rPr>
              <w:t>2</w:t>
            </w:r>
          </w:p>
          <w:p w14:paraId="154B4B6A">
            <w:pPr>
              <w:spacing w:before="32" w:line="239" w:lineRule="auto"/>
              <w:ind w:right="690"/>
              <w:rPr>
                <w:rFonts w:eastAsia="Times New Roman"/>
                <w:szCs w:val="21"/>
              </w:rPr>
            </w:pPr>
            <w:r>
              <w:rPr>
                <w:spacing w:val="-5"/>
                <w:szCs w:val="21"/>
              </w:rPr>
              <w:t>急性毒性</w:t>
            </w:r>
            <w:r>
              <w:rPr>
                <w:rFonts w:eastAsia="Times New Roman"/>
                <w:spacing w:val="-5"/>
                <w:szCs w:val="21"/>
              </w:rPr>
              <w:t>-</w:t>
            </w:r>
            <w:r>
              <w:rPr>
                <w:spacing w:val="-5"/>
                <w:szCs w:val="21"/>
              </w:rPr>
              <w:t>经口</w:t>
            </w:r>
            <w:r>
              <w:rPr>
                <w:rFonts w:eastAsia="Times New Roman"/>
                <w:spacing w:val="-5"/>
                <w:szCs w:val="21"/>
              </w:rPr>
              <w:t>,</w:t>
            </w:r>
            <w:r>
              <w:rPr>
                <w:spacing w:val="-5"/>
                <w:szCs w:val="21"/>
              </w:rPr>
              <w:t xml:space="preserve">类别 </w:t>
            </w:r>
            <w:r>
              <w:rPr>
                <w:rFonts w:eastAsia="Times New Roman"/>
                <w:spacing w:val="-5"/>
                <w:szCs w:val="21"/>
              </w:rPr>
              <w:t>3</w:t>
            </w:r>
            <w:r>
              <w:rPr>
                <w:rFonts w:eastAsia="Times New Roman"/>
                <w:spacing w:val="-4"/>
                <w:szCs w:val="21"/>
              </w:rPr>
              <w:t>*</w:t>
            </w:r>
          </w:p>
          <w:p w14:paraId="138E6F29">
            <w:pPr>
              <w:spacing w:before="32" w:line="239" w:lineRule="auto"/>
              <w:ind w:right="690"/>
              <w:rPr>
                <w:rFonts w:eastAsia="Times New Roman"/>
                <w:szCs w:val="21"/>
              </w:rPr>
            </w:pPr>
            <w:r>
              <w:rPr>
                <w:spacing w:val="-5"/>
                <w:szCs w:val="21"/>
              </w:rPr>
              <w:t>急性毒性</w:t>
            </w:r>
            <w:r>
              <w:rPr>
                <w:rFonts w:eastAsia="Times New Roman"/>
                <w:spacing w:val="-5"/>
                <w:szCs w:val="21"/>
              </w:rPr>
              <w:t>-</w:t>
            </w:r>
            <w:r>
              <w:rPr>
                <w:spacing w:val="-5"/>
                <w:szCs w:val="21"/>
              </w:rPr>
              <w:t>经皮</w:t>
            </w:r>
            <w:r>
              <w:rPr>
                <w:rFonts w:eastAsia="Times New Roman"/>
                <w:spacing w:val="-5"/>
                <w:szCs w:val="21"/>
              </w:rPr>
              <w:t>,</w:t>
            </w:r>
            <w:r>
              <w:rPr>
                <w:spacing w:val="-5"/>
                <w:szCs w:val="21"/>
              </w:rPr>
              <w:t xml:space="preserve">类别 </w:t>
            </w:r>
            <w:r>
              <w:rPr>
                <w:rFonts w:eastAsia="Times New Roman"/>
                <w:spacing w:val="-5"/>
                <w:szCs w:val="21"/>
              </w:rPr>
              <w:t>3</w:t>
            </w:r>
            <w:r>
              <w:rPr>
                <w:rFonts w:eastAsia="Times New Roman"/>
                <w:spacing w:val="-4"/>
                <w:szCs w:val="21"/>
              </w:rPr>
              <w:t>*</w:t>
            </w:r>
          </w:p>
          <w:p w14:paraId="7B612746">
            <w:pPr>
              <w:spacing w:before="32" w:line="239" w:lineRule="auto"/>
              <w:ind w:right="690"/>
              <w:rPr>
                <w:rFonts w:eastAsia="Times New Roman"/>
                <w:szCs w:val="21"/>
              </w:rPr>
            </w:pPr>
            <w:r>
              <w:rPr>
                <w:spacing w:val="-5"/>
                <w:szCs w:val="21"/>
              </w:rPr>
              <w:t>急性毒性</w:t>
            </w:r>
            <w:r>
              <w:rPr>
                <w:rFonts w:eastAsia="Times New Roman"/>
                <w:spacing w:val="-5"/>
                <w:szCs w:val="21"/>
              </w:rPr>
              <w:t>-</w:t>
            </w:r>
            <w:r>
              <w:rPr>
                <w:spacing w:val="-5"/>
                <w:szCs w:val="21"/>
              </w:rPr>
              <w:t>吸入</w:t>
            </w:r>
            <w:r>
              <w:rPr>
                <w:rFonts w:eastAsia="Times New Roman"/>
                <w:spacing w:val="-5"/>
                <w:szCs w:val="21"/>
              </w:rPr>
              <w:t>,</w:t>
            </w:r>
            <w:r>
              <w:rPr>
                <w:spacing w:val="-5"/>
                <w:szCs w:val="21"/>
              </w:rPr>
              <w:t xml:space="preserve">类别 </w:t>
            </w:r>
            <w:r>
              <w:rPr>
                <w:rFonts w:eastAsia="Times New Roman"/>
                <w:spacing w:val="-5"/>
                <w:szCs w:val="21"/>
              </w:rPr>
              <w:t>3</w:t>
            </w:r>
            <w:r>
              <w:rPr>
                <w:rFonts w:eastAsia="Times New Roman"/>
                <w:spacing w:val="-4"/>
                <w:szCs w:val="21"/>
              </w:rPr>
              <w:t>*</w:t>
            </w:r>
          </w:p>
          <w:p w14:paraId="4199D3F1">
            <w:pPr>
              <w:spacing w:line="213" w:lineRule="auto"/>
              <w:rPr>
                <w:rFonts w:eastAsia="Times New Roman"/>
                <w:szCs w:val="21"/>
              </w:rPr>
            </w:pPr>
            <w:r>
              <w:rPr>
                <w:spacing w:val="-2"/>
                <w:szCs w:val="21"/>
              </w:rPr>
              <w:t>特异性靶器官毒性</w:t>
            </w:r>
            <w:r>
              <w:rPr>
                <w:rFonts w:eastAsia="Times New Roman"/>
                <w:spacing w:val="-2"/>
                <w:szCs w:val="21"/>
              </w:rPr>
              <w:t>-</w:t>
            </w:r>
            <w:r>
              <w:rPr>
                <w:spacing w:val="-2"/>
                <w:szCs w:val="21"/>
              </w:rPr>
              <w:t>一次接触</w:t>
            </w:r>
            <w:r>
              <w:rPr>
                <w:rFonts w:eastAsia="Times New Roman"/>
                <w:spacing w:val="-2"/>
                <w:szCs w:val="21"/>
              </w:rPr>
              <w:t>,</w:t>
            </w:r>
            <w:r>
              <w:rPr>
                <w:spacing w:val="-2"/>
                <w:szCs w:val="21"/>
              </w:rPr>
              <w:t>类别</w:t>
            </w:r>
            <w:r>
              <w:rPr>
                <w:rFonts w:eastAsia="Times New Roman"/>
                <w:szCs w:val="21"/>
              </w:rPr>
              <w:t>1</w:t>
            </w:r>
          </w:p>
        </w:tc>
        <w:tc>
          <w:tcPr>
            <w:tcW w:w="1200" w:type="dxa"/>
          </w:tcPr>
          <w:p w14:paraId="6E92729D">
            <w:pPr>
              <w:spacing w:line="258" w:lineRule="auto"/>
            </w:pPr>
          </w:p>
          <w:p w14:paraId="1EB3448A">
            <w:pPr>
              <w:spacing w:line="259" w:lineRule="auto"/>
            </w:pPr>
          </w:p>
          <w:p w14:paraId="1B055B63">
            <w:pPr>
              <w:spacing w:before="68" w:line="183" w:lineRule="auto"/>
              <w:ind w:left="596"/>
              <w:rPr>
                <w:szCs w:val="21"/>
              </w:rPr>
            </w:pPr>
            <w:r>
              <w:rPr>
                <w:spacing w:val="-2"/>
                <w:szCs w:val="21"/>
              </w:rPr>
              <w:t>0</w:t>
            </w:r>
            <w:r>
              <w:rPr>
                <w:spacing w:val="-1"/>
                <w:szCs w:val="21"/>
              </w:rPr>
              <w:t>.025</w:t>
            </w:r>
          </w:p>
        </w:tc>
        <w:tc>
          <w:tcPr>
            <w:tcW w:w="975" w:type="dxa"/>
          </w:tcPr>
          <w:p w14:paraId="4BDF38C9">
            <w:pPr>
              <w:spacing w:line="241" w:lineRule="auto"/>
            </w:pPr>
          </w:p>
          <w:p w14:paraId="1BABAE3A">
            <w:pPr>
              <w:spacing w:line="241" w:lineRule="auto"/>
            </w:pPr>
          </w:p>
          <w:p w14:paraId="3011E4FD">
            <w:pPr>
              <w:spacing w:before="68" w:line="221" w:lineRule="auto"/>
              <w:ind w:left="354"/>
              <w:rPr>
                <w:szCs w:val="21"/>
              </w:rPr>
            </w:pPr>
            <w:r>
              <w:rPr>
                <w:spacing w:val="-9"/>
                <w:szCs w:val="21"/>
              </w:rPr>
              <w:t>甲</w:t>
            </w:r>
            <w:r>
              <w:rPr>
                <w:spacing w:val="-8"/>
                <w:szCs w:val="21"/>
              </w:rPr>
              <w:t>类</w:t>
            </w:r>
          </w:p>
        </w:tc>
      </w:tr>
      <w:tr w14:paraId="700B7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A9D4805">
            <w:pPr>
              <w:spacing w:line="257" w:lineRule="auto"/>
            </w:pPr>
          </w:p>
          <w:p w14:paraId="03D2F369">
            <w:pPr>
              <w:spacing w:before="60" w:line="187" w:lineRule="auto"/>
              <w:ind w:left="174"/>
              <w:rPr>
                <w:rFonts w:eastAsia="Times New Roman"/>
                <w:szCs w:val="21"/>
              </w:rPr>
            </w:pPr>
            <w:r>
              <w:rPr>
                <w:rFonts w:eastAsia="Times New Roman"/>
                <w:spacing w:val="-2"/>
                <w:szCs w:val="21"/>
              </w:rPr>
              <w:t>33</w:t>
            </w:r>
          </w:p>
        </w:tc>
        <w:tc>
          <w:tcPr>
            <w:tcW w:w="1020" w:type="dxa"/>
          </w:tcPr>
          <w:p w14:paraId="29057297">
            <w:pPr>
              <w:rPr>
                <w:szCs w:val="21"/>
              </w:rPr>
            </w:pPr>
            <w:r>
              <w:rPr>
                <w:spacing w:val="-2"/>
                <w:szCs w:val="21"/>
              </w:rPr>
              <w:t>N,N-二异 丙基乙胺</w:t>
            </w:r>
          </w:p>
        </w:tc>
        <w:tc>
          <w:tcPr>
            <w:tcW w:w="1025" w:type="dxa"/>
          </w:tcPr>
          <w:p w14:paraId="5A20F5A4">
            <w:pPr>
              <w:spacing w:line="269" w:lineRule="auto"/>
            </w:pPr>
          </w:p>
          <w:p w14:paraId="6E58CD99">
            <w:pPr>
              <w:spacing w:before="68" w:line="184" w:lineRule="auto"/>
              <w:ind w:left="319"/>
              <w:rPr>
                <w:szCs w:val="21"/>
              </w:rPr>
            </w:pPr>
            <w:r>
              <w:rPr>
                <w:spacing w:val="-4"/>
                <w:szCs w:val="21"/>
              </w:rPr>
              <w:t>7</w:t>
            </w:r>
            <w:r>
              <w:rPr>
                <w:spacing w:val="-2"/>
                <w:szCs w:val="21"/>
              </w:rPr>
              <w:t>10</w:t>
            </w:r>
          </w:p>
        </w:tc>
        <w:tc>
          <w:tcPr>
            <w:tcW w:w="3687" w:type="dxa"/>
          </w:tcPr>
          <w:p w14:paraId="6F5E16A8">
            <w:pPr>
              <w:spacing w:before="31" w:line="213" w:lineRule="auto"/>
              <w:rPr>
                <w:rFonts w:eastAsia="Times New Roman"/>
                <w:szCs w:val="21"/>
              </w:rPr>
            </w:pPr>
            <w:r>
              <w:rPr>
                <w:spacing w:val="-11"/>
                <w:szCs w:val="21"/>
              </w:rPr>
              <w:t>易</w:t>
            </w:r>
            <w:r>
              <w:rPr>
                <w:spacing w:val="-7"/>
                <w:szCs w:val="21"/>
              </w:rPr>
              <w:t>燃液体</w:t>
            </w:r>
            <w:r>
              <w:rPr>
                <w:rFonts w:eastAsia="Times New Roman"/>
                <w:spacing w:val="-7"/>
                <w:szCs w:val="21"/>
              </w:rPr>
              <w:t>,</w:t>
            </w:r>
            <w:r>
              <w:rPr>
                <w:spacing w:val="-7"/>
                <w:szCs w:val="21"/>
              </w:rPr>
              <w:t xml:space="preserve">类别 </w:t>
            </w:r>
            <w:r>
              <w:rPr>
                <w:rFonts w:eastAsia="Times New Roman"/>
                <w:spacing w:val="-7"/>
                <w:szCs w:val="21"/>
              </w:rPr>
              <w:t>2</w:t>
            </w:r>
          </w:p>
          <w:p w14:paraId="3E7EB32E">
            <w:pPr>
              <w:spacing w:before="30" w:line="223" w:lineRule="auto"/>
              <w:rPr>
                <w:rFonts w:eastAsia="Times New Roman"/>
                <w:szCs w:val="21"/>
              </w:rPr>
            </w:pPr>
            <w:r>
              <w:rPr>
                <w:spacing w:val="-4"/>
                <w:szCs w:val="21"/>
              </w:rPr>
              <w:t>皮</w:t>
            </w:r>
            <w:r>
              <w:rPr>
                <w:spacing w:val="-3"/>
                <w:szCs w:val="21"/>
              </w:rPr>
              <w:t>肤腐蚀</w:t>
            </w:r>
            <w:r>
              <w:rPr>
                <w:rFonts w:eastAsia="Times New Roman"/>
                <w:spacing w:val="-3"/>
                <w:szCs w:val="21"/>
              </w:rPr>
              <w:t>/</w:t>
            </w:r>
            <w:r>
              <w:rPr>
                <w:spacing w:val="-3"/>
                <w:szCs w:val="21"/>
              </w:rPr>
              <w:t>刺激</w:t>
            </w:r>
            <w:r>
              <w:rPr>
                <w:rFonts w:eastAsia="Times New Roman"/>
                <w:spacing w:val="-3"/>
                <w:szCs w:val="21"/>
              </w:rPr>
              <w:t>,</w:t>
            </w:r>
            <w:r>
              <w:rPr>
                <w:spacing w:val="-3"/>
                <w:szCs w:val="21"/>
              </w:rPr>
              <w:t xml:space="preserve">类别 </w:t>
            </w:r>
            <w:r>
              <w:rPr>
                <w:rFonts w:eastAsia="Times New Roman"/>
                <w:spacing w:val="-3"/>
                <w:szCs w:val="21"/>
              </w:rPr>
              <w:t>1</w:t>
            </w:r>
          </w:p>
          <w:p w14:paraId="45BD3653">
            <w:pPr>
              <w:spacing w:before="18" w:line="217" w:lineRule="auto"/>
              <w:rPr>
                <w:rFonts w:eastAsia="Times New Roman"/>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眼刺激</w:t>
            </w:r>
            <w:r>
              <w:rPr>
                <w:rFonts w:eastAsia="Times New Roman"/>
                <w:spacing w:val="-2"/>
                <w:szCs w:val="21"/>
              </w:rPr>
              <w:t>,</w:t>
            </w:r>
            <w:r>
              <w:rPr>
                <w:spacing w:val="-2"/>
                <w:szCs w:val="21"/>
              </w:rPr>
              <w:t xml:space="preserve">类别 </w:t>
            </w:r>
            <w:r>
              <w:rPr>
                <w:rFonts w:eastAsia="Times New Roman"/>
                <w:spacing w:val="-2"/>
                <w:szCs w:val="21"/>
              </w:rPr>
              <w:t>1</w:t>
            </w:r>
          </w:p>
        </w:tc>
        <w:tc>
          <w:tcPr>
            <w:tcW w:w="1200" w:type="dxa"/>
          </w:tcPr>
          <w:p w14:paraId="08291A1C">
            <w:pPr>
              <w:spacing w:line="248" w:lineRule="auto"/>
            </w:pPr>
          </w:p>
          <w:p w14:paraId="3B6DDE4B">
            <w:pPr>
              <w:spacing w:before="68" w:line="183" w:lineRule="auto"/>
              <w:ind w:left="649"/>
              <w:rPr>
                <w:szCs w:val="21"/>
              </w:rPr>
            </w:pPr>
            <w:r>
              <w:rPr>
                <w:spacing w:val="-2"/>
                <w:szCs w:val="21"/>
              </w:rPr>
              <w:t>0.</w:t>
            </w:r>
            <w:r>
              <w:rPr>
                <w:spacing w:val="-1"/>
                <w:szCs w:val="21"/>
              </w:rPr>
              <w:t>01</w:t>
            </w:r>
          </w:p>
        </w:tc>
        <w:tc>
          <w:tcPr>
            <w:tcW w:w="975" w:type="dxa"/>
          </w:tcPr>
          <w:p w14:paraId="6BDAD75D">
            <w:pPr>
              <w:spacing w:before="282" w:line="221" w:lineRule="auto"/>
              <w:ind w:left="354"/>
              <w:rPr>
                <w:szCs w:val="21"/>
              </w:rPr>
            </w:pPr>
            <w:r>
              <w:rPr>
                <w:spacing w:val="-9"/>
                <w:szCs w:val="21"/>
              </w:rPr>
              <w:t>甲</w:t>
            </w:r>
            <w:r>
              <w:rPr>
                <w:spacing w:val="-8"/>
                <w:szCs w:val="21"/>
              </w:rPr>
              <w:t>类</w:t>
            </w:r>
          </w:p>
        </w:tc>
      </w:tr>
      <w:tr w14:paraId="11081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042C079">
            <w:pPr>
              <w:spacing w:line="390" w:lineRule="auto"/>
            </w:pPr>
          </w:p>
          <w:p w14:paraId="0FD2B535">
            <w:pPr>
              <w:spacing w:before="61" w:line="187" w:lineRule="auto"/>
              <w:ind w:left="174"/>
              <w:rPr>
                <w:rFonts w:eastAsia="Times New Roman"/>
                <w:szCs w:val="21"/>
              </w:rPr>
            </w:pPr>
            <w:r>
              <w:rPr>
                <w:rFonts w:eastAsia="Times New Roman"/>
                <w:spacing w:val="-2"/>
                <w:szCs w:val="21"/>
              </w:rPr>
              <w:t>34</w:t>
            </w:r>
          </w:p>
        </w:tc>
        <w:tc>
          <w:tcPr>
            <w:tcW w:w="1020" w:type="dxa"/>
          </w:tcPr>
          <w:p w14:paraId="27BBDDD2">
            <w:pPr>
              <w:rPr>
                <w:szCs w:val="21"/>
              </w:rPr>
            </w:pPr>
            <w:r>
              <w:rPr>
                <w:spacing w:val="-2"/>
                <w:szCs w:val="21"/>
              </w:rPr>
              <w:t>邻</w:t>
            </w:r>
            <w:r>
              <w:rPr>
                <w:spacing w:val="-1"/>
                <w:szCs w:val="21"/>
              </w:rPr>
              <w:t>苯二甲</w:t>
            </w:r>
            <w:r>
              <w:rPr>
                <w:spacing w:val="-2"/>
                <w:szCs w:val="21"/>
              </w:rPr>
              <w:t>酰</w:t>
            </w:r>
            <w:r>
              <w:rPr>
                <w:spacing w:val="-1"/>
                <w:szCs w:val="21"/>
              </w:rPr>
              <w:t>亚胺</w:t>
            </w:r>
          </w:p>
        </w:tc>
        <w:tc>
          <w:tcPr>
            <w:tcW w:w="1025" w:type="dxa"/>
          </w:tcPr>
          <w:p w14:paraId="78C25BE8">
            <w:pPr>
              <w:spacing w:line="403" w:lineRule="auto"/>
            </w:pPr>
          </w:p>
          <w:p w14:paraId="33906D03">
            <w:pPr>
              <w:spacing w:before="68" w:line="184" w:lineRule="auto"/>
              <w:ind w:left="277"/>
              <w:rPr>
                <w:szCs w:val="21"/>
              </w:rPr>
            </w:pPr>
            <w:r>
              <w:rPr>
                <w:spacing w:val="-5"/>
                <w:szCs w:val="21"/>
              </w:rPr>
              <w:t>1</w:t>
            </w:r>
            <w:r>
              <w:rPr>
                <w:spacing w:val="-4"/>
                <w:szCs w:val="21"/>
              </w:rPr>
              <w:t>254</w:t>
            </w:r>
          </w:p>
        </w:tc>
        <w:tc>
          <w:tcPr>
            <w:tcW w:w="3687" w:type="dxa"/>
          </w:tcPr>
          <w:p w14:paraId="28A751B3">
            <w:pPr>
              <w:spacing w:before="30" w:line="223" w:lineRule="auto"/>
              <w:rPr>
                <w:rFonts w:eastAsia="Times New Roman"/>
                <w:szCs w:val="21"/>
              </w:rPr>
            </w:pPr>
            <w:r>
              <w:rPr>
                <w:spacing w:val="-8"/>
                <w:szCs w:val="21"/>
              </w:rPr>
              <w:t>皮肤</w:t>
            </w:r>
            <w:r>
              <w:rPr>
                <w:spacing w:val="-6"/>
                <w:szCs w:val="21"/>
              </w:rPr>
              <w:t>腐</w:t>
            </w:r>
            <w:r>
              <w:rPr>
                <w:spacing w:val="-4"/>
                <w:szCs w:val="21"/>
              </w:rPr>
              <w:t>蚀</w:t>
            </w:r>
            <w:r>
              <w:rPr>
                <w:rFonts w:eastAsia="Times New Roman"/>
                <w:spacing w:val="-4"/>
                <w:szCs w:val="21"/>
              </w:rPr>
              <w:t>/</w:t>
            </w:r>
            <w:r>
              <w:rPr>
                <w:spacing w:val="-4"/>
                <w:szCs w:val="21"/>
              </w:rPr>
              <w:t>刺激</w:t>
            </w:r>
            <w:r>
              <w:rPr>
                <w:rFonts w:eastAsia="Times New Roman"/>
                <w:spacing w:val="-4"/>
                <w:szCs w:val="21"/>
              </w:rPr>
              <w:t>,</w:t>
            </w:r>
            <w:r>
              <w:rPr>
                <w:spacing w:val="-4"/>
                <w:szCs w:val="21"/>
              </w:rPr>
              <w:t xml:space="preserve">类别 </w:t>
            </w:r>
            <w:r>
              <w:rPr>
                <w:rFonts w:eastAsia="Times New Roman"/>
                <w:spacing w:val="-4"/>
                <w:szCs w:val="21"/>
              </w:rPr>
              <w:t>2</w:t>
            </w:r>
          </w:p>
          <w:p w14:paraId="7B827A29">
            <w:pPr>
              <w:spacing w:before="17" w:line="223" w:lineRule="auto"/>
              <w:rPr>
                <w:rFonts w:eastAsia="Times New Roman"/>
                <w:szCs w:val="21"/>
              </w:rPr>
            </w:pPr>
            <w:r>
              <w:rPr>
                <w:spacing w:val="-4"/>
                <w:szCs w:val="21"/>
              </w:rPr>
              <w:t>严重眼损伤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3"/>
                <w:szCs w:val="21"/>
              </w:rPr>
              <w:t>2</w:t>
            </w:r>
          </w:p>
          <w:p w14:paraId="1F740529">
            <w:pPr>
              <w:spacing w:before="20" w:line="213" w:lineRule="auto"/>
              <w:ind w:left="124"/>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w:t>
            </w:r>
            <w:r>
              <w:rPr>
                <w:rFonts w:eastAsia="Times New Roman"/>
                <w:spacing w:val="-2"/>
                <w:szCs w:val="21"/>
              </w:rPr>
              <w:t>,</w:t>
            </w:r>
            <w:r>
              <w:rPr>
                <w:spacing w:val="-2"/>
                <w:szCs w:val="21"/>
              </w:rPr>
              <w:t xml:space="preserve">类别 </w:t>
            </w:r>
            <w:r>
              <w:rPr>
                <w:rFonts w:eastAsia="Times New Roman"/>
                <w:spacing w:val="-2"/>
                <w:szCs w:val="21"/>
              </w:rPr>
              <w:t>3</w:t>
            </w:r>
          </w:p>
          <w:p w14:paraId="62411A76">
            <w:pPr>
              <w:spacing w:before="28" w:line="217" w:lineRule="auto"/>
              <w:rPr>
                <w:szCs w:val="21"/>
              </w:rPr>
            </w:pPr>
            <w:r>
              <w:rPr>
                <w:spacing w:val="12"/>
                <w:szCs w:val="21"/>
              </w:rPr>
              <w:t>(呼吸道刺激)</w:t>
            </w:r>
          </w:p>
        </w:tc>
        <w:tc>
          <w:tcPr>
            <w:tcW w:w="1200" w:type="dxa"/>
          </w:tcPr>
          <w:p w14:paraId="233BF6A5">
            <w:pPr>
              <w:spacing w:line="384" w:lineRule="auto"/>
            </w:pPr>
          </w:p>
          <w:p w14:paraId="6123FC5E">
            <w:pPr>
              <w:spacing w:before="68" w:line="183" w:lineRule="auto"/>
              <w:ind w:left="596"/>
              <w:rPr>
                <w:szCs w:val="21"/>
              </w:rPr>
            </w:pPr>
            <w:r>
              <w:rPr>
                <w:spacing w:val="-2"/>
                <w:szCs w:val="21"/>
              </w:rPr>
              <w:t>0</w:t>
            </w:r>
            <w:r>
              <w:rPr>
                <w:spacing w:val="-1"/>
                <w:szCs w:val="21"/>
              </w:rPr>
              <w:t>.009</w:t>
            </w:r>
          </w:p>
        </w:tc>
        <w:tc>
          <w:tcPr>
            <w:tcW w:w="975" w:type="dxa"/>
          </w:tcPr>
          <w:p w14:paraId="4CD79EE6">
            <w:pPr>
              <w:spacing w:line="348" w:lineRule="auto"/>
            </w:pPr>
          </w:p>
          <w:p w14:paraId="229AB405">
            <w:pPr>
              <w:spacing w:before="69" w:line="221" w:lineRule="auto"/>
              <w:ind w:left="331"/>
              <w:rPr>
                <w:szCs w:val="21"/>
              </w:rPr>
            </w:pPr>
            <w:r>
              <w:rPr>
                <w:spacing w:val="-4"/>
                <w:szCs w:val="21"/>
              </w:rPr>
              <w:t>丙</w:t>
            </w:r>
            <w:r>
              <w:rPr>
                <w:spacing w:val="-2"/>
                <w:szCs w:val="21"/>
              </w:rPr>
              <w:t>类</w:t>
            </w:r>
          </w:p>
        </w:tc>
      </w:tr>
      <w:tr w14:paraId="3EBD0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3305DBB">
            <w:pPr>
              <w:spacing w:line="265" w:lineRule="auto"/>
            </w:pPr>
          </w:p>
          <w:p w14:paraId="450DE154">
            <w:pPr>
              <w:spacing w:line="265" w:lineRule="auto"/>
            </w:pPr>
          </w:p>
          <w:p w14:paraId="47079210">
            <w:pPr>
              <w:spacing w:line="266" w:lineRule="auto"/>
            </w:pPr>
          </w:p>
          <w:p w14:paraId="7582A0D2">
            <w:pPr>
              <w:spacing w:before="61" w:line="187" w:lineRule="auto"/>
              <w:ind w:left="174"/>
              <w:rPr>
                <w:rFonts w:eastAsia="Times New Roman"/>
                <w:szCs w:val="21"/>
              </w:rPr>
            </w:pPr>
            <w:r>
              <w:rPr>
                <w:rFonts w:eastAsia="Times New Roman"/>
                <w:spacing w:val="-2"/>
                <w:szCs w:val="21"/>
              </w:rPr>
              <w:t>35</w:t>
            </w:r>
          </w:p>
        </w:tc>
        <w:tc>
          <w:tcPr>
            <w:tcW w:w="1020" w:type="dxa"/>
          </w:tcPr>
          <w:p w14:paraId="3B5B8810">
            <w:pPr>
              <w:spacing w:line="251" w:lineRule="auto"/>
            </w:pPr>
          </w:p>
          <w:p w14:paraId="12212408">
            <w:pPr>
              <w:spacing w:line="251" w:lineRule="auto"/>
            </w:pPr>
          </w:p>
          <w:p w14:paraId="6E73E6F3">
            <w:pPr>
              <w:spacing w:line="252" w:lineRule="auto"/>
            </w:pPr>
          </w:p>
          <w:p w14:paraId="482DA865">
            <w:pPr>
              <w:spacing w:before="69" w:line="221" w:lineRule="auto"/>
              <w:rPr>
                <w:szCs w:val="21"/>
              </w:rPr>
            </w:pPr>
            <w:r>
              <w:rPr>
                <w:spacing w:val="-3"/>
                <w:szCs w:val="21"/>
              </w:rPr>
              <w:t>二</w:t>
            </w:r>
            <w:r>
              <w:rPr>
                <w:spacing w:val="-2"/>
                <w:szCs w:val="21"/>
              </w:rPr>
              <w:t>氯甲烷</w:t>
            </w:r>
          </w:p>
        </w:tc>
        <w:tc>
          <w:tcPr>
            <w:tcW w:w="1025" w:type="dxa"/>
          </w:tcPr>
          <w:p w14:paraId="1F7A8EEA">
            <w:pPr>
              <w:spacing w:line="269" w:lineRule="auto"/>
            </w:pPr>
          </w:p>
          <w:p w14:paraId="3416D322">
            <w:pPr>
              <w:spacing w:line="270" w:lineRule="auto"/>
            </w:pPr>
          </w:p>
          <w:p w14:paraId="52D088E5">
            <w:pPr>
              <w:spacing w:line="270" w:lineRule="auto"/>
            </w:pPr>
          </w:p>
          <w:p w14:paraId="45895E45">
            <w:pPr>
              <w:spacing w:before="68" w:line="184" w:lineRule="auto"/>
              <w:ind w:left="318"/>
              <w:rPr>
                <w:szCs w:val="21"/>
              </w:rPr>
            </w:pPr>
            <w:r>
              <w:rPr>
                <w:spacing w:val="-4"/>
                <w:szCs w:val="21"/>
              </w:rPr>
              <w:t>5</w:t>
            </w:r>
            <w:r>
              <w:rPr>
                <w:spacing w:val="-2"/>
                <w:szCs w:val="21"/>
              </w:rPr>
              <w:t>41</w:t>
            </w:r>
          </w:p>
        </w:tc>
        <w:tc>
          <w:tcPr>
            <w:tcW w:w="3687" w:type="dxa"/>
          </w:tcPr>
          <w:p w14:paraId="0E712E51">
            <w:pPr>
              <w:spacing w:before="31" w:line="223" w:lineRule="auto"/>
              <w:rPr>
                <w:rFonts w:eastAsia="Times New Roman"/>
                <w:szCs w:val="21"/>
              </w:rPr>
            </w:pPr>
            <w:r>
              <w:rPr>
                <w:spacing w:val="-8"/>
                <w:szCs w:val="21"/>
              </w:rPr>
              <w:t>皮肤</w:t>
            </w:r>
            <w:r>
              <w:rPr>
                <w:spacing w:val="-6"/>
                <w:szCs w:val="21"/>
              </w:rPr>
              <w:t>腐</w:t>
            </w:r>
            <w:r>
              <w:rPr>
                <w:spacing w:val="-4"/>
                <w:szCs w:val="21"/>
              </w:rPr>
              <w:t>蚀</w:t>
            </w:r>
            <w:r>
              <w:rPr>
                <w:rFonts w:eastAsia="Times New Roman"/>
                <w:spacing w:val="-4"/>
                <w:szCs w:val="21"/>
              </w:rPr>
              <w:t>/</w:t>
            </w:r>
            <w:r>
              <w:rPr>
                <w:spacing w:val="-4"/>
                <w:szCs w:val="21"/>
              </w:rPr>
              <w:t>刺激</w:t>
            </w:r>
            <w:r>
              <w:rPr>
                <w:rFonts w:eastAsia="Times New Roman"/>
                <w:spacing w:val="-4"/>
                <w:szCs w:val="21"/>
              </w:rPr>
              <w:t>,</w:t>
            </w:r>
            <w:r>
              <w:rPr>
                <w:spacing w:val="-4"/>
                <w:szCs w:val="21"/>
              </w:rPr>
              <w:t xml:space="preserve">类别 </w:t>
            </w:r>
            <w:r>
              <w:rPr>
                <w:rFonts w:eastAsia="Times New Roman"/>
                <w:spacing w:val="-4"/>
                <w:szCs w:val="21"/>
              </w:rPr>
              <w:t>2</w:t>
            </w:r>
          </w:p>
          <w:p w14:paraId="6850F632">
            <w:pPr>
              <w:spacing w:before="17" w:line="223" w:lineRule="auto"/>
              <w:rPr>
                <w:rFonts w:eastAsia="Times New Roman"/>
                <w:szCs w:val="21"/>
              </w:rPr>
            </w:pPr>
            <w:r>
              <w:rPr>
                <w:spacing w:val="-6"/>
                <w:szCs w:val="21"/>
              </w:rPr>
              <w:t>严重眼损</w:t>
            </w:r>
            <w:r>
              <w:rPr>
                <w:spacing w:val="-3"/>
                <w:szCs w:val="21"/>
              </w:rPr>
              <w:t>伤</w:t>
            </w:r>
            <w:r>
              <w:rPr>
                <w:rFonts w:eastAsia="Times New Roman"/>
                <w:spacing w:val="-3"/>
                <w:szCs w:val="21"/>
              </w:rPr>
              <w:t>/</w:t>
            </w:r>
            <w:r>
              <w:rPr>
                <w:spacing w:val="-3"/>
                <w:szCs w:val="21"/>
              </w:rPr>
              <w:t>眼刺激</w:t>
            </w:r>
            <w:r>
              <w:rPr>
                <w:rFonts w:eastAsia="Times New Roman"/>
                <w:spacing w:val="-3"/>
                <w:szCs w:val="21"/>
              </w:rPr>
              <w:t>,</w:t>
            </w:r>
            <w:r>
              <w:rPr>
                <w:spacing w:val="-3"/>
                <w:szCs w:val="21"/>
              </w:rPr>
              <w:t xml:space="preserve">类别 </w:t>
            </w:r>
            <w:r>
              <w:rPr>
                <w:rFonts w:eastAsia="Times New Roman"/>
                <w:spacing w:val="-3"/>
                <w:szCs w:val="21"/>
              </w:rPr>
              <w:t>2A</w:t>
            </w:r>
          </w:p>
          <w:p w14:paraId="2D4F2FC6">
            <w:pPr>
              <w:spacing w:before="20" w:line="213" w:lineRule="auto"/>
              <w:rPr>
                <w:rFonts w:eastAsia="Times New Roman"/>
                <w:szCs w:val="21"/>
              </w:rPr>
            </w:pPr>
            <w:r>
              <w:rPr>
                <w:spacing w:val="-12"/>
                <w:szCs w:val="21"/>
              </w:rPr>
              <w:t>致</w:t>
            </w:r>
            <w:r>
              <w:rPr>
                <w:spacing w:val="-7"/>
                <w:szCs w:val="21"/>
              </w:rPr>
              <w:t>癌</w:t>
            </w:r>
            <w:r>
              <w:rPr>
                <w:spacing w:val="-6"/>
                <w:szCs w:val="21"/>
              </w:rPr>
              <w:t>性</w:t>
            </w:r>
            <w:r>
              <w:rPr>
                <w:rFonts w:eastAsia="Times New Roman"/>
                <w:spacing w:val="-6"/>
                <w:szCs w:val="21"/>
              </w:rPr>
              <w:t>,</w:t>
            </w:r>
            <w:r>
              <w:rPr>
                <w:spacing w:val="-6"/>
                <w:szCs w:val="21"/>
              </w:rPr>
              <w:t xml:space="preserve">类别 </w:t>
            </w:r>
            <w:r>
              <w:rPr>
                <w:rFonts w:eastAsia="Times New Roman"/>
                <w:spacing w:val="-6"/>
                <w:szCs w:val="21"/>
              </w:rPr>
              <w:t>2</w:t>
            </w:r>
          </w:p>
          <w:p w14:paraId="652A8C4E">
            <w:pPr>
              <w:spacing w:before="28" w:line="213" w:lineRule="auto"/>
              <w:rPr>
                <w:rFonts w:eastAsia="Times New Roman"/>
                <w:szCs w:val="21"/>
              </w:rPr>
            </w:pPr>
            <w:r>
              <w:rPr>
                <w:spacing w:val="-2"/>
                <w:szCs w:val="21"/>
              </w:rPr>
              <w:t>特异性靶器官毒性</w:t>
            </w:r>
            <w:r>
              <w:rPr>
                <w:rFonts w:eastAsia="Times New Roman"/>
                <w:spacing w:val="-2"/>
                <w:szCs w:val="21"/>
              </w:rPr>
              <w:t>-</w:t>
            </w:r>
            <w:r>
              <w:rPr>
                <w:spacing w:val="-2"/>
                <w:szCs w:val="21"/>
              </w:rPr>
              <w:t>一次接触</w:t>
            </w:r>
            <w:r>
              <w:rPr>
                <w:rFonts w:eastAsia="Times New Roman"/>
                <w:spacing w:val="-2"/>
                <w:szCs w:val="21"/>
              </w:rPr>
              <w:t>,</w:t>
            </w:r>
            <w:r>
              <w:rPr>
                <w:spacing w:val="-2"/>
                <w:szCs w:val="21"/>
              </w:rPr>
              <w:t>类别</w:t>
            </w:r>
            <w:r>
              <w:rPr>
                <w:rFonts w:eastAsia="Times New Roman"/>
                <w:szCs w:val="21"/>
              </w:rPr>
              <w:t>1</w:t>
            </w:r>
          </w:p>
          <w:p w14:paraId="430E7759">
            <w:pPr>
              <w:spacing w:before="31" w:line="213" w:lineRule="auto"/>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w:t>
            </w:r>
            <w:r>
              <w:rPr>
                <w:rFonts w:eastAsia="Times New Roman"/>
                <w:spacing w:val="-2"/>
                <w:szCs w:val="21"/>
              </w:rPr>
              <w:t>,</w:t>
            </w:r>
            <w:r>
              <w:rPr>
                <w:spacing w:val="-2"/>
                <w:szCs w:val="21"/>
              </w:rPr>
              <w:t xml:space="preserve">类别 </w:t>
            </w:r>
            <w:r>
              <w:rPr>
                <w:rFonts w:eastAsia="Times New Roman"/>
                <w:spacing w:val="-2"/>
                <w:szCs w:val="21"/>
              </w:rPr>
              <w:t>3</w:t>
            </w:r>
          </w:p>
          <w:p w14:paraId="6C0A5F1F">
            <w:pPr>
              <w:spacing w:before="29" w:line="221" w:lineRule="auto"/>
              <w:rPr>
                <w:szCs w:val="21"/>
              </w:rPr>
            </w:pPr>
            <w:r>
              <w:rPr>
                <w:spacing w:val="19"/>
                <w:szCs w:val="21"/>
              </w:rPr>
              <w:t>(</w:t>
            </w:r>
            <w:r>
              <w:rPr>
                <w:spacing w:val="15"/>
                <w:szCs w:val="21"/>
              </w:rPr>
              <w:t>麻醉效应)</w:t>
            </w:r>
          </w:p>
          <w:p w14:paraId="6C5FB2DA">
            <w:pPr>
              <w:spacing w:before="22" w:line="213" w:lineRule="auto"/>
              <w:ind w:left="124"/>
              <w:rPr>
                <w:rFonts w:eastAsia="Times New Roman"/>
                <w:szCs w:val="21"/>
              </w:rPr>
            </w:pPr>
            <w:r>
              <w:rPr>
                <w:spacing w:val="-2"/>
                <w:szCs w:val="21"/>
              </w:rPr>
              <w:t>特异性靶器官毒性</w:t>
            </w:r>
            <w:r>
              <w:rPr>
                <w:rFonts w:eastAsia="Times New Roman"/>
                <w:spacing w:val="-2"/>
                <w:szCs w:val="21"/>
              </w:rPr>
              <w:t>-</w:t>
            </w:r>
            <w:r>
              <w:rPr>
                <w:spacing w:val="-2"/>
                <w:szCs w:val="21"/>
              </w:rPr>
              <w:t>反复接触</w:t>
            </w:r>
            <w:r>
              <w:rPr>
                <w:rFonts w:eastAsia="Times New Roman"/>
                <w:spacing w:val="-2"/>
                <w:szCs w:val="21"/>
              </w:rPr>
              <w:t>,</w:t>
            </w:r>
            <w:r>
              <w:rPr>
                <w:spacing w:val="-2"/>
                <w:szCs w:val="21"/>
              </w:rPr>
              <w:t>类别</w:t>
            </w:r>
            <w:r>
              <w:rPr>
                <w:rFonts w:eastAsia="Times New Roman"/>
                <w:szCs w:val="21"/>
              </w:rPr>
              <w:t>1</w:t>
            </w:r>
          </w:p>
        </w:tc>
        <w:tc>
          <w:tcPr>
            <w:tcW w:w="1200" w:type="dxa"/>
          </w:tcPr>
          <w:p w14:paraId="0921BDEA">
            <w:pPr>
              <w:spacing w:line="263" w:lineRule="auto"/>
            </w:pPr>
          </w:p>
          <w:p w14:paraId="2C564223">
            <w:pPr>
              <w:spacing w:line="263" w:lineRule="auto"/>
            </w:pPr>
          </w:p>
          <w:p w14:paraId="612B76E3">
            <w:pPr>
              <w:spacing w:line="264" w:lineRule="auto"/>
            </w:pPr>
          </w:p>
          <w:p w14:paraId="4AC3BC3F">
            <w:pPr>
              <w:spacing w:before="68" w:line="183" w:lineRule="auto"/>
              <w:ind w:left="663"/>
              <w:rPr>
                <w:szCs w:val="21"/>
              </w:rPr>
            </w:pPr>
            <w:r>
              <w:rPr>
                <w:spacing w:val="-5"/>
                <w:szCs w:val="21"/>
              </w:rPr>
              <w:t>1</w:t>
            </w:r>
            <w:r>
              <w:rPr>
                <w:spacing w:val="-4"/>
                <w:szCs w:val="21"/>
              </w:rPr>
              <w:t>.72</w:t>
            </w:r>
          </w:p>
        </w:tc>
        <w:tc>
          <w:tcPr>
            <w:tcW w:w="975" w:type="dxa"/>
          </w:tcPr>
          <w:p w14:paraId="522AF184">
            <w:pPr>
              <w:spacing w:line="251" w:lineRule="auto"/>
            </w:pPr>
          </w:p>
          <w:p w14:paraId="7B01C590">
            <w:pPr>
              <w:spacing w:line="251" w:lineRule="auto"/>
            </w:pPr>
          </w:p>
          <w:p w14:paraId="7577F8C2">
            <w:pPr>
              <w:spacing w:line="252" w:lineRule="auto"/>
            </w:pPr>
          </w:p>
          <w:p w14:paraId="12A4E88B">
            <w:pPr>
              <w:spacing w:before="69" w:line="221" w:lineRule="auto"/>
              <w:ind w:left="344"/>
              <w:rPr>
                <w:szCs w:val="21"/>
              </w:rPr>
            </w:pPr>
            <w:r>
              <w:rPr>
                <w:spacing w:val="-7"/>
                <w:szCs w:val="21"/>
              </w:rPr>
              <w:t>乙</w:t>
            </w:r>
            <w:r>
              <w:rPr>
                <w:spacing w:val="-5"/>
                <w:szCs w:val="21"/>
              </w:rPr>
              <w:t>类</w:t>
            </w:r>
          </w:p>
        </w:tc>
      </w:tr>
      <w:tr w14:paraId="7A57B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13D0D0A">
            <w:pPr>
              <w:spacing w:line="394" w:lineRule="auto"/>
            </w:pPr>
          </w:p>
          <w:p w14:paraId="7EF0A29C">
            <w:pPr>
              <w:spacing w:before="61" w:line="187" w:lineRule="auto"/>
              <w:ind w:left="174"/>
              <w:rPr>
                <w:rFonts w:eastAsia="Times New Roman"/>
                <w:szCs w:val="21"/>
              </w:rPr>
            </w:pPr>
            <w:r>
              <w:rPr>
                <w:rFonts w:eastAsia="Times New Roman"/>
                <w:spacing w:val="-2"/>
                <w:szCs w:val="21"/>
              </w:rPr>
              <w:t>36</w:t>
            </w:r>
          </w:p>
        </w:tc>
        <w:tc>
          <w:tcPr>
            <w:tcW w:w="1020" w:type="dxa"/>
          </w:tcPr>
          <w:p w14:paraId="6003BF02">
            <w:pPr>
              <w:spacing w:line="350" w:lineRule="auto"/>
            </w:pPr>
          </w:p>
          <w:p w14:paraId="320F5169">
            <w:pPr>
              <w:spacing w:before="68" w:line="221" w:lineRule="auto"/>
              <w:rPr>
                <w:szCs w:val="21"/>
              </w:rPr>
            </w:pPr>
            <w:r>
              <w:rPr>
                <w:spacing w:val="-3"/>
                <w:szCs w:val="21"/>
              </w:rPr>
              <w:t>氯</w:t>
            </w:r>
            <w:r>
              <w:rPr>
                <w:spacing w:val="-2"/>
                <w:szCs w:val="21"/>
              </w:rPr>
              <w:t>化亚砜</w:t>
            </w:r>
          </w:p>
        </w:tc>
        <w:tc>
          <w:tcPr>
            <w:tcW w:w="1025" w:type="dxa"/>
          </w:tcPr>
          <w:p w14:paraId="01764BA5">
            <w:pPr>
              <w:spacing w:line="407" w:lineRule="auto"/>
            </w:pPr>
          </w:p>
          <w:p w14:paraId="3CF5FB6E">
            <w:pPr>
              <w:spacing w:before="68" w:line="184" w:lineRule="auto"/>
              <w:ind w:left="277"/>
              <w:rPr>
                <w:szCs w:val="21"/>
              </w:rPr>
            </w:pPr>
            <w:r>
              <w:rPr>
                <w:spacing w:val="-5"/>
                <w:szCs w:val="21"/>
              </w:rPr>
              <w:t>1</w:t>
            </w:r>
            <w:r>
              <w:rPr>
                <w:spacing w:val="-4"/>
                <w:szCs w:val="21"/>
              </w:rPr>
              <w:t>493</w:t>
            </w:r>
          </w:p>
        </w:tc>
        <w:tc>
          <w:tcPr>
            <w:tcW w:w="3687" w:type="dxa"/>
          </w:tcPr>
          <w:p w14:paraId="31A62FDC">
            <w:pPr>
              <w:spacing w:before="33" w:line="239" w:lineRule="auto"/>
              <w:ind w:left="502" w:right="493" w:firstLine="158"/>
              <w:rPr>
                <w:szCs w:val="21"/>
              </w:rPr>
            </w:pPr>
            <w:r>
              <w:rPr>
                <w:spacing w:val="-8"/>
                <w:szCs w:val="21"/>
              </w:rPr>
              <w:t>皮肤</w:t>
            </w:r>
            <w:r>
              <w:rPr>
                <w:spacing w:val="-6"/>
                <w:szCs w:val="21"/>
              </w:rPr>
              <w:t>腐</w:t>
            </w:r>
            <w:r>
              <w:rPr>
                <w:spacing w:val="-4"/>
                <w:szCs w:val="21"/>
              </w:rPr>
              <w:t>蚀/刺激,类别 1A</w:t>
            </w:r>
            <w:r>
              <w:rPr>
                <w:spacing w:val="-8"/>
                <w:szCs w:val="21"/>
              </w:rPr>
              <w:t>严</w:t>
            </w:r>
            <w:r>
              <w:rPr>
                <w:spacing w:val="-6"/>
                <w:szCs w:val="21"/>
              </w:rPr>
              <w:t>重</w:t>
            </w:r>
            <w:r>
              <w:rPr>
                <w:spacing w:val="-4"/>
                <w:szCs w:val="21"/>
              </w:rPr>
              <w:t>眼损伤/眼刺激,类别 1</w:t>
            </w:r>
          </w:p>
          <w:p w14:paraId="7979B6D6">
            <w:pPr>
              <w:spacing w:before="2" w:line="226" w:lineRule="auto"/>
              <w:ind w:left="951" w:right="150" w:hanging="791"/>
              <w:rPr>
                <w:szCs w:val="21"/>
              </w:rPr>
            </w:pPr>
            <w:r>
              <w:rPr>
                <w:spacing w:val="-1"/>
                <w:szCs w:val="21"/>
              </w:rPr>
              <w:t>特异性靶器官毒</w:t>
            </w:r>
            <w:r>
              <w:rPr>
                <w:szCs w:val="21"/>
              </w:rPr>
              <w:t xml:space="preserve">性-一次接触,类别 </w:t>
            </w:r>
            <w:r>
              <w:rPr>
                <w:spacing w:val="-2"/>
                <w:szCs w:val="21"/>
              </w:rPr>
              <w:t>3</w:t>
            </w:r>
            <w:r>
              <w:rPr>
                <w:spacing w:val="-1"/>
                <w:szCs w:val="21"/>
              </w:rPr>
              <w:t xml:space="preserve"> (呼吸道刺激)</w:t>
            </w:r>
          </w:p>
        </w:tc>
        <w:tc>
          <w:tcPr>
            <w:tcW w:w="1200" w:type="dxa"/>
          </w:tcPr>
          <w:p w14:paraId="73C42493">
            <w:pPr>
              <w:spacing w:line="386" w:lineRule="auto"/>
            </w:pPr>
          </w:p>
          <w:p w14:paraId="54B9D01B">
            <w:pPr>
              <w:spacing w:before="68" w:line="183" w:lineRule="auto"/>
              <w:ind w:left="490"/>
              <w:rPr>
                <w:szCs w:val="21"/>
              </w:rPr>
            </w:pPr>
            <w:r>
              <w:rPr>
                <w:spacing w:val="-1"/>
                <w:szCs w:val="21"/>
              </w:rPr>
              <w:t>0.00095</w:t>
            </w:r>
          </w:p>
        </w:tc>
        <w:tc>
          <w:tcPr>
            <w:tcW w:w="975" w:type="dxa"/>
          </w:tcPr>
          <w:p w14:paraId="056DE12D">
            <w:pPr>
              <w:spacing w:line="350" w:lineRule="auto"/>
            </w:pPr>
          </w:p>
          <w:p w14:paraId="5F5D6B73">
            <w:pPr>
              <w:spacing w:before="68" w:line="221" w:lineRule="auto"/>
              <w:ind w:left="328"/>
              <w:rPr>
                <w:szCs w:val="21"/>
              </w:rPr>
            </w:pPr>
            <w:r>
              <w:rPr>
                <w:spacing w:val="-2"/>
                <w:szCs w:val="21"/>
              </w:rPr>
              <w:t>戊类</w:t>
            </w:r>
          </w:p>
        </w:tc>
      </w:tr>
      <w:tr w14:paraId="06815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5ADCDF0">
            <w:pPr>
              <w:spacing w:line="267" w:lineRule="auto"/>
            </w:pPr>
          </w:p>
          <w:p w14:paraId="4FC285BD">
            <w:pPr>
              <w:spacing w:line="267" w:lineRule="auto"/>
            </w:pPr>
          </w:p>
          <w:p w14:paraId="232BE7FB">
            <w:pPr>
              <w:spacing w:line="267" w:lineRule="auto"/>
            </w:pPr>
          </w:p>
          <w:p w14:paraId="4C91019C">
            <w:pPr>
              <w:spacing w:before="60" w:line="187" w:lineRule="auto"/>
              <w:ind w:left="174"/>
              <w:rPr>
                <w:rFonts w:eastAsia="Times New Roman"/>
                <w:szCs w:val="21"/>
              </w:rPr>
            </w:pPr>
            <w:r>
              <w:rPr>
                <w:rFonts w:eastAsia="Times New Roman"/>
                <w:spacing w:val="-2"/>
                <w:szCs w:val="21"/>
              </w:rPr>
              <w:t>37</w:t>
            </w:r>
          </w:p>
        </w:tc>
        <w:tc>
          <w:tcPr>
            <w:tcW w:w="1020" w:type="dxa"/>
          </w:tcPr>
          <w:p w14:paraId="2E32CE3E"/>
          <w:p w14:paraId="3CE0EA94"/>
          <w:p w14:paraId="47FEB4EC"/>
          <w:p w14:paraId="24F5FD80">
            <w:pPr>
              <w:rPr>
                <w:szCs w:val="21"/>
              </w:rPr>
            </w:pPr>
            <w:r>
              <w:rPr>
                <w:spacing w:val="-2"/>
                <w:szCs w:val="21"/>
              </w:rPr>
              <w:t>正庚烷</w:t>
            </w:r>
          </w:p>
        </w:tc>
        <w:tc>
          <w:tcPr>
            <w:tcW w:w="1025" w:type="dxa"/>
          </w:tcPr>
          <w:p w14:paraId="006E6F13">
            <w:pPr>
              <w:spacing w:line="271" w:lineRule="auto"/>
            </w:pPr>
          </w:p>
          <w:p w14:paraId="664A1452">
            <w:pPr>
              <w:spacing w:line="271" w:lineRule="auto"/>
            </w:pPr>
          </w:p>
          <w:p w14:paraId="1614D166">
            <w:pPr>
              <w:spacing w:line="272" w:lineRule="auto"/>
            </w:pPr>
          </w:p>
          <w:p w14:paraId="639219D6">
            <w:pPr>
              <w:spacing w:before="68" w:line="183" w:lineRule="auto"/>
              <w:ind w:left="264"/>
              <w:rPr>
                <w:szCs w:val="21"/>
              </w:rPr>
            </w:pPr>
            <w:r>
              <w:rPr>
                <w:spacing w:val="-2"/>
                <w:szCs w:val="21"/>
              </w:rPr>
              <w:t>278</w:t>
            </w:r>
            <w:r>
              <w:rPr>
                <w:spacing w:val="-1"/>
                <w:szCs w:val="21"/>
              </w:rPr>
              <w:t>2</w:t>
            </w:r>
          </w:p>
        </w:tc>
        <w:tc>
          <w:tcPr>
            <w:tcW w:w="3687" w:type="dxa"/>
          </w:tcPr>
          <w:p w14:paraId="6B4572AE">
            <w:pPr>
              <w:spacing w:before="35" w:line="238" w:lineRule="auto"/>
              <w:rPr>
                <w:szCs w:val="21"/>
              </w:rPr>
            </w:pPr>
            <w:r>
              <w:rPr>
                <w:spacing w:val="-7"/>
                <w:szCs w:val="21"/>
              </w:rPr>
              <w:t>易燃液体,类别 2</w:t>
            </w:r>
          </w:p>
          <w:p w14:paraId="5A617619">
            <w:pPr>
              <w:spacing w:line="217" w:lineRule="auto"/>
              <w:rPr>
                <w:szCs w:val="21"/>
              </w:rPr>
            </w:pPr>
            <w:r>
              <w:rPr>
                <w:spacing w:val="-8"/>
                <w:szCs w:val="21"/>
              </w:rPr>
              <w:t>皮</w:t>
            </w:r>
            <w:r>
              <w:rPr>
                <w:spacing w:val="-4"/>
                <w:szCs w:val="21"/>
              </w:rPr>
              <w:t>肤腐蚀/刺激,类别2</w:t>
            </w:r>
          </w:p>
          <w:p w14:paraId="1B044D4B">
            <w:pPr>
              <w:spacing w:before="25" w:line="239" w:lineRule="auto"/>
              <w:ind w:right="150"/>
              <w:rPr>
                <w:spacing w:val="-4"/>
                <w:szCs w:val="21"/>
              </w:rPr>
            </w:pPr>
            <w:r>
              <w:rPr>
                <w:spacing w:val="-1"/>
                <w:szCs w:val="21"/>
              </w:rPr>
              <w:t>特异性靶器官毒</w:t>
            </w:r>
            <w:r>
              <w:rPr>
                <w:szCs w:val="21"/>
              </w:rPr>
              <w:t>性-一次接触,类别</w:t>
            </w:r>
            <w:r>
              <w:rPr>
                <w:spacing w:val="-4"/>
                <w:szCs w:val="21"/>
              </w:rPr>
              <w:t xml:space="preserve">3 </w:t>
            </w:r>
          </w:p>
          <w:p w14:paraId="29684601">
            <w:pPr>
              <w:spacing w:before="25" w:line="239" w:lineRule="auto"/>
              <w:ind w:left="1054" w:right="150" w:hanging="894"/>
              <w:rPr>
                <w:szCs w:val="21"/>
              </w:rPr>
            </w:pPr>
            <w:r>
              <w:rPr>
                <w:spacing w:val="-2"/>
                <w:szCs w:val="21"/>
              </w:rPr>
              <w:t>(麻醉效应)</w:t>
            </w:r>
          </w:p>
          <w:p w14:paraId="77E25571">
            <w:pPr>
              <w:spacing w:line="221" w:lineRule="auto"/>
              <w:rPr>
                <w:szCs w:val="21"/>
              </w:rPr>
            </w:pPr>
            <w:r>
              <w:rPr>
                <w:spacing w:val="-5"/>
                <w:szCs w:val="21"/>
              </w:rPr>
              <w:t xml:space="preserve">吸入危害,类别 </w:t>
            </w:r>
            <w:r>
              <w:rPr>
                <w:spacing w:val="-4"/>
                <w:szCs w:val="21"/>
              </w:rPr>
              <w:t>1</w:t>
            </w:r>
          </w:p>
          <w:p w14:paraId="47C28D41">
            <w:pPr>
              <w:spacing w:before="21" w:line="221" w:lineRule="auto"/>
              <w:rPr>
                <w:szCs w:val="21"/>
              </w:rPr>
            </w:pPr>
            <w:r>
              <w:rPr>
                <w:spacing w:val="-4"/>
                <w:szCs w:val="21"/>
              </w:rPr>
              <w:t>危害</w:t>
            </w:r>
            <w:r>
              <w:rPr>
                <w:spacing w:val="-2"/>
                <w:szCs w:val="21"/>
              </w:rPr>
              <w:t>水生环境-急性危害,类别1</w:t>
            </w:r>
          </w:p>
          <w:p w14:paraId="3464C75A">
            <w:pPr>
              <w:spacing w:before="20" w:line="215" w:lineRule="auto"/>
              <w:rPr>
                <w:szCs w:val="21"/>
              </w:rPr>
            </w:pPr>
            <w:r>
              <w:rPr>
                <w:spacing w:val="-4"/>
                <w:szCs w:val="21"/>
              </w:rPr>
              <w:t>危害</w:t>
            </w:r>
            <w:r>
              <w:rPr>
                <w:spacing w:val="-2"/>
                <w:szCs w:val="21"/>
              </w:rPr>
              <w:t>水生环境-长期危害,类别1</w:t>
            </w:r>
          </w:p>
        </w:tc>
        <w:tc>
          <w:tcPr>
            <w:tcW w:w="1200" w:type="dxa"/>
          </w:tcPr>
          <w:p w14:paraId="47E8CE2A">
            <w:pPr>
              <w:spacing w:line="264" w:lineRule="auto"/>
            </w:pPr>
          </w:p>
          <w:p w14:paraId="5F36B897">
            <w:pPr>
              <w:spacing w:line="264" w:lineRule="auto"/>
            </w:pPr>
          </w:p>
          <w:p w14:paraId="2F9FB824">
            <w:pPr>
              <w:spacing w:line="264" w:lineRule="auto"/>
            </w:pPr>
          </w:p>
          <w:p w14:paraId="6A56B44B">
            <w:pPr>
              <w:spacing w:before="68" w:line="183" w:lineRule="auto"/>
              <w:ind w:left="596"/>
              <w:rPr>
                <w:szCs w:val="21"/>
              </w:rPr>
            </w:pPr>
            <w:r>
              <w:rPr>
                <w:spacing w:val="-2"/>
                <w:szCs w:val="21"/>
              </w:rPr>
              <w:t>0</w:t>
            </w:r>
            <w:r>
              <w:rPr>
                <w:spacing w:val="-1"/>
                <w:szCs w:val="21"/>
              </w:rPr>
              <w:t>.034</w:t>
            </w:r>
          </w:p>
        </w:tc>
        <w:tc>
          <w:tcPr>
            <w:tcW w:w="975" w:type="dxa"/>
          </w:tcPr>
          <w:p w14:paraId="3571CA32">
            <w:pPr>
              <w:spacing w:line="252" w:lineRule="auto"/>
            </w:pPr>
          </w:p>
          <w:p w14:paraId="36DE8079">
            <w:pPr>
              <w:spacing w:line="252" w:lineRule="auto"/>
            </w:pPr>
          </w:p>
          <w:p w14:paraId="2AF682B4">
            <w:pPr>
              <w:spacing w:line="252" w:lineRule="auto"/>
            </w:pPr>
          </w:p>
          <w:p w14:paraId="203C42A1">
            <w:pPr>
              <w:spacing w:before="69" w:line="221" w:lineRule="auto"/>
              <w:ind w:left="354"/>
              <w:rPr>
                <w:szCs w:val="21"/>
              </w:rPr>
            </w:pPr>
            <w:r>
              <w:rPr>
                <w:spacing w:val="-9"/>
                <w:szCs w:val="21"/>
              </w:rPr>
              <w:t>甲</w:t>
            </w:r>
            <w:r>
              <w:rPr>
                <w:spacing w:val="-8"/>
                <w:szCs w:val="21"/>
              </w:rPr>
              <w:t>类</w:t>
            </w:r>
          </w:p>
        </w:tc>
      </w:tr>
      <w:tr w14:paraId="2156C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3AB10E0">
            <w:pPr>
              <w:spacing w:line="257" w:lineRule="auto"/>
            </w:pPr>
          </w:p>
          <w:p w14:paraId="4D00407F">
            <w:pPr>
              <w:spacing w:before="61" w:line="187" w:lineRule="auto"/>
              <w:ind w:left="174"/>
              <w:rPr>
                <w:rFonts w:eastAsia="Times New Roman"/>
                <w:szCs w:val="21"/>
              </w:rPr>
            </w:pPr>
            <w:r>
              <w:rPr>
                <w:rFonts w:eastAsia="Times New Roman"/>
                <w:spacing w:val="-2"/>
                <w:szCs w:val="21"/>
              </w:rPr>
              <w:t>38</w:t>
            </w:r>
          </w:p>
        </w:tc>
        <w:tc>
          <w:tcPr>
            <w:tcW w:w="1020" w:type="dxa"/>
          </w:tcPr>
          <w:p w14:paraId="05B8A652">
            <w:pPr>
              <w:rPr>
                <w:szCs w:val="21"/>
              </w:rPr>
            </w:pPr>
            <w:r>
              <w:rPr>
                <w:spacing w:val="-2"/>
                <w:szCs w:val="21"/>
              </w:rPr>
              <w:t>异丙</w:t>
            </w:r>
            <w:r>
              <w:rPr>
                <w:spacing w:val="-1"/>
                <w:szCs w:val="21"/>
              </w:rPr>
              <w:t>醇</w:t>
            </w:r>
          </w:p>
        </w:tc>
        <w:tc>
          <w:tcPr>
            <w:tcW w:w="1025" w:type="dxa"/>
          </w:tcPr>
          <w:p w14:paraId="1F0E1136">
            <w:pPr>
              <w:spacing w:line="269" w:lineRule="auto"/>
            </w:pPr>
          </w:p>
          <w:p w14:paraId="75C41C46">
            <w:pPr>
              <w:spacing w:before="68" w:line="186" w:lineRule="auto"/>
              <w:ind w:left="330"/>
              <w:rPr>
                <w:szCs w:val="21"/>
              </w:rPr>
            </w:pPr>
            <w:r>
              <w:rPr>
                <w:spacing w:val="-5"/>
                <w:szCs w:val="21"/>
              </w:rPr>
              <w:t>111</w:t>
            </w:r>
          </w:p>
        </w:tc>
        <w:tc>
          <w:tcPr>
            <w:tcW w:w="3687" w:type="dxa"/>
          </w:tcPr>
          <w:p w14:paraId="0C75CBA5">
            <w:pPr>
              <w:spacing w:before="34" w:line="219" w:lineRule="auto"/>
              <w:rPr>
                <w:szCs w:val="21"/>
              </w:rPr>
            </w:pPr>
            <w:r>
              <w:rPr>
                <w:spacing w:val="-7"/>
                <w:szCs w:val="21"/>
              </w:rPr>
              <w:t>易燃液体,类别 2</w:t>
            </w:r>
          </w:p>
          <w:p w14:paraId="4D10CF07">
            <w:pPr>
              <w:spacing w:before="21" w:line="218" w:lineRule="auto"/>
              <w:rPr>
                <w:szCs w:val="21"/>
              </w:rPr>
            </w:pPr>
            <w:r>
              <w:rPr>
                <w:spacing w:val="-6"/>
                <w:szCs w:val="21"/>
              </w:rPr>
              <w:t>严重眼</w:t>
            </w:r>
            <w:r>
              <w:rPr>
                <w:spacing w:val="-4"/>
                <w:szCs w:val="21"/>
              </w:rPr>
              <w:t>损</w:t>
            </w:r>
            <w:r>
              <w:rPr>
                <w:spacing w:val="-3"/>
                <w:szCs w:val="21"/>
              </w:rPr>
              <w:t>伤/眼刺激,类别 2</w:t>
            </w:r>
          </w:p>
          <w:p w14:paraId="20F25BC6">
            <w:pPr>
              <w:spacing w:before="26" w:line="218" w:lineRule="auto"/>
              <w:ind w:left="160"/>
              <w:rPr>
                <w:szCs w:val="21"/>
              </w:rPr>
            </w:pPr>
            <w:r>
              <w:rPr>
                <w:spacing w:val="-1"/>
                <w:szCs w:val="21"/>
              </w:rPr>
              <w:t>特异性靶器官毒</w:t>
            </w:r>
            <w:r>
              <w:rPr>
                <w:szCs w:val="21"/>
              </w:rPr>
              <w:t>性-一次接触,类别</w:t>
            </w:r>
            <w:r>
              <w:rPr>
                <w:spacing w:val="-4"/>
                <w:szCs w:val="21"/>
              </w:rPr>
              <w:t xml:space="preserve">3 </w:t>
            </w:r>
            <w:r>
              <w:rPr>
                <w:spacing w:val="-2"/>
                <w:szCs w:val="21"/>
              </w:rPr>
              <w:t>(麻醉效应)</w:t>
            </w:r>
          </w:p>
        </w:tc>
        <w:tc>
          <w:tcPr>
            <w:tcW w:w="1200" w:type="dxa"/>
          </w:tcPr>
          <w:p w14:paraId="7D506345">
            <w:pPr>
              <w:spacing w:line="251" w:lineRule="auto"/>
            </w:pPr>
          </w:p>
          <w:p w14:paraId="3034CD74">
            <w:pPr>
              <w:spacing w:before="68" w:line="183" w:lineRule="auto"/>
              <w:ind w:left="596"/>
              <w:rPr>
                <w:szCs w:val="21"/>
              </w:rPr>
            </w:pPr>
            <w:r>
              <w:rPr>
                <w:spacing w:val="-2"/>
                <w:szCs w:val="21"/>
              </w:rPr>
              <w:t>0</w:t>
            </w:r>
            <w:r>
              <w:rPr>
                <w:spacing w:val="-1"/>
                <w:szCs w:val="21"/>
              </w:rPr>
              <w:t>.441</w:t>
            </w:r>
          </w:p>
        </w:tc>
        <w:tc>
          <w:tcPr>
            <w:tcW w:w="975" w:type="dxa"/>
          </w:tcPr>
          <w:p w14:paraId="34EBC66A">
            <w:pPr>
              <w:spacing w:before="285" w:line="221" w:lineRule="auto"/>
              <w:ind w:left="354"/>
              <w:rPr>
                <w:szCs w:val="21"/>
              </w:rPr>
            </w:pPr>
            <w:r>
              <w:rPr>
                <w:spacing w:val="-9"/>
                <w:szCs w:val="21"/>
              </w:rPr>
              <w:t>甲</w:t>
            </w:r>
            <w:r>
              <w:rPr>
                <w:spacing w:val="-8"/>
                <w:szCs w:val="21"/>
              </w:rPr>
              <w:t>类</w:t>
            </w:r>
          </w:p>
        </w:tc>
      </w:tr>
      <w:tr w14:paraId="32E97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0FBAB92">
            <w:pPr>
              <w:spacing w:before="181" w:line="187" w:lineRule="auto"/>
              <w:ind w:left="174"/>
              <w:rPr>
                <w:rFonts w:eastAsia="Times New Roman"/>
                <w:szCs w:val="21"/>
              </w:rPr>
            </w:pPr>
            <w:r>
              <w:rPr>
                <w:rFonts w:eastAsia="Times New Roman"/>
                <w:spacing w:val="-2"/>
                <w:szCs w:val="21"/>
              </w:rPr>
              <w:t>39</w:t>
            </w:r>
          </w:p>
        </w:tc>
        <w:tc>
          <w:tcPr>
            <w:tcW w:w="1020" w:type="dxa"/>
          </w:tcPr>
          <w:p w14:paraId="7A25CCD5">
            <w:pPr>
              <w:rPr>
                <w:szCs w:val="21"/>
              </w:rPr>
            </w:pPr>
            <w:r>
              <w:rPr>
                <w:spacing w:val="-2"/>
                <w:szCs w:val="21"/>
              </w:rPr>
              <w:t>氢</w:t>
            </w:r>
            <w:r>
              <w:rPr>
                <w:spacing w:val="-1"/>
                <w:szCs w:val="21"/>
              </w:rPr>
              <w:t>气</w:t>
            </w:r>
          </w:p>
        </w:tc>
        <w:tc>
          <w:tcPr>
            <w:tcW w:w="1025" w:type="dxa"/>
          </w:tcPr>
          <w:p w14:paraId="25D5F812">
            <w:pPr>
              <w:spacing w:before="181" w:line="187" w:lineRule="auto"/>
              <w:ind w:left="278"/>
              <w:rPr>
                <w:rFonts w:eastAsia="Times New Roman"/>
                <w:szCs w:val="21"/>
              </w:rPr>
            </w:pPr>
            <w:r>
              <w:rPr>
                <w:rFonts w:eastAsia="Times New Roman"/>
                <w:spacing w:val="-5"/>
                <w:szCs w:val="21"/>
              </w:rPr>
              <w:t>1</w:t>
            </w:r>
            <w:r>
              <w:rPr>
                <w:rFonts w:eastAsia="Times New Roman"/>
                <w:spacing w:val="-4"/>
                <w:szCs w:val="21"/>
              </w:rPr>
              <w:t>648</w:t>
            </w:r>
          </w:p>
        </w:tc>
        <w:tc>
          <w:tcPr>
            <w:tcW w:w="3687" w:type="dxa"/>
          </w:tcPr>
          <w:p w14:paraId="690346B8">
            <w:pPr>
              <w:spacing w:before="29" w:line="241" w:lineRule="auto"/>
              <w:rPr>
                <w:rFonts w:eastAsia="Times New Roman"/>
                <w:szCs w:val="21"/>
              </w:rPr>
            </w:pPr>
            <w:r>
              <w:rPr>
                <w:spacing w:val="-7"/>
                <w:szCs w:val="21"/>
              </w:rPr>
              <w:t>易</w:t>
            </w:r>
            <w:r>
              <w:rPr>
                <w:spacing w:val="-5"/>
                <w:szCs w:val="21"/>
              </w:rPr>
              <w:t>燃气体</w:t>
            </w:r>
            <w:r>
              <w:rPr>
                <w:rFonts w:eastAsia="Times New Roman"/>
                <w:spacing w:val="-5"/>
                <w:szCs w:val="21"/>
              </w:rPr>
              <w:t>,</w:t>
            </w:r>
            <w:r>
              <w:rPr>
                <w:spacing w:val="-5"/>
                <w:szCs w:val="21"/>
              </w:rPr>
              <w:t xml:space="preserve">类别 </w:t>
            </w:r>
            <w:r>
              <w:rPr>
                <w:rFonts w:eastAsia="Times New Roman"/>
                <w:spacing w:val="-5"/>
                <w:szCs w:val="21"/>
              </w:rPr>
              <w:t>1</w:t>
            </w:r>
          </w:p>
          <w:p w14:paraId="5696C215">
            <w:pPr>
              <w:spacing w:line="215" w:lineRule="auto"/>
              <w:rPr>
                <w:szCs w:val="21"/>
              </w:rPr>
            </w:pPr>
            <w:r>
              <w:rPr>
                <w:spacing w:val="-2"/>
                <w:szCs w:val="21"/>
              </w:rPr>
              <w:t>加</w:t>
            </w:r>
            <w:r>
              <w:rPr>
                <w:spacing w:val="-1"/>
                <w:szCs w:val="21"/>
              </w:rPr>
              <w:t>压气体</w:t>
            </w:r>
          </w:p>
        </w:tc>
        <w:tc>
          <w:tcPr>
            <w:tcW w:w="1200" w:type="dxa"/>
          </w:tcPr>
          <w:p w14:paraId="774E1D67">
            <w:pPr>
              <w:spacing w:before="181" w:line="187" w:lineRule="auto"/>
              <w:ind w:left="567"/>
              <w:rPr>
                <w:rFonts w:eastAsia="Times New Roman"/>
                <w:szCs w:val="21"/>
              </w:rPr>
            </w:pPr>
            <w:r>
              <w:rPr>
                <w:rFonts w:eastAsia="Times New Roman"/>
                <w:spacing w:val="-1"/>
                <w:szCs w:val="21"/>
              </w:rPr>
              <w:t>0.00</w:t>
            </w:r>
            <w:r>
              <w:rPr>
                <w:rFonts w:eastAsia="Times New Roman"/>
                <w:szCs w:val="21"/>
              </w:rPr>
              <w:t>01</w:t>
            </w:r>
          </w:p>
        </w:tc>
        <w:tc>
          <w:tcPr>
            <w:tcW w:w="975" w:type="dxa"/>
          </w:tcPr>
          <w:p w14:paraId="2B154F06">
            <w:pPr>
              <w:spacing w:before="147" w:line="221" w:lineRule="auto"/>
              <w:ind w:left="354"/>
              <w:rPr>
                <w:szCs w:val="21"/>
              </w:rPr>
            </w:pPr>
            <w:r>
              <w:rPr>
                <w:spacing w:val="-9"/>
                <w:szCs w:val="21"/>
              </w:rPr>
              <w:t>甲</w:t>
            </w:r>
            <w:r>
              <w:rPr>
                <w:spacing w:val="-8"/>
                <w:szCs w:val="21"/>
              </w:rPr>
              <w:t>类</w:t>
            </w:r>
          </w:p>
        </w:tc>
      </w:tr>
      <w:tr w14:paraId="58F1D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9C645D1">
            <w:pPr>
              <w:spacing w:line="392" w:lineRule="auto"/>
            </w:pPr>
          </w:p>
          <w:p w14:paraId="0D888D48">
            <w:pPr>
              <w:spacing w:before="60" w:line="187" w:lineRule="auto"/>
              <w:ind w:left="168"/>
              <w:rPr>
                <w:rFonts w:eastAsia="Times New Roman"/>
                <w:szCs w:val="21"/>
              </w:rPr>
            </w:pPr>
            <w:r>
              <w:rPr>
                <w:rFonts w:eastAsia="Times New Roman"/>
                <w:spacing w:val="-1"/>
                <w:szCs w:val="21"/>
              </w:rPr>
              <w:t>40</w:t>
            </w:r>
          </w:p>
        </w:tc>
        <w:tc>
          <w:tcPr>
            <w:tcW w:w="1020" w:type="dxa"/>
          </w:tcPr>
          <w:p w14:paraId="6FB8728B"/>
          <w:p w14:paraId="1D5416A2">
            <w:pPr>
              <w:rPr>
                <w:szCs w:val="21"/>
              </w:rPr>
            </w:pPr>
            <w:r>
              <w:rPr>
                <w:spacing w:val="-7"/>
                <w:szCs w:val="21"/>
              </w:rPr>
              <w:t>乙</w:t>
            </w:r>
            <w:r>
              <w:rPr>
                <w:spacing w:val="-5"/>
                <w:szCs w:val="21"/>
              </w:rPr>
              <w:t>酸乙酯</w:t>
            </w:r>
          </w:p>
        </w:tc>
        <w:tc>
          <w:tcPr>
            <w:tcW w:w="1025" w:type="dxa"/>
          </w:tcPr>
          <w:p w14:paraId="4D7E4977">
            <w:pPr>
              <w:spacing w:line="392" w:lineRule="auto"/>
            </w:pPr>
          </w:p>
          <w:p w14:paraId="26EB9BB7">
            <w:pPr>
              <w:spacing w:before="60" w:line="187" w:lineRule="auto"/>
              <w:ind w:left="257"/>
              <w:rPr>
                <w:rFonts w:eastAsia="Times New Roman"/>
                <w:szCs w:val="21"/>
              </w:rPr>
            </w:pPr>
            <w:r>
              <w:rPr>
                <w:rFonts w:eastAsia="Times New Roman"/>
                <w:spacing w:val="-1"/>
                <w:szCs w:val="21"/>
              </w:rPr>
              <w:t>26</w:t>
            </w:r>
            <w:r>
              <w:rPr>
                <w:rFonts w:eastAsia="Times New Roman"/>
                <w:szCs w:val="21"/>
              </w:rPr>
              <w:t>51</w:t>
            </w:r>
          </w:p>
        </w:tc>
        <w:tc>
          <w:tcPr>
            <w:tcW w:w="3687" w:type="dxa"/>
          </w:tcPr>
          <w:p w14:paraId="79767E7E">
            <w:pPr>
              <w:spacing w:before="33" w:line="213" w:lineRule="auto"/>
              <w:rPr>
                <w:rFonts w:eastAsia="Times New Roman"/>
                <w:szCs w:val="21"/>
              </w:rPr>
            </w:pPr>
            <w:r>
              <w:rPr>
                <w:spacing w:val="-11"/>
                <w:szCs w:val="21"/>
              </w:rPr>
              <w:t>易</w:t>
            </w:r>
            <w:r>
              <w:rPr>
                <w:spacing w:val="-7"/>
                <w:szCs w:val="21"/>
              </w:rPr>
              <w:t>燃液体</w:t>
            </w:r>
            <w:r>
              <w:rPr>
                <w:rFonts w:eastAsia="Times New Roman"/>
                <w:spacing w:val="-7"/>
                <w:szCs w:val="21"/>
              </w:rPr>
              <w:t>,</w:t>
            </w:r>
            <w:r>
              <w:rPr>
                <w:spacing w:val="-7"/>
                <w:szCs w:val="21"/>
              </w:rPr>
              <w:t xml:space="preserve">类别 </w:t>
            </w:r>
            <w:r>
              <w:rPr>
                <w:rFonts w:eastAsia="Times New Roman"/>
                <w:spacing w:val="-7"/>
                <w:szCs w:val="21"/>
              </w:rPr>
              <w:t>2</w:t>
            </w:r>
          </w:p>
          <w:p w14:paraId="2BDDAC64">
            <w:pPr>
              <w:spacing w:before="28" w:line="223" w:lineRule="auto"/>
              <w:rPr>
                <w:rFonts w:eastAsia="Times New Roman"/>
                <w:szCs w:val="21"/>
              </w:rPr>
            </w:pPr>
            <w:r>
              <w:rPr>
                <w:spacing w:val="-4"/>
                <w:szCs w:val="21"/>
              </w:rPr>
              <w:t>严重眼损伤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3"/>
                <w:szCs w:val="21"/>
              </w:rPr>
              <w:t>2</w:t>
            </w:r>
          </w:p>
          <w:p w14:paraId="3C787BF6">
            <w:pPr>
              <w:spacing w:before="20" w:line="213" w:lineRule="auto"/>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w:t>
            </w:r>
            <w:r>
              <w:rPr>
                <w:rFonts w:eastAsia="Times New Roman"/>
                <w:spacing w:val="-2"/>
                <w:szCs w:val="21"/>
              </w:rPr>
              <w:t>,</w:t>
            </w:r>
            <w:r>
              <w:rPr>
                <w:spacing w:val="-2"/>
                <w:szCs w:val="21"/>
              </w:rPr>
              <w:t>类别</w:t>
            </w:r>
            <w:r>
              <w:rPr>
                <w:rFonts w:eastAsia="Times New Roman"/>
                <w:spacing w:val="-2"/>
                <w:szCs w:val="21"/>
              </w:rPr>
              <w:t>3</w:t>
            </w:r>
          </w:p>
          <w:p w14:paraId="7C902ECD">
            <w:pPr>
              <w:spacing w:before="29" w:line="217" w:lineRule="auto"/>
              <w:rPr>
                <w:szCs w:val="21"/>
              </w:rPr>
            </w:pPr>
            <w:r>
              <w:rPr>
                <w:spacing w:val="19"/>
                <w:szCs w:val="21"/>
              </w:rPr>
              <w:t>(</w:t>
            </w:r>
            <w:r>
              <w:rPr>
                <w:spacing w:val="15"/>
                <w:szCs w:val="21"/>
              </w:rPr>
              <w:t>麻醉效应)</w:t>
            </w:r>
          </w:p>
        </w:tc>
        <w:tc>
          <w:tcPr>
            <w:tcW w:w="1200" w:type="dxa"/>
          </w:tcPr>
          <w:p w14:paraId="610F2E07">
            <w:pPr>
              <w:spacing w:line="392" w:lineRule="auto"/>
            </w:pPr>
          </w:p>
          <w:p w14:paraId="013E1F55">
            <w:pPr>
              <w:spacing w:before="60" w:line="187" w:lineRule="auto"/>
              <w:ind w:left="673"/>
              <w:rPr>
                <w:rFonts w:eastAsia="Times New Roman"/>
                <w:szCs w:val="21"/>
              </w:rPr>
            </w:pPr>
            <w:r>
              <w:rPr>
                <w:rFonts w:eastAsia="Times New Roman"/>
                <w:spacing w:val="-1"/>
                <w:szCs w:val="21"/>
              </w:rPr>
              <w:t>0.17</w:t>
            </w:r>
          </w:p>
        </w:tc>
        <w:tc>
          <w:tcPr>
            <w:tcW w:w="975" w:type="dxa"/>
          </w:tcPr>
          <w:p w14:paraId="11A4F4B1">
            <w:pPr>
              <w:spacing w:line="348" w:lineRule="auto"/>
            </w:pPr>
          </w:p>
          <w:p w14:paraId="3B65CAD4">
            <w:pPr>
              <w:spacing w:before="68" w:line="221" w:lineRule="auto"/>
              <w:ind w:left="354"/>
              <w:rPr>
                <w:szCs w:val="21"/>
              </w:rPr>
            </w:pPr>
            <w:r>
              <w:rPr>
                <w:spacing w:val="-9"/>
                <w:szCs w:val="21"/>
              </w:rPr>
              <w:t>甲</w:t>
            </w:r>
            <w:r>
              <w:rPr>
                <w:spacing w:val="-8"/>
                <w:szCs w:val="21"/>
              </w:rPr>
              <w:t>类</w:t>
            </w:r>
          </w:p>
        </w:tc>
      </w:tr>
      <w:tr w14:paraId="31E36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7F5BF25">
            <w:pPr>
              <w:spacing w:before="168" w:line="187" w:lineRule="auto"/>
              <w:ind w:left="168"/>
              <w:rPr>
                <w:rFonts w:eastAsia="Times New Roman"/>
                <w:szCs w:val="21"/>
              </w:rPr>
            </w:pPr>
            <w:r>
              <w:rPr>
                <w:rFonts w:eastAsia="Times New Roman"/>
                <w:spacing w:val="-1"/>
                <w:szCs w:val="21"/>
              </w:rPr>
              <w:t>41</w:t>
            </w:r>
          </w:p>
        </w:tc>
        <w:tc>
          <w:tcPr>
            <w:tcW w:w="1020" w:type="dxa"/>
          </w:tcPr>
          <w:p w14:paraId="68D0AC87">
            <w:pPr>
              <w:rPr>
                <w:szCs w:val="21"/>
              </w:rPr>
            </w:pPr>
            <w:r>
              <w:rPr>
                <w:spacing w:val="-2"/>
                <w:szCs w:val="21"/>
              </w:rPr>
              <w:t>液氮</w:t>
            </w:r>
          </w:p>
        </w:tc>
        <w:tc>
          <w:tcPr>
            <w:tcW w:w="1025" w:type="dxa"/>
          </w:tcPr>
          <w:p w14:paraId="63D78C1E">
            <w:pPr>
              <w:spacing w:before="167" w:line="187" w:lineRule="auto"/>
              <w:ind w:left="331"/>
              <w:rPr>
                <w:rFonts w:eastAsia="Times New Roman"/>
                <w:szCs w:val="21"/>
              </w:rPr>
            </w:pPr>
            <w:r>
              <w:rPr>
                <w:rFonts w:eastAsia="Times New Roman"/>
                <w:spacing w:val="-6"/>
                <w:szCs w:val="21"/>
              </w:rPr>
              <w:t>1</w:t>
            </w:r>
            <w:r>
              <w:rPr>
                <w:rFonts w:eastAsia="Times New Roman"/>
                <w:spacing w:val="-5"/>
                <w:szCs w:val="21"/>
              </w:rPr>
              <w:t>72</w:t>
            </w:r>
          </w:p>
        </w:tc>
        <w:tc>
          <w:tcPr>
            <w:tcW w:w="3687" w:type="dxa"/>
          </w:tcPr>
          <w:p w14:paraId="13308751">
            <w:pPr>
              <w:spacing w:before="153" w:line="220" w:lineRule="auto"/>
              <w:rPr>
                <w:szCs w:val="21"/>
              </w:rPr>
            </w:pPr>
            <w:r>
              <w:rPr>
                <w:spacing w:val="-2"/>
                <w:szCs w:val="21"/>
              </w:rPr>
              <w:t>加</w:t>
            </w:r>
            <w:r>
              <w:rPr>
                <w:spacing w:val="-1"/>
                <w:szCs w:val="21"/>
              </w:rPr>
              <w:t>压气体</w:t>
            </w:r>
          </w:p>
        </w:tc>
        <w:tc>
          <w:tcPr>
            <w:tcW w:w="1200" w:type="dxa"/>
          </w:tcPr>
          <w:p w14:paraId="34AD4513">
            <w:pPr>
              <w:spacing w:before="167" w:line="187" w:lineRule="auto"/>
              <w:ind w:left="726"/>
              <w:rPr>
                <w:rFonts w:eastAsia="Times New Roman"/>
                <w:szCs w:val="21"/>
              </w:rPr>
            </w:pPr>
            <w:r>
              <w:rPr>
                <w:rFonts w:eastAsia="Times New Roman"/>
                <w:spacing w:val="-2"/>
                <w:szCs w:val="21"/>
              </w:rPr>
              <w:t>0</w:t>
            </w:r>
            <w:r>
              <w:rPr>
                <w:rFonts w:eastAsia="Times New Roman"/>
                <w:spacing w:val="-1"/>
                <w:szCs w:val="21"/>
              </w:rPr>
              <w:t>.3</w:t>
            </w:r>
          </w:p>
        </w:tc>
        <w:tc>
          <w:tcPr>
            <w:tcW w:w="975" w:type="dxa"/>
          </w:tcPr>
          <w:p w14:paraId="541E9AC2">
            <w:pPr>
              <w:spacing w:before="131" w:line="221" w:lineRule="auto"/>
              <w:ind w:left="328"/>
              <w:rPr>
                <w:szCs w:val="21"/>
              </w:rPr>
            </w:pPr>
            <w:r>
              <w:rPr>
                <w:spacing w:val="-2"/>
                <w:szCs w:val="21"/>
              </w:rPr>
              <w:t>戊类</w:t>
            </w:r>
          </w:p>
        </w:tc>
      </w:tr>
      <w:tr w14:paraId="1CB91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71BDF5C">
            <w:pPr>
              <w:spacing w:before="183" w:line="187" w:lineRule="auto"/>
              <w:ind w:left="168"/>
              <w:rPr>
                <w:rFonts w:eastAsia="Times New Roman"/>
                <w:szCs w:val="21"/>
              </w:rPr>
            </w:pPr>
            <w:r>
              <w:rPr>
                <w:rFonts w:eastAsia="Times New Roman"/>
                <w:spacing w:val="-1"/>
                <w:szCs w:val="21"/>
              </w:rPr>
              <w:t>42</w:t>
            </w:r>
          </w:p>
        </w:tc>
        <w:tc>
          <w:tcPr>
            <w:tcW w:w="1020" w:type="dxa"/>
          </w:tcPr>
          <w:p w14:paraId="7E860EF9">
            <w:pPr>
              <w:rPr>
                <w:szCs w:val="21"/>
              </w:rPr>
            </w:pPr>
            <w:r>
              <w:rPr>
                <w:spacing w:val="-2"/>
                <w:szCs w:val="21"/>
              </w:rPr>
              <w:t>天然气</w:t>
            </w:r>
          </w:p>
        </w:tc>
        <w:tc>
          <w:tcPr>
            <w:tcW w:w="1025" w:type="dxa"/>
          </w:tcPr>
          <w:p w14:paraId="3DF03039">
            <w:pPr>
              <w:spacing w:before="182" w:line="187" w:lineRule="auto"/>
              <w:ind w:left="257"/>
              <w:rPr>
                <w:rFonts w:eastAsia="Times New Roman"/>
                <w:szCs w:val="21"/>
              </w:rPr>
            </w:pPr>
            <w:r>
              <w:rPr>
                <w:rFonts w:eastAsia="Times New Roman"/>
                <w:spacing w:val="-1"/>
                <w:szCs w:val="21"/>
              </w:rPr>
              <w:t>21</w:t>
            </w:r>
            <w:r>
              <w:rPr>
                <w:rFonts w:eastAsia="Times New Roman"/>
                <w:szCs w:val="21"/>
              </w:rPr>
              <w:t>23</w:t>
            </w:r>
          </w:p>
        </w:tc>
        <w:tc>
          <w:tcPr>
            <w:tcW w:w="3687" w:type="dxa"/>
          </w:tcPr>
          <w:p w14:paraId="5CBFCC4A">
            <w:pPr>
              <w:spacing w:before="34" w:line="238" w:lineRule="auto"/>
              <w:rPr>
                <w:rFonts w:eastAsia="Times New Roman"/>
                <w:szCs w:val="21"/>
              </w:rPr>
            </w:pPr>
            <w:r>
              <w:rPr>
                <w:spacing w:val="-7"/>
                <w:szCs w:val="21"/>
              </w:rPr>
              <w:t>易</w:t>
            </w:r>
            <w:r>
              <w:rPr>
                <w:spacing w:val="-5"/>
                <w:szCs w:val="21"/>
              </w:rPr>
              <w:t>燃气体</w:t>
            </w:r>
            <w:r>
              <w:rPr>
                <w:rFonts w:eastAsia="Times New Roman"/>
                <w:spacing w:val="-5"/>
                <w:szCs w:val="21"/>
              </w:rPr>
              <w:t>,</w:t>
            </w:r>
            <w:r>
              <w:rPr>
                <w:spacing w:val="-5"/>
                <w:szCs w:val="21"/>
              </w:rPr>
              <w:t xml:space="preserve">类别 </w:t>
            </w:r>
            <w:r>
              <w:rPr>
                <w:rFonts w:eastAsia="Times New Roman"/>
                <w:spacing w:val="-5"/>
                <w:szCs w:val="21"/>
              </w:rPr>
              <w:t>1</w:t>
            </w:r>
          </w:p>
          <w:p w14:paraId="098B16AF">
            <w:pPr>
              <w:spacing w:before="1" w:line="216" w:lineRule="auto"/>
              <w:rPr>
                <w:szCs w:val="21"/>
              </w:rPr>
            </w:pPr>
            <w:r>
              <w:rPr>
                <w:spacing w:val="-2"/>
                <w:szCs w:val="21"/>
              </w:rPr>
              <w:t>加</w:t>
            </w:r>
            <w:r>
              <w:rPr>
                <w:spacing w:val="-1"/>
                <w:szCs w:val="21"/>
              </w:rPr>
              <w:t>压气体</w:t>
            </w:r>
          </w:p>
        </w:tc>
        <w:tc>
          <w:tcPr>
            <w:tcW w:w="1200" w:type="dxa"/>
          </w:tcPr>
          <w:p w14:paraId="5AE22E51">
            <w:pPr>
              <w:spacing w:before="182" w:line="187" w:lineRule="auto"/>
              <w:ind w:left="567"/>
              <w:rPr>
                <w:rFonts w:eastAsia="Times New Roman"/>
                <w:szCs w:val="21"/>
              </w:rPr>
            </w:pPr>
            <w:r>
              <w:rPr>
                <w:rFonts w:eastAsia="Times New Roman"/>
                <w:spacing w:val="-1"/>
                <w:szCs w:val="21"/>
              </w:rPr>
              <w:t>0.00</w:t>
            </w:r>
            <w:r>
              <w:rPr>
                <w:rFonts w:eastAsia="Times New Roman"/>
                <w:szCs w:val="21"/>
              </w:rPr>
              <w:t>01</w:t>
            </w:r>
          </w:p>
        </w:tc>
        <w:tc>
          <w:tcPr>
            <w:tcW w:w="975" w:type="dxa"/>
          </w:tcPr>
          <w:p w14:paraId="6767E0C8">
            <w:pPr>
              <w:spacing w:before="148" w:line="221" w:lineRule="auto"/>
              <w:ind w:left="354"/>
              <w:rPr>
                <w:szCs w:val="21"/>
              </w:rPr>
            </w:pPr>
            <w:r>
              <w:rPr>
                <w:spacing w:val="-9"/>
                <w:szCs w:val="21"/>
              </w:rPr>
              <w:t>甲</w:t>
            </w:r>
            <w:r>
              <w:rPr>
                <w:spacing w:val="-8"/>
                <w:szCs w:val="21"/>
              </w:rPr>
              <w:t>类</w:t>
            </w:r>
          </w:p>
        </w:tc>
      </w:tr>
      <w:tr w14:paraId="6C4D5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76C86AD">
            <w:pPr>
              <w:spacing w:before="221" w:line="187" w:lineRule="auto"/>
              <w:ind w:left="168"/>
              <w:rPr>
                <w:rFonts w:eastAsia="Times New Roman"/>
                <w:szCs w:val="21"/>
              </w:rPr>
            </w:pPr>
            <w:r>
              <w:rPr>
                <w:rFonts w:eastAsia="Times New Roman"/>
                <w:spacing w:val="-1"/>
                <w:szCs w:val="21"/>
              </w:rPr>
              <w:t>43</w:t>
            </w:r>
          </w:p>
        </w:tc>
        <w:tc>
          <w:tcPr>
            <w:tcW w:w="1020" w:type="dxa"/>
          </w:tcPr>
          <w:p w14:paraId="03321DFB">
            <w:pPr>
              <w:rPr>
                <w:szCs w:val="21"/>
              </w:rPr>
            </w:pPr>
            <w:r>
              <w:rPr>
                <w:spacing w:val="-2"/>
                <w:szCs w:val="21"/>
              </w:rPr>
              <w:t>亚硫酸氢</w:t>
            </w:r>
            <w:r>
              <w:rPr>
                <w:szCs w:val="21"/>
              </w:rPr>
              <w:t>钠</w:t>
            </w:r>
          </w:p>
        </w:tc>
        <w:tc>
          <w:tcPr>
            <w:tcW w:w="1025" w:type="dxa"/>
          </w:tcPr>
          <w:p w14:paraId="11AC848F">
            <w:pPr>
              <w:spacing w:before="221" w:line="187" w:lineRule="auto"/>
              <w:ind w:left="257"/>
              <w:rPr>
                <w:rFonts w:eastAsia="Times New Roman"/>
                <w:szCs w:val="21"/>
              </w:rPr>
            </w:pPr>
            <w:r>
              <w:rPr>
                <w:rFonts w:eastAsia="Times New Roman"/>
                <w:spacing w:val="-1"/>
                <w:szCs w:val="21"/>
              </w:rPr>
              <w:t>24</w:t>
            </w:r>
            <w:r>
              <w:rPr>
                <w:rFonts w:eastAsia="Times New Roman"/>
                <w:szCs w:val="21"/>
              </w:rPr>
              <w:t>55</w:t>
            </w:r>
          </w:p>
        </w:tc>
        <w:tc>
          <w:tcPr>
            <w:tcW w:w="3687" w:type="dxa"/>
          </w:tcPr>
          <w:p w14:paraId="5DD9DB06">
            <w:pPr>
              <w:spacing w:before="73" w:line="245" w:lineRule="auto"/>
              <w:ind w:right="541"/>
              <w:rPr>
                <w:rFonts w:eastAsia="Times New Roman"/>
                <w:szCs w:val="21"/>
              </w:rPr>
            </w:pPr>
            <w:r>
              <w:rPr>
                <w:spacing w:val="-6"/>
                <w:szCs w:val="21"/>
              </w:rPr>
              <w:t>皮</w:t>
            </w:r>
            <w:r>
              <w:rPr>
                <w:spacing w:val="-5"/>
                <w:szCs w:val="21"/>
              </w:rPr>
              <w:t>肤腐蚀</w:t>
            </w:r>
            <w:r>
              <w:rPr>
                <w:rFonts w:eastAsia="Times New Roman"/>
                <w:spacing w:val="-5"/>
                <w:szCs w:val="21"/>
              </w:rPr>
              <w:t>/</w:t>
            </w:r>
            <w:r>
              <w:rPr>
                <w:spacing w:val="-5"/>
                <w:szCs w:val="21"/>
              </w:rPr>
              <w:t>刺激</w:t>
            </w:r>
            <w:r>
              <w:rPr>
                <w:rFonts w:eastAsia="Times New Roman"/>
                <w:spacing w:val="-5"/>
                <w:szCs w:val="21"/>
              </w:rPr>
              <w:t>,</w:t>
            </w:r>
            <w:r>
              <w:rPr>
                <w:spacing w:val="-5"/>
                <w:szCs w:val="21"/>
              </w:rPr>
              <w:t xml:space="preserve">类别 </w:t>
            </w:r>
            <w:r>
              <w:rPr>
                <w:rFonts w:eastAsia="Times New Roman"/>
                <w:spacing w:val="-5"/>
                <w:szCs w:val="21"/>
              </w:rPr>
              <w:t>2</w:t>
            </w:r>
          </w:p>
          <w:p w14:paraId="15A201FC">
            <w:pPr>
              <w:spacing w:before="73" w:line="245" w:lineRule="auto"/>
              <w:ind w:right="541"/>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4"/>
                <w:szCs w:val="21"/>
              </w:rPr>
              <w:t>2</w:t>
            </w:r>
          </w:p>
        </w:tc>
        <w:tc>
          <w:tcPr>
            <w:tcW w:w="1200" w:type="dxa"/>
          </w:tcPr>
          <w:p w14:paraId="174BDCE8">
            <w:pPr>
              <w:spacing w:before="221" w:line="187" w:lineRule="auto"/>
              <w:ind w:left="673"/>
              <w:rPr>
                <w:rFonts w:eastAsia="Times New Roman"/>
                <w:szCs w:val="21"/>
              </w:rPr>
            </w:pPr>
            <w:r>
              <w:rPr>
                <w:rFonts w:eastAsia="Times New Roman"/>
                <w:spacing w:val="-1"/>
                <w:szCs w:val="21"/>
              </w:rPr>
              <w:t>0.01</w:t>
            </w:r>
          </w:p>
        </w:tc>
        <w:tc>
          <w:tcPr>
            <w:tcW w:w="975" w:type="dxa"/>
          </w:tcPr>
          <w:p w14:paraId="2B8B746C">
            <w:pPr>
              <w:spacing w:before="187" w:line="221" w:lineRule="auto"/>
              <w:ind w:left="328"/>
              <w:rPr>
                <w:szCs w:val="21"/>
              </w:rPr>
            </w:pPr>
            <w:r>
              <w:rPr>
                <w:spacing w:val="-2"/>
                <w:szCs w:val="21"/>
              </w:rPr>
              <w:t>戊类</w:t>
            </w:r>
          </w:p>
        </w:tc>
      </w:tr>
      <w:tr w14:paraId="750E2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5C4EC25"/>
          <w:p w14:paraId="0519856C"/>
          <w:p w14:paraId="74B64DF1"/>
          <w:p w14:paraId="46A182F3">
            <w:pPr>
              <w:spacing w:line="241" w:lineRule="auto"/>
            </w:pPr>
          </w:p>
          <w:p w14:paraId="51F735C4">
            <w:pPr>
              <w:spacing w:line="241" w:lineRule="auto"/>
              <w:ind w:firstLine="280" w:firstLineChars="100"/>
            </w:pPr>
            <w:r>
              <w:t>44</w:t>
            </w:r>
          </w:p>
          <w:p w14:paraId="7FA15973">
            <w:pPr>
              <w:spacing w:before="61" w:line="187" w:lineRule="auto"/>
              <w:ind w:left="168"/>
              <w:rPr>
                <w:rFonts w:eastAsia="Times New Roman"/>
                <w:szCs w:val="21"/>
              </w:rPr>
            </w:pPr>
          </w:p>
        </w:tc>
        <w:tc>
          <w:tcPr>
            <w:tcW w:w="1020" w:type="dxa"/>
          </w:tcPr>
          <w:p w14:paraId="7802FBA2">
            <w:pPr>
              <w:spacing w:line="290" w:lineRule="auto"/>
            </w:pPr>
          </w:p>
          <w:p w14:paraId="51871FBB">
            <w:pPr>
              <w:spacing w:line="290" w:lineRule="auto"/>
            </w:pPr>
          </w:p>
          <w:p w14:paraId="1D056E82">
            <w:pPr>
              <w:spacing w:line="290" w:lineRule="auto"/>
            </w:pPr>
          </w:p>
          <w:p w14:paraId="31BE41BB">
            <w:pPr>
              <w:spacing w:line="291" w:lineRule="auto"/>
            </w:pPr>
          </w:p>
          <w:p w14:paraId="08DD867B">
            <w:pPr>
              <w:spacing w:line="220" w:lineRule="auto"/>
              <w:rPr>
                <w:szCs w:val="21"/>
              </w:rPr>
            </w:pPr>
            <w:r>
              <w:rPr>
                <w:spacing w:val="-9"/>
                <w:szCs w:val="21"/>
              </w:rPr>
              <w:t>甲</w:t>
            </w:r>
            <w:r>
              <w:rPr>
                <w:spacing w:val="-8"/>
                <w:szCs w:val="21"/>
              </w:rPr>
              <w:t>苯</w:t>
            </w:r>
          </w:p>
        </w:tc>
        <w:tc>
          <w:tcPr>
            <w:tcW w:w="1025" w:type="dxa"/>
          </w:tcPr>
          <w:p w14:paraId="08FF1DDB">
            <w:pPr>
              <w:spacing w:line="243" w:lineRule="auto"/>
            </w:pPr>
          </w:p>
          <w:p w14:paraId="316E5A08">
            <w:pPr>
              <w:spacing w:line="243" w:lineRule="auto"/>
            </w:pPr>
          </w:p>
          <w:p w14:paraId="453562AB">
            <w:pPr>
              <w:spacing w:line="243" w:lineRule="auto"/>
            </w:pPr>
          </w:p>
          <w:p w14:paraId="4DCD0613">
            <w:pPr>
              <w:spacing w:line="243" w:lineRule="auto"/>
            </w:pPr>
          </w:p>
          <w:p w14:paraId="779FB306">
            <w:pPr>
              <w:spacing w:line="243" w:lineRule="auto"/>
            </w:pPr>
          </w:p>
          <w:p w14:paraId="6DB7B0C7">
            <w:pPr>
              <w:spacing w:before="68" w:line="184" w:lineRule="auto"/>
              <w:ind w:left="277"/>
              <w:rPr>
                <w:szCs w:val="21"/>
              </w:rPr>
            </w:pPr>
            <w:r>
              <w:rPr>
                <w:spacing w:val="-5"/>
                <w:szCs w:val="21"/>
              </w:rPr>
              <w:t>1</w:t>
            </w:r>
            <w:r>
              <w:rPr>
                <w:spacing w:val="-4"/>
                <w:szCs w:val="21"/>
              </w:rPr>
              <w:t>014</w:t>
            </w:r>
          </w:p>
        </w:tc>
        <w:tc>
          <w:tcPr>
            <w:tcW w:w="3687" w:type="dxa"/>
          </w:tcPr>
          <w:p w14:paraId="41A4C328">
            <w:pPr>
              <w:spacing w:before="32" w:line="219" w:lineRule="auto"/>
              <w:rPr>
                <w:szCs w:val="21"/>
              </w:rPr>
            </w:pPr>
            <w:r>
              <w:rPr>
                <w:spacing w:val="-7"/>
                <w:szCs w:val="21"/>
              </w:rPr>
              <w:t>易燃液体,类别 2</w:t>
            </w:r>
          </w:p>
          <w:p w14:paraId="64149DAF">
            <w:pPr>
              <w:spacing w:before="21" w:line="218" w:lineRule="auto"/>
              <w:rPr>
                <w:szCs w:val="21"/>
              </w:rPr>
            </w:pPr>
            <w:r>
              <w:rPr>
                <w:spacing w:val="-8"/>
                <w:szCs w:val="21"/>
              </w:rPr>
              <w:t>皮</w:t>
            </w:r>
            <w:r>
              <w:rPr>
                <w:spacing w:val="-4"/>
                <w:szCs w:val="21"/>
              </w:rPr>
              <w:t>肤腐蚀/刺激,类别 2</w:t>
            </w:r>
          </w:p>
          <w:p w14:paraId="0D1A2201">
            <w:pPr>
              <w:spacing w:before="25" w:line="221" w:lineRule="auto"/>
              <w:rPr>
                <w:szCs w:val="21"/>
              </w:rPr>
            </w:pPr>
            <w:r>
              <w:rPr>
                <w:spacing w:val="-10"/>
                <w:szCs w:val="21"/>
              </w:rPr>
              <w:t>生</w:t>
            </w:r>
            <w:r>
              <w:rPr>
                <w:spacing w:val="-6"/>
                <w:szCs w:val="21"/>
              </w:rPr>
              <w:t>殖</w:t>
            </w:r>
            <w:r>
              <w:rPr>
                <w:spacing w:val="-5"/>
                <w:szCs w:val="21"/>
              </w:rPr>
              <w:t>毒性,类别 2</w:t>
            </w:r>
          </w:p>
          <w:p w14:paraId="552CCB17">
            <w:pPr>
              <w:spacing w:before="21" w:line="239" w:lineRule="auto"/>
              <w:ind w:right="150"/>
              <w:rPr>
                <w:szCs w:val="21"/>
              </w:rPr>
            </w:pPr>
            <w:r>
              <w:rPr>
                <w:spacing w:val="-1"/>
                <w:szCs w:val="21"/>
              </w:rPr>
              <w:t>特异性靶器官毒</w:t>
            </w:r>
            <w:r>
              <w:rPr>
                <w:szCs w:val="21"/>
              </w:rPr>
              <w:t xml:space="preserve">性-一次接触,类别 </w:t>
            </w:r>
            <w:r>
              <w:rPr>
                <w:spacing w:val="-4"/>
                <w:szCs w:val="21"/>
              </w:rPr>
              <w:t xml:space="preserve">3 </w:t>
            </w:r>
            <w:r>
              <w:rPr>
                <w:spacing w:val="-2"/>
                <w:szCs w:val="21"/>
              </w:rPr>
              <w:t>(麻醉效应)</w:t>
            </w:r>
          </w:p>
          <w:p w14:paraId="11599EE3">
            <w:pPr>
              <w:spacing w:before="1" w:line="239" w:lineRule="auto"/>
              <w:ind w:right="150"/>
              <w:rPr>
                <w:szCs w:val="21"/>
              </w:rPr>
            </w:pPr>
            <w:r>
              <w:rPr>
                <w:spacing w:val="-1"/>
                <w:szCs w:val="21"/>
              </w:rPr>
              <w:t>特异性靶器官毒</w:t>
            </w:r>
            <w:r>
              <w:rPr>
                <w:szCs w:val="21"/>
              </w:rPr>
              <w:t>性-反复接触,类别</w:t>
            </w:r>
            <w:r>
              <w:rPr>
                <w:spacing w:val="-3"/>
                <w:szCs w:val="21"/>
              </w:rPr>
              <w:t>2</w:t>
            </w:r>
            <w:r>
              <w:rPr>
                <w:spacing w:val="-2"/>
                <w:szCs w:val="21"/>
              </w:rPr>
              <w:t>*</w:t>
            </w:r>
          </w:p>
          <w:p w14:paraId="270335B2">
            <w:pPr>
              <w:spacing w:line="221" w:lineRule="auto"/>
              <w:rPr>
                <w:szCs w:val="21"/>
              </w:rPr>
            </w:pPr>
            <w:r>
              <w:rPr>
                <w:spacing w:val="-5"/>
                <w:szCs w:val="21"/>
              </w:rPr>
              <w:t xml:space="preserve">吸入危害,类别 </w:t>
            </w:r>
            <w:r>
              <w:rPr>
                <w:spacing w:val="-4"/>
                <w:szCs w:val="21"/>
              </w:rPr>
              <w:t>1</w:t>
            </w:r>
          </w:p>
          <w:p w14:paraId="3F9B98CF">
            <w:pPr>
              <w:spacing w:before="21" w:line="221" w:lineRule="auto"/>
              <w:rPr>
                <w:szCs w:val="21"/>
              </w:rPr>
            </w:pPr>
            <w:r>
              <w:rPr>
                <w:spacing w:val="-4"/>
                <w:szCs w:val="21"/>
              </w:rPr>
              <w:t>危</w:t>
            </w:r>
            <w:r>
              <w:rPr>
                <w:spacing w:val="-3"/>
                <w:szCs w:val="21"/>
              </w:rPr>
              <w:t>害水生环境-急性危害,类别 2</w:t>
            </w:r>
          </w:p>
          <w:p w14:paraId="2B9841B4">
            <w:pPr>
              <w:spacing w:before="20" w:line="216" w:lineRule="auto"/>
              <w:rPr>
                <w:szCs w:val="21"/>
              </w:rPr>
            </w:pPr>
            <w:r>
              <w:rPr>
                <w:spacing w:val="-3"/>
                <w:szCs w:val="21"/>
              </w:rPr>
              <w:t xml:space="preserve">危害水生环境-长期危害,类别 </w:t>
            </w:r>
            <w:r>
              <w:rPr>
                <w:spacing w:val="-2"/>
                <w:szCs w:val="21"/>
              </w:rPr>
              <w:t>3</w:t>
            </w:r>
          </w:p>
        </w:tc>
        <w:tc>
          <w:tcPr>
            <w:tcW w:w="1200" w:type="dxa"/>
          </w:tcPr>
          <w:p w14:paraId="3A9DEF04"/>
          <w:p w14:paraId="02611D23"/>
          <w:p w14:paraId="602264D5"/>
          <w:p w14:paraId="05249B48">
            <w:pPr>
              <w:spacing w:line="241" w:lineRule="auto"/>
            </w:pPr>
          </w:p>
          <w:p w14:paraId="465FC28C">
            <w:pPr>
              <w:spacing w:line="241" w:lineRule="auto"/>
            </w:pPr>
          </w:p>
          <w:p w14:paraId="38FBDD1D">
            <w:pPr>
              <w:spacing w:before="61" w:line="187" w:lineRule="auto"/>
              <w:ind w:left="673"/>
              <w:rPr>
                <w:rFonts w:eastAsia="Times New Roman"/>
                <w:szCs w:val="21"/>
              </w:rPr>
            </w:pPr>
            <w:r>
              <w:rPr>
                <w:rFonts w:eastAsia="Times New Roman"/>
                <w:spacing w:val="-1"/>
                <w:szCs w:val="21"/>
              </w:rPr>
              <w:t>0.47</w:t>
            </w:r>
          </w:p>
        </w:tc>
        <w:tc>
          <w:tcPr>
            <w:tcW w:w="975" w:type="dxa"/>
          </w:tcPr>
          <w:p w14:paraId="69B481F9">
            <w:pPr>
              <w:spacing w:line="290" w:lineRule="auto"/>
            </w:pPr>
          </w:p>
          <w:p w14:paraId="35A2B778">
            <w:pPr>
              <w:spacing w:line="290" w:lineRule="auto"/>
            </w:pPr>
          </w:p>
          <w:p w14:paraId="3BF1491E">
            <w:pPr>
              <w:spacing w:line="290" w:lineRule="auto"/>
            </w:pPr>
          </w:p>
          <w:p w14:paraId="6485B3F6">
            <w:pPr>
              <w:spacing w:line="290" w:lineRule="auto"/>
            </w:pPr>
          </w:p>
          <w:p w14:paraId="7CB6DACF">
            <w:pPr>
              <w:spacing w:before="69" w:line="221" w:lineRule="auto"/>
              <w:ind w:left="354"/>
              <w:rPr>
                <w:szCs w:val="21"/>
              </w:rPr>
            </w:pPr>
            <w:r>
              <w:rPr>
                <w:spacing w:val="-9"/>
                <w:szCs w:val="21"/>
              </w:rPr>
              <w:t>甲</w:t>
            </w:r>
            <w:r>
              <w:rPr>
                <w:spacing w:val="-8"/>
                <w:szCs w:val="21"/>
              </w:rPr>
              <w:t>类</w:t>
            </w:r>
          </w:p>
        </w:tc>
      </w:tr>
      <w:tr w14:paraId="6186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130B49A">
            <w:pPr>
              <w:spacing w:line="264" w:lineRule="auto"/>
            </w:pPr>
          </w:p>
          <w:p w14:paraId="667CFBC4">
            <w:pPr>
              <w:spacing w:line="264" w:lineRule="auto"/>
            </w:pPr>
          </w:p>
          <w:p w14:paraId="755EE8BA">
            <w:pPr>
              <w:spacing w:before="61" w:line="187" w:lineRule="auto"/>
              <w:ind w:left="168"/>
              <w:rPr>
                <w:rFonts w:eastAsia="Times New Roman"/>
                <w:szCs w:val="21"/>
              </w:rPr>
            </w:pPr>
            <w:r>
              <w:rPr>
                <w:rFonts w:eastAsia="Times New Roman"/>
                <w:spacing w:val="-1"/>
                <w:szCs w:val="21"/>
              </w:rPr>
              <w:t>45</w:t>
            </w:r>
          </w:p>
        </w:tc>
        <w:tc>
          <w:tcPr>
            <w:tcW w:w="1020" w:type="dxa"/>
          </w:tcPr>
          <w:p w14:paraId="48853C7D">
            <w:pPr>
              <w:spacing w:line="242" w:lineRule="auto"/>
            </w:pPr>
          </w:p>
          <w:p w14:paraId="604A9526">
            <w:pPr>
              <w:spacing w:line="243" w:lineRule="auto"/>
            </w:pPr>
          </w:p>
          <w:p w14:paraId="0761A588">
            <w:pPr>
              <w:spacing w:line="219" w:lineRule="auto"/>
              <w:rPr>
                <w:szCs w:val="21"/>
              </w:rPr>
            </w:pPr>
            <w:r>
              <w:rPr>
                <w:spacing w:val="-1"/>
                <w:szCs w:val="21"/>
              </w:rPr>
              <w:t>硼氢化钠</w:t>
            </w:r>
          </w:p>
        </w:tc>
        <w:tc>
          <w:tcPr>
            <w:tcW w:w="1025" w:type="dxa"/>
          </w:tcPr>
          <w:p w14:paraId="441A24A8">
            <w:pPr>
              <w:spacing w:line="264" w:lineRule="auto"/>
            </w:pPr>
          </w:p>
          <w:p w14:paraId="184D1D66">
            <w:pPr>
              <w:spacing w:line="264" w:lineRule="auto"/>
            </w:pPr>
          </w:p>
          <w:p w14:paraId="003F203F">
            <w:pPr>
              <w:spacing w:before="61" w:line="187" w:lineRule="auto"/>
              <w:ind w:left="278"/>
              <w:rPr>
                <w:rFonts w:eastAsia="Times New Roman"/>
                <w:szCs w:val="21"/>
              </w:rPr>
            </w:pPr>
            <w:r>
              <w:rPr>
                <w:rFonts w:eastAsia="Times New Roman"/>
                <w:spacing w:val="-5"/>
                <w:szCs w:val="21"/>
              </w:rPr>
              <w:t>1</w:t>
            </w:r>
            <w:r>
              <w:rPr>
                <w:rFonts w:eastAsia="Times New Roman"/>
                <w:spacing w:val="-4"/>
                <w:szCs w:val="21"/>
              </w:rPr>
              <w:t>608</w:t>
            </w:r>
          </w:p>
        </w:tc>
        <w:tc>
          <w:tcPr>
            <w:tcW w:w="3687" w:type="dxa"/>
          </w:tcPr>
          <w:p w14:paraId="4E6F0499">
            <w:pPr>
              <w:spacing w:before="32" w:line="213" w:lineRule="auto"/>
              <w:rPr>
                <w:rFonts w:eastAsia="Times New Roman"/>
                <w:szCs w:val="21"/>
              </w:rPr>
            </w:pPr>
            <w:r>
              <w:rPr>
                <w:spacing w:val="1"/>
                <w:szCs w:val="21"/>
              </w:rPr>
              <w:t>遇水放出易燃气体</w:t>
            </w:r>
            <w:r>
              <w:rPr>
                <w:szCs w:val="21"/>
              </w:rPr>
              <w:t>的物质和混合物</w:t>
            </w:r>
            <w:r>
              <w:rPr>
                <w:rFonts w:eastAsia="Times New Roman"/>
                <w:szCs w:val="21"/>
              </w:rPr>
              <w:t>,</w:t>
            </w:r>
          </w:p>
          <w:p w14:paraId="5060875B">
            <w:pPr>
              <w:spacing w:before="28" w:line="221" w:lineRule="auto"/>
              <w:rPr>
                <w:rFonts w:eastAsia="Times New Roman"/>
                <w:szCs w:val="21"/>
              </w:rPr>
            </w:pPr>
            <w:r>
              <w:rPr>
                <w:spacing w:val="-9"/>
                <w:szCs w:val="21"/>
              </w:rPr>
              <w:t>类</w:t>
            </w:r>
            <w:r>
              <w:rPr>
                <w:spacing w:val="-8"/>
                <w:szCs w:val="21"/>
              </w:rPr>
              <w:t>别</w:t>
            </w:r>
            <w:r>
              <w:rPr>
                <w:rFonts w:eastAsia="Times New Roman"/>
                <w:spacing w:val="-8"/>
                <w:szCs w:val="21"/>
              </w:rPr>
              <w:t>1</w:t>
            </w:r>
          </w:p>
          <w:p w14:paraId="2D7FFED6">
            <w:pPr>
              <w:spacing w:before="22" w:line="213" w:lineRule="auto"/>
              <w:rPr>
                <w:rFonts w:eastAsia="Times New Roman"/>
                <w:szCs w:val="21"/>
              </w:rPr>
            </w:pPr>
            <w:r>
              <w:rPr>
                <w:spacing w:val="-8"/>
                <w:szCs w:val="21"/>
              </w:rPr>
              <w:t>急性</w:t>
            </w:r>
            <w:r>
              <w:rPr>
                <w:spacing w:val="-4"/>
                <w:szCs w:val="21"/>
              </w:rPr>
              <w:t>毒性</w:t>
            </w:r>
            <w:r>
              <w:rPr>
                <w:rFonts w:eastAsia="Times New Roman"/>
                <w:spacing w:val="-4"/>
                <w:szCs w:val="21"/>
              </w:rPr>
              <w:t>-</w:t>
            </w:r>
            <w:r>
              <w:rPr>
                <w:spacing w:val="-4"/>
                <w:szCs w:val="21"/>
              </w:rPr>
              <w:t>经口</w:t>
            </w:r>
            <w:r>
              <w:rPr>
                <w:rFonts w:eastAsia="Times New Roman"/>
                <w:spacing w:val="-4"/>
                <w:szCs w:val="21"/>
              </w:rPr>
              <w:t>,</w:t>
            </w:r>
            <w:r>
              <w:rPr>
                <w:spacing w:val="-4"/>
                <w:szCs w:val="21"/>
              </w:rPr>
              <w:t xml:space="preserve">类别 </w:t>
            </w:r>
            <w:r>
              <w:rPr>
                <w:rFonts w:eastAsia="Times New Roman"/>
                <w:spacing w:val="-4"/>
                <w:szCs w:val="21"/>
              </w:rPr>
              <w:t>3</w:t>
            </w:r>
          </w:p>
          <w:p w14:paraId="4CC120B5">
            <w:pPr>
              <w:spacing w:before="28" w:line="223" w:lineRule="auto"/>
              <w:rPr>
                <w:rFonts w:eastAsia="Times New Roman"/>
                <w:szCs w:val="21"/>
              </w:rPr>
            </w:pPr>
            <w:r>
              <w:rPr>
                <w:spacing w:val="-6"/>
                <w:szCs w:val="21"/>
              </w:rPr>
              <w:t>皮肤腐</w:t>
            </w:r>
            <w:r>
              <w:rPr>
                <w:spacing w:val="-3"/>
                <w:szCs w:val="21"/>
              </w:rPr>
              <w:t>蚀</w:t>
            </w:r>
            <w:r>
              <w:rPr>
                <w:rFonts w:eastAsia="Times New Roman"/>
                <w:spacing w:val="-3"/>
                <w:szCs w:val="21"/>
              </w:rPr>
              <w:t>/</w:t>
            </w:r>
            <w:r>
              <w:rPr>
                <w:spacing w:val="-3"/>
                <w:szCs w:val="21"/>
              </w:rPr>
              <w:t>刺激</w:t>
            </w:r>
            <w:r>
              <w:rPr>
                <w:rFonts w:eastAsia="Times New Roman"/>
                <w:spacing w:val="-3"/>
                <w:szCs w:val="21"/>
              </w:rPr>
              <w:t>,</w:t>
            </w:r>
            <w:r>
              <w:rPr>
                <w:spacing w:val="-3"/>
                <w:szCs w:val="21"/>
              </w:rPr>
              <w:t xml:space="preserve">类别 </w:t>
            </w:r>
            <w:r>
              <w:rPr>
                <w:rFonts w:eastAsia="Times New Roman"/>
                <w:spacing w:val="-3"/>
                <w:szCs w:val="21"/>
              </w:rPr>
              <w:t>1C</w:t>
            </w:r>
          </w:p>
          <w:p w14:paraId="5F116B0F">
            <w:pPr>
              <w:spacing w:before="21" w:line="213" w:lineRule="auto"/>
              <w:rPr>
                <w:rFonts w:eastAsia="Times New Roman"/>
                <w:szCs w:val="21"/>
              </w:rPr>
            </w:pPr>
            <w:r>
              <w:rPr>
                <w:spacing w:val="-4"/>
                <w:szCs w:val="21"/>
              </w:rPr>
              <w:t>严重眼</w:t>
            </w:r>
            <w:r>
              <w:rPr>
                <w:spacing w:val="-3"/>
                <w:szCs w:val="21"/>
              </w:rPr>
              <w:t>损</w:t>
            </w:r>
            <w:r>
              <w:rPr>
                <w:spacing w:val="-2"/>
                <w:szCs w:val="21"/>
              </w:rPr>
              <w:t>伤</w:t>
            </w:r>
            <w:r>
              <w:rPr>
                <w:rFonts w:eastAsia="Times New Roman"/>
                <w:spacing w:val="-2"/>
                <w:szCs w:val="21"/>
              </w:rPr>
              <w:t>/</w:t>
            </w:r>
            <w:r>
              <w:rPr>
                <w:spacing w:val="-2"/>
                <w:szCs w:val="21"/>
              </w:rPr>
              <w:t>眼刺激</w:t>
            </w:r>
            <w:r>
              <w:rPr>
                <w:rFonts w:eastAsia="Times New Roman"/>
                <w:spacing w:val="-2"/>
                <w:szCs w:val="21"/>
              </w:rPr>
              <w:t>,</w:t>
            </w:r>
            <w:r>
              <w:rPr>
                <w:spacing w:val="-2"/>
                <w:szCs w:val="21"/>
              </w:rPr>
              <w:t xml:space="preserve">类别 </w:t>
            </w:r>
            <w:r>
              <w:rPr>
                <w:rFonts w:eastAsia="Times New Roman"/>
                <w:spacing w:val="-2"/>
                <w:szCs w:val="21"/>
              </w:rPr>
              <w:t>1</w:t>
            </w:r>
          </w:p>
        </w:tc>
        <w:tc>
          <w:tcPr>
            <w:tcW w:w="1200" w:type="dxa"/>
          </w:tcPr>
          <w:p w14:paraId="7701972D">
            <w:pPr>
              <w:spacing w:line="264" w:lineRule="auto"/>
            </w:pPr>
          </w:p>
          <w:p w14:paraId="668939FA">
            <w:pPr>
              <w:spacing w:line="264" w:lineRule="auto"/>
            </w:pPr>
          </w:p>
          <w:p w14:paraId="0FBA3238">
            <w:pPr>
              <w:spacing w:before="61" w:line="187" w:lineRule="auto"/>
              <w:ind w:left="620"/>
              <w:rPr>
                <w:rFonts w:eastAsia="Times New Roman"/>
                <w:szCs w:val="21"/>
              </w:rPr>
            </w:pPr>
            <w:r>
              <w:rPr>
                <w:rFonts w:eastAsia="Times New Roman"/>
                <w:spacing w:val="-1"/>
                <w:szCs w:val="21"/>
              </w:rPr>
              <w:t>0.00</w:t>
            </w:r>
            <w:r>
              <w:rPr>
                <w:rFonts w:eastAsia="Times New Roman"/>
                <w:szCs w:val="21"/>
              </w:rPr>
              <w:t>6</w:t>
            </w:r>
          </w:p>
        </w:tc>
        <w:tc>
          <w:tcPr>
            <w:tcW w:w="975" w:type="dxa"/>
          </w:tcPr>
          <w:p w14:paraId="565ABBBD">
            <w:pPr>
              <w:spacing w:line="242" w:lineRule="auto"/>
            </w:pPr>
          </w:p>
          <w:p w14:paraId="2B51F1F7">
            <w:pPr>
              <w:spacing w:line="242" w:lineRule="auto"/>
            </w:pPr>
          </w:p>
          <w:p w14:paraId="01880D39">
            <w:pPr>
              <w:spacing w:before="68" w:line="221" w:lineRule="auto"/>
              <w:ind w:left="354"/>
              <w:rPr>
                <w:szCs w:val="21"/>
              </w:rPr>
            </w:pPr>
            <w:r>
              <w:rPr>
                <w:spacing w:val="-9"/>
                <w:szCs w:val="21"/>
              </w:rPr>
              <w:t>甲</w:t>
            </w:r>
            <w:r>
              <w:rPr>
                <w:spacing w:val="-8"/>
                <w:szCs w:val="21"/>
              </w:rPr>
              <w:t>类</w:t>
            </w:r>
          </w:p>
        </w:tc>
      </w:tr>
      <w:tr w14:paraId="5F5F4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42550AF">
            <w:pPr>
              <w:spacing w:line="393" w:lineRule="auto"/>
            </w:pPr>
          </w:p>
          <w:p w14:paraId="26B9CF29">
            <w:pPr>
              <w:spacing w:before="60" w:line="187" w:lineRule="auto"/>
              <w:ind w:left="168"/>
              <w:rPr>
                <w:rFonts w:eastAsia="Times New Roman"/>
                <w:szCs w:val="21"/>
              </w:rPr>
            </w:pPr>
            <w:r>
              <w:rPr>
                <w:rFonts w:eastAsia="Times New Roman"/>
                <w:spacing w:val="-1"/>
                <w:szCs w:val="21"/>
              </w:rPr>
              <w:t>46</w:t>
            </w:r>
          </w:p>
        </w:tc>
        <w:tc>
          <w:tcPr>
            <w:tcW w:w="1020" w:type="dxa"/>
          </w:tcPr>
          <w:p w14:paraId="21DEE577">
            <w:pPr>
              <w:spacing w:line="351" w:lineRule="auto"/>
            </w:pPr>
          </w:p>
          <w:p w14:paraId="05EA52C0">
            <w:pPr>
              <w:spacing w:line="222" w:lineRule="auto"/>
              <w:rPr>
                <w:szCs w:val="21"/>
              </w:rPr>
            </w:pPr>
            <w:r>
              <w:rPr>
                <w:spacing w:val="-3"/>
                <w:szCs w:val="21"/>
              </w:rPr>
              <w:t>丁</w:t>
            </w:r>
            <w:r>
              <w:rPr>
                <w:spacing w:val="-2"/>
                <w:szCs w:val="21"/>
              </w:rPr>
              <w:t>酮</w:t>
            </w:r>
          </w:p>
        </w:tc>
        <w:tc>
          <w:tcPr>
            <w:tcW w:w="1025" w:type="dxa"/>
          </w:tcPr>
          <w:p w14:paraId="6079E25B">
            <w:pPr>
              <w:spacing w:line="393" w:lineRule="auto"/>
            </w:pPr>
          </w:p>
          <w:p w14:paraId="5ECE02CE">
            <w:pPr>
              <w:spacing w:before="60" w:line="187" w:lineRule="auto"/>
              <w:ind w:left="310"/>
              <w:rPr>
                <w:rFonts w:eastAsia="Times New Roman"/>
                <w:szCs w:val="21"/>
              </w:rPr>
            </w:pPr>
            <w:r>
              <w:rPr>
                <w:rFonts w:eastAsia="Times New Roman"/>
                <w:spacing w:val="-1"/>
                <w:szCs w:val="21"/>
              </w:rPr>
              <w:t>23</w:t>
            </w:r>
            <w:r>
              <w:rPr>
                <w:rFonts w:eastAsia="Times New Roman"/>
                <w:szCs w:val="21"/>
              </w:rPr>
              <w:t>6</w:t>
            </w:r>
          </w:p>
        </w:tc>
        <w:tc>
          <w:tcPr>
            <w:tcW w:w="3687" w:type="dxa"/>
          </w:tcPr>
          <w:p w14:paraId="4AF9D44F">
            <w:pPr>
              <w:spacing w:before="33" w:line="213" w:lineRule="auto"/>
              <w:rPr>
                <w:rFonts w:eastAsia="Times New Roman"/>
                <w:szCs w:val="21"/>
              </w:rPr>
            </w:pPr>
            <w:r>
              <w:rPr>
                <w:spacing w:val="-11"/>
                <w:szCs w:val="21"/>
              </w:rPr>
              <w:t>易</w:t>
            </w:r>
            <w:r>
              <w:rPr>
                <w:spacing w:val="-7"/>
                <w:szCs w:val="21"/>
              </w:rPr>
              <w:t>燃液体</w:t>
            </w:r>
            <w:r>
              <w:rPr>
                <w:rFonts w:eastAsia="Times New Roman"/>
                <w:spacing w:val="-7"/>
                <w:szCs w:val="21"/>
              </w:rPr>
              <w:t>,</w:t>
            </w:r>
            <w:r>
              <w:rPr>
                <w:spacing w:val="-7"/>
                <w:szCs w:val="21"/>
              </w:rPr>
              <w:t>类别</w:t>
            </w:r>
            <w:r>
              <w:rPr>
                <w:rFonts w:eastAsia="Times New Roman"/>
                <w:spacing w:val="-7"/>
                <w:szCs w:val="21"/>
              </w:rPr>
              <w:t>2</w:t>
            </w:r>
          </w:p>
          <w:p w14:paraId="0CEDD39C">
            <w:pPr>
              <w:spacing w:before="30" w:line="223" w:lineRule="auto"/>
              <w:rPr>
                <w:rFonts w:eastAsia="Times New Roman"/>
                <w:szCs w:val="21"/>
              </w:rPr>
            </w:pPr>
            <w:r>
              <w:rPr>
                <w:spacing w:val="-4"/>
                <w:szCs w:val="21"/>
              </w:rPr>
              <w:t>严重眼损伤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3"/>
                <w:szCs w:val="21"/>
              </w:rPr>
              <w:t>2</w:t>
            </w:r>
          </w:p>
          <w:p w14:paraId="281227F5">
            <w:pPr>
              <w:spacing w:before="18" w:line="213" w:lineRule="auto"/>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w:t>
            </w:r>
            <w:r>
              <w:rPr>
                <w:rFonts w:eastAsia="Times New Roman"/>
                <w:spacing w:val="-2"/>
                <w:szCs w:val="21"/>
              </w:rPr>
              <w:t>,</w:t>
            </w:r>
            <w:r>
              <w:rPr>
                <w:spacing w:val="-2"/>
                <w:szCs w:val="21"/>
              </w:rPr>
              <w:t>类别</w:t>
            </w:r>
            <w:r>
              <w:rPr>
                <w:rFonts w:eastAsia="Times New Roman"/>
                <w:spacing w:val="-2"/>
                <w:szCs w:val="21"/>
              </w:rPr>
              <w:t>3</w:t>
            </w:r>
          </w:p>
          <w:p w14:paraId="66E04862">
            <w:pPr>
              <w:spacing w:before="30" w:line="213" w:lineRule="auto"/>
              <w:rPr>
                <w:szCs w:val="21"/>
              </w:rPr>
            </w:pPr>
            <w:r>
              <w:rPr>
                <w:spacing w:val="19"/>
                <w:szCs w:val="21"/>
              </w:rPr>
              <w:t>(</w:t>
            </w:r>
            <w:r>
              <w:rPr>
                <w:spacing w:val="15"/>
                <w:szCs w:val="21"/>
              </w:rPr>
              <w:t>麻醉效应)</w:t>
            </w:r>
          </w:p>
        </w:tc>
        <w:tc>
          <w:tcPr>
            <w:tcW w:w="1200" w:type="dxa"/>
          </w:tcPr>
          <w:p w14:paraId="2189F623">
            <w:pPr>
              <w:spacing w:line="393" w:lineRule="auto"/>
            </w:pPr>
          </w:p>
          <w:p w14:paraId="5236F3EF">
            <w:pPr>
              <w:spacing w:before="60" w:line="187" w:lineRule="auto"/>
              <w:ind w:left="669"/>
              <w:rPr>
                <w:rFonts w:eastAsia="Times New Roman"/>
                <w:szCs w:val="21"/>
              </w:rPr>
            </w:pPr>
            <w:r>
              <w:rPr>
                <w:rFonts w:eastAsia="Times New Roman"/>
                <w:spacing w:val="-1"/>
                <w:szCs w:val="21"/>
              </w:rPr>
              <w:t>4</w:t>
            </w:r>
            <w:r>
              <w:rPr>
                <w:rFonts w:eastAsia="Times New Roman"/>
                <w:szCs w:val="21"/>
              </w:rPr>
              <w:t>.88</w:t>
            </w:r>
          </w:p>
        </w:tc>
        <w:tc>
          <w:tcPr>
            <w:tcW w:w="975" w:type="dxa"/>
          </w:tcPr>
          <w:p w14:paraId="5F8B6926">
            <w:pPr>
              <w:spacing w:line="351" w:lineRule="auto"/>
            </w:pPr>
          </w:p>
          <w:p w14:paraId="70377E23">
            <w:pPr>
              <w:spacing w:before="68" w:line="221" w:lineRule="auto"/>
              <w:ind w:left="354"/>
              <w:rPr>
                <w:szCs w:val="21"/>
              </w:rPr>
            </w:pPr>
            <w:r>
              <w:rPr>
                <w:spacing w:val="-9"/>
                <w:szCs w:val="21"/>
              </w:rPr>
              <w:t>甲</w:t>
            </w:r>
            <w:r>
              <w:rPr>
                <w:spacing w:val="-8"/>
                <w:szCs w:val="21"/>
              </w:rPr>
              <w:t>类</w:t>
            </w:r>
          </w:p>
        </w:tc>
      </w:tr>
      <w:tr w14:paraId="21C52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A65CAFF">
            <w:pPr>
              <w:spacing w:line="332" w:lineRule="auto"/>
            </w:pPr>
          </w:p>
          <w:p w14:paraId="25BE2C58">
            <w:pPr>
              <w:spacing w:line="333" w:lineRule="auto"/>
            </w:pPr>
          </w:p>
          <w:p w14:paraId="03B777A6">
            <w:pPr>
              <w:spacing w:before="60" w:line="187" w:lineRule="auto"/>
              <w:ind w:left="168"/>
              <w:rPr>
                <w:rFonts w:eastAsia="Times New Roman"/>
                <w:szCs w:val="21"/>
              </w:rPr>
            </w:pPr>
            <w:r>
              <w:rPr>
                <w:rFonts w:eastAsia="Times New Roman"/>
                <w:spacing w:val="-1"/>
                <w:szCs w:val="21"/>
              </w:rPr>
              <w:t>47</w:t>
            </w:r>
          </w:p>
        </w:tc>
        <w:tc>
          <w:tcPr>
            <w:tcW w:w="1020" w:type="dxa"/>
          </w:tcPr>
          <w:p w14:paraId="7DB6B8C7">
            <w:pPr>
              <w:spacing w:line="467" w:lineRule="auto"/>
            </w:pPr>
          </w:p>
          <w:p w14:paraId="53D4485A">
            <w:pPr>
              <w:spacing w:line="291" w:lineRule="auto"/>
              <w:ind w:left="306" w:hanging="306"/>
              <w:rPr>
                <w:szCs w:val="21"/>
              </w:rPr>
            </w:pPr>
            <w:r>
              <w:rPr>
                <w:rFonts w:eastAsia="Times New Roman"/>
                <w:spacing w:val="-10"/>
                <w:szCs w:val="21"/>
              </w:rPr>
              <w:t>4</w:t>
            </w:r>
            <w:r>
              <w:rPr>
                <w:rFonts w:eastAsia="Times New Roman"/>
                <w:spacing w:val="-9"/>
                <w:szCs w:val="21"/>
              </w:rPr>
              <w:t>-</w:t>
            </w:r>
            <w:r>
              <w:rPr>
                <w:spacing w:val="-9"/>
                <w:szCs w:val="21"/>
              </w:rPr>
              <w:t>甲基吡</w:t>
            </w:r>
            <w:r>
              <w:rPr>
                <w:szCs w:val="21"/>
              </w:rPr>
              <w:t xml:space="preserve"> 啶</w:t>
            </w:r>
          </w:p>
        </w:tc>
        <w:tc>
          <w:tcPr>
            <w:tcW w:w="1025" w:type="dxa"/>
          </w:tcPr>
          <w:p w14:paraId="3D953B09">
            <w:pPr>
              <w:spacing w:line="332" w:lineRule="auto"/>
            </w:pPr>
          </w:p>
          <w:p w14:paraId="4B43B773">
            <w:pPr>
              <w:spacing w:line="333" w:lineRule="auto"/>
            </w:pPr>
          </w:p>
          <w:p w14:paraId="6BA1A4BC">
            <w:pPr>
              <w:spacing w:before="60" w:line="187" w:lineRule="auto"/>
              <w:ind w:left="278"/>
              <w:rPr>
                <w:rFonts w:eastAsia="Times New Roman"/>
                <w:szCs w:val="21"/>
              </w:rPr>
            </w:pPr>
            <w:r>
              <w:rPr>
                <w:rFonts w:eastAsia="Times New Roman"/>
                <w:spacing w:val="-5"/>
                <w:szCs w:val="21"/>
              </w:rPr>
              <w:t>1</w:t>
            </w:r>
            <w:r>
              <w:rPr>
                <w:rFonts w:eastAsia="Times New Roman"/>
                <w:spacing w:val="-4"/>
                <w:szCs w:val="21"/>
              </w:rPr>
              <w:t>095</w:t>
            </w:r>
          </w:p>
        </w:tc>
        <w:tc>
          <w:tcPr>
            <w:tcW w:w="3687" w:type="dxa"/>
          </w:tcPr>
          <w:p w14:paraId="0529ED56">
            <w:pPr>
              <w:spacing w:before="34" w:line="239" w:lineRule="auto"/>
              <w:ind w:right="690"/>
              <w:rPr>
                <w:rFonts w:eastAsia="Times New Roman"/>
                <w:szCs w:val="21"/>
              </w:rPr>
            </w:pPr>
            <w:r>
              <w:rPr>
                <w:spacing w:val="-8"/>
                <w:szCs w:val="21"/>
              </w:rPr>
              <w:t>易燃液体</w:t>
            </w:r>
            <w:r>
              <w:rPr>
                <w:rFonts w:eastAsia="Times New Roman"/>
                <w:spacing w:val="-8"/>
                <w:szCs w:val="21"/>
              </w:rPr>
              <w:t>,</w:t>
            </w:r>
            <w:r>
              <w:rPr>
                <w:spacing w:val="-8"/>
                <w:szCs w:val="21"/>
              </w:rPr>
              <w:t xml:space="preserve">类别 </w:t>
            </w:r>
            <w:r>
              <w:rPr>
                <w:rFonts w:eastAsia="Times New Roman"/>
                <w:spacing w:val="-7"/>
                <w:szCs w:val="21"/>
              </w:rPr>
              <w:t>3</w:t>
            </w:r>
          </w:p>
          <w:p w14:paraId="236B5623">
            <w:pPr>
              <w:spacing w:before="34" w:line="239" w:lineRule="auto"/>
              <w:ind w:right="690"/>
              <w:rPr>
                <w:rFonts w:eastAsia="Times New Roman"/>
                <w:szCs w:val="21"/>
              </w:rPr>
            </w:pPr>
            <w:r>
              <w:rPr>
                <w:spacing w:val="-5"/>
                <w:szCs w:val="21"/>
              </w:rPr>
              <w:t>急性毒性</w:t>
            </w:r>
            <w:r>
              <w:rPr>
                <w:rFonts w:eastAsia="Times New Roman"/>
                <w:spacing w:val="-5"/>
                <w:szCs w:val="21"/>
              </w:rPr>
              <w:t>-</w:t>
            </w:r>
            <w:r>
              <w:rPr>
                <w:spacing w:val="-5"/>
                <w:szCs w:val="21"/>
              </w:rPr>
              <w:t>经皮</w:t>
            </w:r>
            <w:r>
              <w:rPr>
                <w:rFonts w:eastAsia="Times New Roman"/>
                <w:spacing w:val="-5"/>
                <w:szCs w:val="21"/>
              </w:rPr>
              <w:t>,</w:t>
            </w:r>
            <w:r>
              <w:rPr>
                <w:spacing w:val="-5"/>
                <w:szCs w:val="21"/>
              </w:rPr>
              <w:t xml:space="preserve">类别 </w:t>
            </w:r>
            <w:r>
              <w:rPr>
                <w:rFonts w:eastAsia="Times New Roman"/>
                <w:spacing w:val="-5"/>
                <w:szCs w:val="21"/>
              </w:rPr>
              <w:t>3</w:t>
            </w:r>
            <w:r>
              <w:rPr>
                <w:rFonts w:eastAsia="Times New Roman"/>
                <w:spacing w:val="-4"/>
                <w:szCs w:val="21"/>
              </w:rPr>
              <w:t>*</w:t>
            </w:r>
          </w:p>
          <w:p w14:paraId="20DC6A47">
            <w:pPr>
              <w:spacing w:before="1" w:line="239" w:lineRule="auto"/>
              <w:ind w:right="541"/>
              <w:rPr>
                <w:rFonts w:eastAsia="Times New Roman"/>
                <w:szCs w:val="21"/>
              </w:rPr>
            </w:pPr>
            <w:r>
              <w:rPr>
                <w:spacing w:val="-6"/>
                <w:szCs w:val="21"/>
              </w:rPr>
              <w:t>皮</w:t>
            </w:r>
            <w:r>
              <w:rPr>
                <w:spacing w:val="-5"/>
                <w:szCs w:val="21"/>
              </w:rPr>
              <w:t>肤腐蚀</w:t>
            </w:r>
            <w:r>
              <w:rPr>
                <w:rFonts w:eastAsia="Times New Roman"/>
                <w:spacing w:val="-5"/>
                <w:szCs w:val="21"/>
              </w:rPr>
              <w:t>/</w:t>
            </w:r>
            <w:r>
              <w:rPr>
                <w:spacing w:val="-5"/>
                <w:szCs w:val="21"/>
              </w:rPr>
              <w:t>刺激</w:t>
            </w:r>
            <w:r>
              <w:rPr>
                <w:rFonts w:eastAsia="Times New Roman"/>
                <w:spacing w:val="-5"/>
                <w:szCs w:val="21"/>
              </w:rPr>
              <w:t>,</w:t>
            </w:r>
            <w:r>
              <w:rPr>
                <w:spacing w:val="-5"/>
                <w:szCs w:val="21"/>
              </w:rPr>
              <w:t>类别</w:t>
            </w:r>
            <w:r>
              <w:rPr>
                <w:rFonts w:eastAsia="Times New Roman"/>
                <w:spacing w:val="-5"/>
                <w:szCs w:val="21"/>
              </w:rPr>
              <w:t>2</w:t>
            </w:r>
          </w:p>
          <w:p w14:paraId="482EB8E7">
            <w:pPr>
              <w:spacing w:before="1" w:line="239" w:lineRule="auto"/>
              <w:ind w:right="541"/>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类别</w:t>
            </w:r>
            <w:r>
              <w:rPr>
                <w:rFonts w:eastAsia="Times New Roman"/>
                <w:spacing w:val="-4"/>
                <w:szCs w:val="21"/>
              </w:rPr>
              <w:t>2</w:t>
            </w:r>
          </w:p>
          <w:p w14:paraId="4EFD4C1E">
            <w:pPr>
              <w:spacing w:line="213" w:lineRule="auto"/>
              <w:rPr>
                <w:rFonts w:eastAsia="Times New Roman"/>
                <w:szCs w:val="21"/>
              </w:rPr>
            </w:pPr>
            <w:r>
              <w:rPr>
                <w:spacing w:val="-4"/>
                <w:szCs w:val="21"/>
              </w:rPr>
              <w:t>特异性靶器官毒</w:t>
            </w:r>
            <w:r>
              <w:rPr>
                <w:spacing w:val="-2"/>
                <w:szCs w:val="21"/>
              </w:rPr>
              <w:t>性</w:t>
            </w:r>
            <w:r>
              <w:rPr>
                <w:rFonts w:eastAsia="Times New Roman"/>
                <w:spacing w:val="-2"/>
                <w:szCs w:val="21"/>
              </w:rPr>
              <w:t>-</w:t>
            </w:r>
            <w:r>
              <w:rPr>
                <w:spacing w:val="-2"/>
                <w:szCs w:val="21"/>
              </w:rPr>
              <w:t>一次接触</w:t>
            </w:r>
            <w:r>
              <w:rPr>
                <w:rFonts w:eastAsia="Times New Roman"/>
                <w:spacing w:val="-2"/>
                <w:szCs w:val="21"/>
              </w:rPr>
              <w:t>,</w:t>
            </w:r>
            <w:r>
              <w:rPr>
                <w:spacing w:val="-2"/>
                <w:szCs w:val="21"/>
              </w:rPr>
              <w:t xml:space="preserve">类别 </w:t>
            </w:r>
            <w:r>
              <w:rPr>
                <w:rFonts w:eastAsia="Times New Roman"/>
                <w:spacing w:val="-2"/>
                <w:szCs w:val="21"/>
              </w:rPr>
              <w:t>3</w:t>
            </w:r>
          </w:p>
          <w:p w14:paraId="44AEECE0">
            <w:pPr>
              <w:spacing w:before="31" w:line="212" w:lineRule="auto"/>
              <w:rPr>
                <w:szCs w:val="21"/>
              </w:rPr>
            </w:pPr>
            <w:r>
              <w:rPr>
                <w:spacing w:val="12"/>
                <w:szCs w:val="21"/>
              </w:rPr>
              <w:t>(呼吸道刺激)</w:t>
            </w:r>
          </w:p>
        </w:tc>
        <w:tc>
          <w:tcPr>
            <w:tcW w:w="1200" w:type="dxa"/>
          </w:tcPr>
          <w:p w14:paraId="5F3AEE00">
            <w:pPr>
              <w:spacing w:line="332" w:lineRule="auto"/>
            </w:pPr>
          </w:p>
          <w:p w14:paraId="2221574C">
            <w:pPr>
              <w:spacing w:line="333" w:lineRule="auto"/>
            </w:pPr>
          </w:p>
          <w:p w14:paraId="69FA2A77">
            <w:pPr>
              <w:spacing w:before="60" w:line="187" w:lineRule="auto"/>
              <w:ind w:left="673"/>
              <w:rPr>
                <w:rFonts w:eastAsia="Times New Roman"/>
                <w:szCs w:val="21"/>
              </w:rPr>
            </w:pPr>
            <w:r>
              <w:rPr>
                <w:rFonts w:eastAsia="Times New Roman"/>
                <w:spacing w:val="-1"/>
                <w:szCs w:val="21"/>
              </w:rPr>
              <w:t>0.19</w:t>
            </w:r>
          </w:p>
        </w:tc>
        <w:tc>
          <w:tcPr>
            <w:tcW w:w="975" w:type="dxa"/>
          </w:tcPr>
          <w:p w14:paraId="66C378B3">
            <w:pPr>
              <w:spacing w:line="311" w:lineRule="auto"/>
            </w:pPr>
          </w:p>
          <w:p w14:paraId="641F97B3">
            <w:pPr>
              <w:spacing w:line="312" w:lineRule="auto"/>
            </w:pPr>
          </w:p>
          <w:p w14:paraId="41172BCD">
            <w:pPr>
              <w:spacing w:before="68" w:line="221" w:lineRule="auto"/>
              <w:ind w:left="344"/>
              <w:rPr>
                <w:szCs w:val="21"/>
              </w:rPr>
            </w:pPr>
            <w:r>
              <w:rPr>
                <w:spacing w:val="-7"/>
                <w:szCs w:val="21"/>
              </w:rPr>
              <w:t>乙</w:t>
            </w:r>
            <w:r>
              <w:rPr>
                <w:spacing w:val="-5"/>
                <w:szCs w:val="21"/>
              </w:rPr>
              <w:t>类</w:t>
            </w:r>
          </w:p>
        </w:tc>
      </w:tr>
      <w:tr w14:paraId="31155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DEEA5CF">
            <w:pPr>
              <w:spacing w:line="307" w:lineRule="auto"/>
            </w:pPr>
          </w:p>
          <w:p w14:paraId="35328145">
            <w:pPr>
              <w:spacing w:line="307" w:lineRule="auto"/>
            </w:pPr>
          </w:p>
          <w:p w14:paraId="1D4F3AD1">
            <w:pPr>
              <w:spacing w:line="308" w:lineRule="auto"/>
            </w:pPr>
          </w:p>
          <w:p w14:paraId="741ABBD9">
            <w:pPr>
              <w:spacing w:before="60" w:line="187" w:lineRule="auto"/>
              <w:ind w:left="168"/>
              <w:rPr>
                <w:rFonts w:eastAsia="Times New Roman"/>
                <w:szCs w:val="21"/>
              </w:rPr>
            </w:pPr>
            <w:r>
              <w:rPr>
                <w:rFonts w:eastAsia="Times New Roman"/>
                <w:spacing w:val="-1"/>
                <w:szCs w:val="21"/>
              </w:rPr>
              <w:t>48</w:t>
            </w:r>
          </w:p>
        </w:tc>
        <w:tc>
          <w:tcPr>
            <w:tcW w:w="1020" w:type="dxa"/>
          </w:tcPr>
          <w:p w14:paraId="0F357F74">
            <w:pPr>
              <w:spacing w:line="293" w:lineRule="auto"/>
            </w:pPr>
          </w:p>
          <w:p w14:paraId="4CD1EC7E">
            <w:pPr>
              <w:spacing w:line="293" w:lineRule="auto"/>
            </w:pPr>
          </w:p>
          <w:p w14:paraId="0FE31F46">
            <w:pPr>
              <w:spacing w:line="294" w:lineRule="auto"/>
            </w:pPr>
          </w:p>
          <w:p w14:paraId="661B0C2F">
            <w:pPr>
              <w:spacing w:before="68" w:line="220" w:lineRule="auto"/>
              <w:rPr>
                <w:szCs w:val="21"/>
              </w:rPr>
            </w:pPr>
            <w:r>
              <w:rPr>
                <w:spacing w:val="-3"/>
                <w:szCs w:val="21"/>
              </w:rPr>
              <w:t>苯</w:t>
            </w:r>
            <w:r>
              <w:rPr>
                <w:spacing w:val="-2"/>
                <w:szCs w:val="21"/>
              </w:rPr>
              <w:t>酚</w:t>
            </w:r>
          </w:p>
        </w:tc>
        <w:tc>
          <w:tcPr>
            <w:tcW w:w="1025" w:type="dxa"/>
          </w:tcPr>
          <w:p w14:paraId="73317474">
            <w:pPr>
              <w:spacing w:line="307" w:lineRule="auto"/>
            </w:pPr>
          </w:p>
          <w:p w14:paraId="46F25110">
            <w:pPr>
              <w:spacing w:line="307" w:lineRule="auto"/>
            </w:pPr>
          </w:p>
          <w:p w14:paraId="06B7B825">
            <w:pPr>
              <w:spacing w:line="308" w:lineRule="auto"/>
            </w:pPr>
          </w:p>
          <w:p w14:paraId="366DE3D6">
            <w:pPr>
              <w:spacing w:before="60" w:line="187" w:lineRule="auto"/>
              <w:ind w:left="365"/>
              <w:rPr>
                <w:rFonts w:eastAsia="Times New Roman"/>
                <w:szCs w:val="21"/>
              </w:rPr>
            </w:pPr>
            <w:r>
              <w:rPr>
                <w:rFonts w:eastAsia="Times New Roman"/>
                <w:spacing w:val="-2"/>
                <w:szCs w:val="21"/>
              </w:rPr>
              <w:t>60</w:t>
            </w:r>
          </w:p>
        </w:tc>
        <w:tc>
          <w:tcPr>
            <w:tcW w:w="3687" w:type="dxa"/>
          </w:tcPr>
          <w:p w14:paraId="02077636">
            <w:pPr>
              <w:spacing w:before="37" w:line="235" w:lineRule="auto"/>
              <w:ind w:right="681"/>
              <w:rPr>
                <w:rFonts w:eastAsia="Times New Roman"/>
                <w:szCs w:val="21"/>
              </w:rPr>
            </w:pPr>
            <w:r>
              <w:rPr>
                <w:spacing w:val="-5"/>
                <w:szCs w:val="21"/>
              </w:rPr>
              <w:t>急性毒性</w:t>
            </w:r>
            <w:r>
              <w:rPr>
                <w:rFonts w:eastAsia="Times New Roman"/>
                <w:spacing w:val="-5"/>
                <w:szCs w:val="21"/>
              </w:rPr>
              <w:t>-</w:t>
            </w:r>
            <w:r>
              <w:rPr>
                <w:spacing w:val="-5"/>
                <w:szCs w:val="21"/>
              </w:rPr>
              <w:t>经口</w:t>
            </w:r>
            <w:r>
              <w:rPr>
                <w:rFonts w:eastAsia="Times New Roman"/>
                <w:spacing w:val="-5"/>
                <w:szCs w:val="21"/>
              </w:rPr>
              <w:t>,</w:t>
            </w:r>
            <w:r>
              <w:rPr>
                <w:spacing w:val="-5"/>
                <w:szCs w:val="21"/>
              </w:rPr>
              <w:t xml:space="preserve">类别 </w:t>
            </w:r>
            <w:r>
              <w:rPr>
                <w:rFonts w:eastAsia="Times New Roman"/>
                <w:spacing w:val="-5"/>
                <w:szCs w:val="21"/>
              </w:rPr>
              <w:t>3</w:t>
            </w:r>
            <w:r>
              <w:rPr>
                <w:rFonts w:eastAsia="Times New Roman"/>
                <w:spacing w:val="-4"/>
                <w:szCs w:val="21"/>
              </w:rPr>
              <w:t>*</w:t>
            </w:r>
          </w:p>
          <w:p w14:paraId="21BB8D4F">
            <w:pPr>
              <w:spacing w:before="37" w:line="235" w:lineRule="auto"/>
              <w:ind w:right="681"/>
              <w:rPr>
                <w:rFonts w:eastAsia="Times New Roman"/>
                <w:szCs w:val="21"/>
              </w:rPr>
            </w:pPr>
            <w:r>
              <w:rPr>
                <w:spacing w:val="-6"/>
                <w:szCs w:val="21"/>
              </w:rPr>
              <w:t>急性毒</w:t>
            </w:r>
            <w:r>
              <w:rPr>
                <w:spacing w:val="-3"/>
                <w:szCs w:val="21"/>
              </w:rPr>
              <w:t>性</w:t>
            </w:r>
            <w:r>
              <w:rPr>
                <w:rFonts w:eastAsia="Times New Roman"/>
                <w:spacing w:val="-3"/>
                <w:szCs w:val="21"/>
              </w:rPr>
              <w:t>-</w:t>
            </w:r>
            <w:r>
              <w:rPr>
                <w:spacing w:val="-3"/>
                <w:szCs w:val="21"/>
              </w:rPr>
              <w:t>经皮</w:t>
            </w:r>
            <w:r>
              <w:rPr>
                <w:rFonts w:eastAsia="Times New Roman"/>
                <w:spacing w:val="-3"/>
                <w:szCs w:val="21"/>
              </w:rPr>
              <w:t>,</w:t>
            </w:r>
            <w:r>
              <w:rPr>
                <w:spacing w:val="-3"/>
                <w:szCs w:val="21"/>
              </w:rPr>
              <w:t xml:space="preserve">类别 </w:t>
            </w:r>
            <w:r>
              <w:rPr>
                <w:rFonts w:eastAsia="Times New Roman"/>
                <w:spacing w:val="-3"/>
                <w:szCs w:val="21"/>
              </w:rPr>
              <w:t>3*</w:t>
            </w:r>
          </w:p>
          <w:p w14:paraId="2BBC09A5">
            <w:pPr>
              <w:spacing w:before="37" w:line="235" w:lineRule="auto"/>
              <w:ind w:right="681"/>
              <w:rPr>
                <w:rFonts w:eastAsia="Times New Roman"/>
                <w:szCs w:val="21"/>
              </w:rPr>
            </w:pPr>
            <w:r>
              <w:rPr>
                <w:spacing w:val="-6"/>
                <w:szCs w:val="21"/>
              </w:rPr>
              <w:t>急性毒</w:t>
            </w:r>
            <w:r>
              <w:rPr>
                <w:spacing w:val="-3"/>
                <w:szCs w:val="21"/>
              </w:rPr>
              <w:t>性</w:t>
            </w:r>
            <w:r>
              <w:rPr>
                <w:rFonts w:eastAsia="Times New Roman"/>
                <w:spacing w:val="-3"/>
                <w:szCs w:val="21"/>
              </w:rPr>
              <w:t>-</w:t>
            </w:r>
            <w:r>
              <w:rPr>
                <w:spacing w:val="-3"/>
                <w:szCs w:val="21"/>
              </w:rPr>
              <w:t>吸入</w:t>
            </w:r>
            <w:r>
              <w:rPr>
                <w:rFonts w:eastAsia="Times New Roman"/>
                <w:spacing w:val="-3"/>
                <w:szCs w:val="21"/>
              </w:rPr>
              <w:t>,</w:t>
            </w:r>
            <w:r>
              <w:rPr>
                <w:spacing w:val="-3"/>
                <w:szCs w:val="21"/>
              </w:rPr>
              <w:t xml:space="preserve">类别 </w:t>
            </w:r>
            <w:r>
              <w:rPr>
                <w:rFonts w:eastAsia="Times New Roman"/>
                <w:spacing w:val="-3"/>
                <w:szCs w:val="21"/>
              </w:rPr>
              <w:t>3*</w:t>
            </w:r>
          </w:p>
          <w:p w14:paraId="28CF79CC">
            <w:pPr>
              <w:spacing w:before="37" w:line="235" w:lineRule="auto"/>
              <w:ind w:right="681"/>
              <w:rPr>
                <w:rFonts w:eastAsia="Times New Roman"/>
                <w:szCs w:val="21"/>
              </w:rPr>
            </w:pPr>
            <w:r>
              <w:rPr>
                <w:spacing w:val="-5"/>
                <w:szCs w:val="21"/>
              </w:rPr>
              <w:t>皮肤腐蚀</w:t>
            </w:r>
            <w:r>
              <w:rPr>
                <w:rFonts w:eastAsia="Times New Roman"/>
                <w:spacing w:val="-5"/>
                <w:szCs w:val="21"/>
              </w:rPr>
              <w:t>/</w:t>
            </w:r>
            <w:r>
              <w:rPr>
                <w:spacing w:val="-5"/>
                <w:szCs w:val="21"/>
              </w:rPr>
              <w:t>刺激</w:t>
            </w:r>
            <w:r>
              <w:rPr>
                <w:rFonts w:eastAsia="Times New Roman"/>
                <w:spacing w:val="-5"/>
                <w:szCs w:val="21"/>
              </w:rPr>
              <w:t>,</w:t>
            </w:r>
            <w:r>
              <w:rPr>
                <w:spacing w:val="-5"/>
                <w:szCs w:val="21"/>
              </w:rPr>
              <w:t xml:space="preserve">类别 </w:t>
            </w:r>
            <w:r>
              <w:rPr>
                <w:rFonts w:eastAsia="Times New Roman"/>
                <w:spacing w:val="-5"/>
                <w:szCs w:val="21"/>
              </w:rPr>
              <w:t>1</w:t>
            </w:r>
            <w:r>
              <w:rPr>
                <w:rFonts w:eastAsia="Times New Roman"/>
                <w:spacing w:val="-3"/>
                <w:szCs w:val="21"/>
              </w:rPr>
              <w:t>B</w:t>
            </w:r>
          </w:p>
          <w:p w14:paraId="1C931824">
            <w:pPr>
              <w:spacing w:before="19" w:line="239" w:lineRule="auto"/>
              <w:ind w:right="541"/>
              <w:rPr>
                <w:rFonts w:eastAsia="Times New Roman"/>
                <w:szCs w:val="21"/>
              </w:rPr>
            </w:pPr>
            <w:r>
              <w:rPr>
                <w:spacing w:val="-7"/>
                <w:szCs w:val="21"/>
              </w:rPr>
              <w:t>严</w:t>
            </w:r>
            <w:r>
              <w:rPr>
                <w:spacing w:val="-4"/>
                <w:szCs w:val="21"/>
              </w:rPr>
              <w:t>重眼损伤</w:t>
            </w:r>
            <w:r>
              <w:rPr>
                <w:rFonts w:eastAsia="Times New Roman"/>
                <w:spacing w:val="-4"/>
                <w:szCs w:val="21"/>
              </w:rPr>
              <w:t>/</w:t>
            </w:r>
            <w:r>
              <w:rPr>
                <w:spacing w:val="-4"/>
                <w:szCs w:val="21"/>
              </w:rPr>
              <w:t>眼刺激</w:t>
            </w:r>
            <w:r>
              <w:rPr>
                <w:rFonts w:eastAsia="Times New Roman"/>
                <w:spacing w:val="-4"/>
                <w:szCs w:val="21"/>
              </w:rPr>
              <w:t>,</w:t>
            </w:r>
            <w:r>
              <w:rPr>
                <w:spacing w:val="-4"/>
                <w:szCs w:val="21"/>
              </w:rPr>
              <w:t xml:space="preserve">类别 </w:t>
            </w:r>
            <w:r>
              <w:rPr>
                <w:rFonts w:eastAsia="Times New Roman"/>
                <w:spacing w:val="-4"/>
                <w:szCs w:val="21"/>
              </w:rPr>
              <w:t>1</w:t>
            </w:r>
          </w:p>
          <w:p w14:paraId="1442BEF7">
            <w:pPr>
              <w:spacing w:before="19" w:line="239" w:lineRule="auto"/>
              <w:ind w:right="541"/>
              <w:rPr>
                <w:rFonts w:eastAsia="Times New Roman"/>
                <w:szCs w:val="21"/>
              </w:rPr>
            </w:pPr>
            <w:r>
              <w:rPr>
                <w:spacing w:val="-7"/>
                <w:szCs w:val="21"/>
              </w:rPr>
              <w:t>生</w:t>
            </w:r>
            <w:r>
              <w:rPr>
                <w:spacing w:val="-4"/>
                <w:szCs w:val="21"/>
              </w:rPr>
              <w:t>殖细胞致突变性</w:t>
            </w:r>
            <w:r>
              <w:rPr>
                <w:rFonts w:eastAsia="Times New Roman"/>
                <w:spacing w:val="-4"/>
                <w:szCs w:val="21"/>
              </w:rPr>
              <w:t>,</w:t>
            </w:r>
            <w:r>
              <w:rPr>
                <w:spacing w:val="-4"/>
                <w:szCs w:val="21"/>
              </w:rPr>
              <w:t xml:space="preserve">类别 </w:t>
            </w:r>
            <w:r>
              <w:rPr>
                <w:rFonts w:eastAsia="Times New Roman"/>
                <w:spacing w:val="-4"/>
                <w:szCs w:val="21"/>
              </w:rPr>
              <w:t>2</w:t>
            </w:r>
          </w:p>
          <w:p w14:paraId="2AD3522F">
            <w:pPr>
              <w:spacing w:line="223" w:lineRule="auto"/>
              <w:ind w:right="193"/>
              <w:rPr>
                <w:rFonts w:eastAsia="Times New Roman"/>
                <w:szCs w:val="21"/>
              </w:rPr>
            </w:pPr>
            <w:r>
              <w:rPr>
                <w:spacing w:val="-1"/>
                <w:szCs w:val="21"/>
              </w:rPr>
              <w:t>特异性靶器官</w:t>
            </w:r>
            <w:r>
              <w:rPr>
                <w:szCs w:val="21"/>
              </w:rPr>
              <w:t>毒性</w:t>
            </w:r>
            <w:r>
              <w:rPr>
                <w:rFonts w:eastAsia="Times New Roman"/>
                <w:szCs w:val="21"/>
              </w:rPr>
              <w:t>-</w:t>
            </w:r>
            <w:r>
              <w:rPr>
                <w:szCs w:val="21"/>
              </w:rPr>
              <w:t>反复接触</w:t>
            </w:r>
            <w:r>
              <w:rPr>
                <w:rFonts w:eastAsia="Times New Roman"/>
                <w:szCs w:val="21"/>
              </w:rPr>
              <w:t>,</w:t>
            </w:r>
            <w:r>
              <w:rPr>
                <w:szCs w:val="21"/>
              </w:rPr>
              <w:t xml:space="preserve">类别 </w:t>
            </w:r>
            <w:r>
              <w:rPr>
                <w:rFonts w:eastAsia="Times New Roman"/>
                <w:spacing w:val="-1"/>
                <w:szCs w:val="21"/>
              </w:rPr>
              <w:t>2</w:t>
            </w:r>
            <w:r>
              <w:rPr>
                <w:rFonts w:eastAsia="Times New Roman"/>
                <w:szCs w:val="21"/>
              </w:rPr>
              <w:t>*</w:t>
            </w:r>
          </w:p>
          <w:p w14:paraId="2D421084">
            <w:pPr>
              <w:spacing w:line="223" w:lineRule="auto"/>
              <w:ind w:right="193"/>
              <w:rPr>
                <w:rFonts w:eastAsia="Times New Roman"/>
                <w:szCs w:val="21"/>
              </w:rPr>
            </w:pPr>
            <w:r>
              <w:rPr>
                <w:spacing w:val="-6"/>
                <w:szCs w:val="21"/>
              </w:rPr>
              <w:t>危害水生</w:t>
            </w:r>
            <w:r>
              <w:rPr>
                <w:spacing w:val="-3"/>
                <w:szCs w:val="21"/>
              </w:rPr>
              <w:t>环境</w:t>
            </w:r>
            <w:r>
              <w:rPr>
                <w:rFonts w:eastAsia="Times New Roman"/>
                <w:spacing w:val="-3"/>
                <w:szCs w:val="21"/>
              </w:rPr>
              <w:t>-</w:t>
            </w:r>
            <w:r>
              <w:rPr>
                <w:spacing w:val="-3"/>
                <w:szCs w:val="21"/>
              </w:rPr>
              <w:t>急性危害</w:t>
            </w:r>
            <w:r>
              <w:rPr>
                <w:rFonts w:eastAsia="Times New Roman"/>
                <w:spacing w:val="-3"/>
                <w:szCs w:val="21"/>
              </w:rPr>
              <w:t>,</w:t>
            </w:r>
            <w:r>
              <w:rPr>
                <w:spacing w:val="-3"/>
                <w:szCs w:val="21"/>
              </w:rPr>
              <w:t xml:space="preserve">类别 </w:t>
            </w:r>
            <w:r>
              <w:rPr>
                <w:rFonts w:eastAsia="Times New Roman"/>
                <w:spacing w:val="-3"/>
                <w:szCs w:val="21"/>
              </w:rPr>
              <w:t>2</w:t>
            </w:r>
          </w:p>
          <w:p w14:paraId="7814519B">
            <w:pPr>
              <w:spacing w:line="223" w:lineRule="auto"/>
              <w:ind w:right="193"/>
              <w:rPr>
                <w:rFonts w:eastAsia="Times New Roman"/>
                <w:szCs w:val="21"/>
              </w:rPr>
            </w:pPr>
            <w:r>
              <w:rPr>
                <w:spacing w:val="-6"/>
                <w:szCs w:val="21"/>
              </w:rPr>
              <w:t>危害水生</w:t>
            </w:r>
            <w:r>
              <w:rPr>
                <w:spacing w:val="-3"/>
                <w:szCs w:val="21"/>
              </w:rPr>
              <w:t>环境</w:t>
            </w:r>
            <w:r>
              <w:rPr>
                <w:rFonts w:eastAsia="Times New Roman"/>
                <w:spacing w:val="-3"/>
                <w:szCs w:val="21"/>
              </w:rPr>
              <w:t>-</w:t>
            </w:r>
            <w:r>
              <w:rPr>
                <w:spacing w:val="-3"/>
                <w:szCs w:val="21"/>
              </w:rPr>
              <w:t>长期危害</w:t>
            </w:r>
            <w:r>
              <w:rPr>
                <w:rFonts w:eastAsia="Times New Roman"/>
                <w:spacing w:val="-3"/>
                <w:szCs w:val="21"/>
              </w:rPr>
              <w:t>,</w:t>
            </w:r>
            <w:r>
              <w:rPr>
                <w:spacing w:val="-3"/>
                <w:szCs w:val="21"/>
              </w:rPr>
              <w:t xml:space="preserve">类别 </w:t>
            </w:r>
            <w:r>
              <w:rPr>
                <w:rFonts w:eastAsia="Times New Roman"/>
                <w:spacing w:val="-3"/>
                <w:szCs w:val="21"/>
              </w:rPr>
              <w:t>2</w:t>
            </w:r>
          </w:p>
        </w:tc>
        <w:tc>
          <w:tcPr>
            <w:tcW w:w="1200" w:type="dxa"/>
          </w:tcPr>
          <w:p w14:paraId="18A5813F">
            <w:pPr>
              <w:spacing w:line="307" w:lineRule="auto"/>
            </w:pPr>
          </w:p>
          <w:p w14:paraId="15E07102">
            <w:pPr>
              <w:spacing w:line="307" w:lineRule="auto"/>
            </w:pPr>
          </w:p>
          <w:p w14:paraId="554C92DB">
            <w:pPr>
              <w:spacing w:line="308" w:lineRule="auto"/>
            </w:pPr>
          </w:p>
          <w:p w14:paraId="4028CC8B">
            <w:pPr>
              <w:spacing w:before="60" w:line="187" w:lineRule="auto"/>
              <w:ind w:left="673"/>
              <w:rPr>
                <w:rFonts w:eastAsia="Times New Roman"/>
                <w:szCs w:val="21"/>
              </w:rPr>
            </w:pPr>
            <w:r>
              <w:rPr>
                <w:rFonts w:eastAsia="Times New Roman"/>
                <w:spacing w:val="-1"/>
                <w:szCs w:val="21"/>
              </w:rPr>
              <w:t>0.24</w:t>
            </w:r>
          </w:p>
        </w:tc>
        <w:tc>
          <w:tcPr>
            <w:tcW w:w="975" w:type="dxa"/>
          </w:tcPr>
          <w:p w14:paraId="03F7970D">
            <w:pPr>
              <w:spacing w:line="293" w:lineRule="auto"/>
            </w:pPr>
          </w:p>
          <w:p w14:paraId="7D80EA24">
            <w:pPr>
              <w:spacing w:line="293" w:lineRule="auto"/>
            </w:pPr>
          </w:p>
          <w:p w14:paraId="2691C32B">
            <w:pPr>
              <w:spacing w:line="294" w:lineRule="auto"/>
            </w:pPr>
          </w:p>
          <w:p w14:paraId="4016BE55">
            <w:pPr>
              <w:spacing w:before="68" w:line="221" w:lineRule="auto"/>
              <w:ind w:left="331"/>
              <w:rPr>
                <w:szCs w:val="21"/>
              </w:rPr>
            </w:pPr>
            <w:r>
              <w:rPr>
                <w:spacing w:val="-4"/>
                <w:szCs w:val="21"/>
              </w:rPr>
              <w:t>丙</w:t>
            </w:r>
            <w:r>
              <w:rPr>
                <w:spacing w:val="-2"/>
                <w:szCs w:val="21"/>
              </w:rPr>
              <w:t>类</w:t>
            </w:r>
          </w:p>
        </w:tc>
      </w:tr>
      <w:tr w14:paraId="02C75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851E61E">
            <w:pPr>
              <w:spacing w:line="259" w:lineRule="auto"/>
            </w:pPr>
          </w:p>
          <w:p w14:paraId="3DEBA1ED">
            <w:pPr>
              <w:spacing w:before="60" w:line="187" w:lineRule="auto"/>
              <w:ind w:left="168"/>
              <w:rPr>
                <w:rFonts w:eastAsia="Times New Roman"/>
                <w:szCs w:val="21"/>
              </w:rPr>
            </w:pPr>
            <w:r>
              <w:rPr>
                <w:rFonts w:eastAsia="Times New Roman"/>
                <w:spacing w:val="-1"/>
                <w:szCs w:val="21"/>
              </w:rPr>
              <w:t>49</w:t>
            </w:r>
          </w:p>
        </w:tc>
        <w:tc>
          <w:tcPr>
            <w:tcW w:w="1020" w:type="dxa"/>
          </w:tcPr>
          <w:p w14:paraId="707CF3C2">
            <w:pPr>
              <w:spacing w:before="285" w:line="221" w:lineRule="auto"/>
              <w:rPr>
                <w:szCs w:val="21"/>
              </w:rPr>
            </w:pPr>
            <w:r>
              <w:rPr>
                <w:spacing w:val="-7"/>
                <w:szCs w:val="21"/>
              </w:rPr>
              <w:t>乙</w:t>
            </w:r>
            <w:r>
              <w:rPr>
                <w:spacing w:val="-5"/>
                <w:szCs w:val="21"/>
              </w:rPr>
              <w:t>炔</w:t>
            </w:r>
          </w:p>
        </w:tc>
        <w:tc>
          <w:tcPr>
            <w:tcW w:w="1025" w:type="dxa"/>
          </w:tcPr>
          <w:p w14:paraId="633E99B8">
            <w:pPr>
              <w:spacing w:line="259" w:lineRule="auto"/>
            </w:pPr>
          </w:p>
          <w:p w14:paraId="5BD0DCBA">
            <w:pPr>
              <w:spacing w:before="60" w:line="187" w:lineRule="auto"/>
              <w:ind w:left="257"/>
              <w:rPr>
                <w:rFonts w:eastAsia="Times New Roman"/>
                <w:szCs w:val="21"/>
              </w:rPr>
            </w:pPr>
            <w:r>
              <w:rPr>
                <w:rFonts w:eastAsia="Times New Roman"/>
                <w:spacing w:val="-1"/>
                <w:szCs w:val="21"/>
              </w:rPr>
              <w:t>26</w:t>
            </w:r>
            <w:r>
              <w:rPr>
                <w:rFonts w:eastAsia="Times New Roman"/>
                <w:szCs w:val="21"/>
              </w:rPr>
              <w:t>29</w:t>
            </w:r>
          </w:p>
        </w:tc>
        <w:tc>
          <w:tcPr>
            <w:tcW w:w="3687" w:type="dxa"/>
          </w:tcPr>
          <w:p w14:paraId="56C38CE7">
            <w:pPr>
              <w:spacing w:before="33" w:line="213" w:lineRule="auto"/>
              <w:rPr>
                <w:rFonts w:eastAsia="Times New Roman"/>
                <w:szCs w:val="21"/>
              </w:rPr>
            </w:pPr>
            <w:r>
              <w:rPr>
                <w:spacing w:val="-7"/>
                <w:szCs w:val="21"/>
              </w:rPr>
              <w:t>易</w:t>
            </w:r>
            <w:r>
              <w:rPr>
                <w:spacing w:val="-5"/>
                <w:szCs w:val="21"/>
              </w:rPr>
              <w:t>燃气体</w:t>
            </w:r>
            <w:r>
              <w:rPr>
                <w:rFonts w:eastAsia="Times New Roman"/>
                <w:spacing w:val="-5"/>
                <w:szCs w:val="21"/>
              </w:rPr>
              <w:t>,</w:t>
            </w:r>
            <w:r>
              <w:rPr>
                <w:spacing w:val="-5"/>
                <w:szCs w:val="21"/>
              </w:rPr>
              <w:t>类别</w:t>
            </w:r>
            <w:r>
              <w:rPr>
                <w:rFonts w:eastAsia="Times New Roman"/>
                <w:spacing w:val="-5"/>
                <w:szCs w:val="21"/>
              </w:rPr>
              <w:t>1</w:t>
            </w:r>
          </w:p>
          <w:p w14:paraId="396BC549">
            <w:pPr>
              <w:spacing w:before="31" w:line="213" w:lineRule="auto"/>
              <w:rPr>
                <w:rFonts w:eastAsia="Times New Roman"/>
                <w:szCs w:val="21"/>
              </w:rPr>
            </w:pPr>
            <w:r>
              <w:rPr>
                <w:spacing w:val="-8"/>
                <w:szCs w:val="21"/>
              </w:rPr>
              <w:t>化</w:t>
            </w:r>
            <w:r>
              <w:rPr>
                <w:spacing w:val="-7"/>
                <w:szCs w:val="21"/>
              </w:rPr>
              <w:t>学</w:t>
            </w:r>
            <w:r>
              <w:rPr>
                <w:spacing w:val="-4"/>
                <w:szCs w:val="21"/>
              </w:rPr>
              <w:t>不稳定性气体</w:t>
            </w:r>
            <w:r>
              <w:rPr>
                <w:rFonts w:eastAsia="Times New Roman"/>
                <w:spacing w:val="-4"/>
                <w:szCs w:val="21"/>
              </w:rPr>
              <w:t>,</w:t>
            </w:r>
            <w:r>
              <w:rPr>
                <w:spacing w:val="-4"/>
                <w:szCs w:val="21"/>
              </w:rPr>
              <w:t>类别</w:t>
            </w:r>
            <w:r>
              <w:rPr>
                <w:rFonts w:eastAsia="Times New Roman"/>
                <w:spacing w:val="-4"/>
                <w:szCs w:val="21"/>
              </w:rPr>
              <w:t>A</w:t>
            </w:r>
          </w:p>
          <w:p w14:paraId="7E8F32D8">
            <w:pPr>
              <w:spacing w:before="28" w:line="215" w:lineRule="auto"/>
              <w:rPr>
                <w:szCs w:val="21"/>
              </w:rPr>
            </w:pPr>
            <w:r>
              <w:rPr>
                <w:spacing w:val="-2"/>
                <w:szCs w:val="21"/>
              </w:rPr>
              <w:t>加</w:t>
            </w:r>
            <w:r>
              <w:rPr>
                <w:spacing w:val="-1"/>
                <w:szCs w:val="21"/>
              </w:rPr>
              <w:t>压气体</w:t>
            </w:r>
          </w:p>
        </w:tc>
        <w:tc>
          <w:tcPr>
            <w:tcW w:w="1200" w:type="dxa"/>
          </w:tcPr>
          <w:p w14:paraId="21F0251F">
            <w:pPr>
              <w:spacing w:line="259" w:lineRule="auto"/>
            </w:pPr>
          </w:p>
          <w:p w14:paraId="03B181BE">
            <w:pPr>
              <w:spacing w:before="60" w:line="187" w:lineRule="auto"/>
              <w:ind w:left="673"/>
              <w:rPr>
                <w:rFonts w:eastAsia="Times New Roman"/>
                <w:szCs w:val="21"/>
              </w:rPr>
            </w:pPr>
            <w:r>
              <w:rPr>
                <w:rFonts w:eastAsia="Times New Roman"/>
                <w:spacing w:val="-1"/>
                <w:szCs w:val="21"/>
              </w:rPr>
              <w:t>0.02</w:t>
            </w:r>
          </w:p>
        </w:tc>
        <w:tc>
          <w:tcPr>
            <w:tcW w:w="975" w:type="dxa"/>
          </w:tcPr>
          <w:p w14:paraId="6C4FAF56">
            <w:pPr>
              <w:spacing w:before="284" w:line="221" w:lineRule="auto"/>
              <w:ind w:left="354"/>
              <w:rPr>
                <w:szCs w:val="21"/>
              </w:rPr>
            </w:pPr>
            <w:r>
              <w:rPr>
                <w:spacing w:val="-9"/>
                <w:szCs w:val="21"/>
              </w:rPr>
              <w:t>甲</w:t>
            </w:r>
            <w:r>
              <w:rPr>
                <w:spacing w:val="-8"/>
                <w:szCs w:val="21"/>
              </w:rPr>
              <w:t>类</w:t>
            </w:r>
          </w:p>
        </w:tc>
      </w:tr>
      <w:tr w14:paraId="21822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10EB040">
            <w:pPr>
              <w:spacing w:before="171" w:line="187" w:lineRule="auto"/>
              <w:ind w:left="175"/>
              <w:rPr>
                <w:rFonts w:eastAsia="Times New Roman"/>
                <w:szCs w:val="21"/>
              </w:rPr>
            </w:pPr>
            <w:r>
              <w:rPr>
                <w:rFonts w:eastAsia="Times New Roman"/>
                <w:spacing w:val="-3"/>
                <w:szCs w:val="21"/>
              </w:rPr>
              <w:t>5</w:t>
            </w:r>
            <w:r>
              <w:rPr>
                <w:rFonts w:eastAsia="Times New Roman"/>
                <w:spacing w:val="-2"/>
                <w:szCs w:val="21"/>
              </w:rPr>
              <w:t>0</w:t>
            </w:r>
          </w:p>
        </w:tc>
        <w:tc>
          <w:tcPr>
            <w:tcW w:w="1020" w:type="dxa"/>
          </w:tcPr>
          <w:p w14:paraId="72F099F7">
            <w:pPr>
              <w:spacing w:before="135" w:line="221" w:lineRule="auto"/>
              <w:rPr>
                <w:szCs w:val="21"/>
              </w:rPr>
            </w:pPr>
            <w:r>
              <w:rPr>
                <w:spacing w:val="-2"/>
                <w:szCs w:val="21"/>
              </w:rPr>
              <w:t>升华</w:t>
            </w:r>
            <w:r>
              <w:rPr>
                <w:spacing w:val="-1"/>
                <w:szCs w:val="21"/>
              </w:rPr>
              <w:t>硫</w:t>
            </w:r>
          </w:p>
        </w:tc>
        <w:tc>
          <w:tcPr>
            <w:tcW w:w="1025" w:type="dxa"/>
          </w:tcPr>
          <w:p w14:paraId="535B9381">
            <w:pPr>
              <w:spacing w:before="171" w:line="187" w:lineRule="auto"/>
              <w:ind w:left="278"/>
              <w:rPr>
                <w:rFonts w:eastAsia="Times New Roman"/>
                <w:szCs w:val="21"/>
              </w:rPr>
            </w:pPr>
            <w:r>
              <w:rPr>
                <w:rFonts w:eastAsia="Times New Roman"/>
                <w:spacing w:val="-5"/>
                <w:szCs w:val="21"/>
              </w:rPr>
              <w:t>1</w:t>
            </w:r>
            <w:r>
              <w:rPr>
                <w:rFonts w:eastAsia="Times New Roman"/>
                <w:spacing w:val="-4"/>
                <w:szCs w:val="21"/>
              </w:rPr>
              <w:t>290</w:t>
            </w:r>
          </w:p>
        </w:tc>
        <w:tc>
          <w:tcPr>
            <w:tcW w:w="3687" w:type="dxa"/>
          </w:tcPr>
          <w:p w14:paraId="6F9E6D43">
            <w:pPr>
              <w:spacing w:before="156" w:line="219" w:lineRule="auto"/>
              <w:rPr>
                <w:szCs w:val="21"/>
              </w:rPr>
            </w:pPr>
            <w:r>
              <w:rPr>
                <w:spacing w:val="-7"/>
                <w:szCs w:val="21"/>
              </w:rPr>
              <w:t>易燃固体,类别 2</w:t>
            </w:r>
          </w:p>
        </w:tc>
        <w:tc>
          <w:tcPr>
            <w:tcW w:w="1200" w:type="dxa"/>
          </w:tcPr>
          <w:p w14:paraId="1989B0AE">
            <w:pPr>
              <w:spacing w:before="171" w:line="187" w:lineRule="auto"/>
              <w:ind w:left="673"/>
              <w:rPr>
                <w:rFonts w:eastAsia="Times New Roman"/>
                <w:szCs w:val="21"/>
              </w:rPr>
            </w:pPr>
            <w:r>
              <w:rPr>
                <w:rFonts w:eastAsia="Times New Roman"/>
                <w:spacing w:val="-1"/>
                <w:szCs w:val="21"/>
              </w:rPr>
              <w:t>0.15</w:t>
            </w:r>
          </w:p>
        </w:tc>
        <w:tc>
          <w:tcPr>
            <w:tcW w:w="975" w:type="dxa"/>
          </w:tcPr>
          <w:p w14:paraId="48D8B6B1">
            <w:pPr>
              <w:spacing w:before="134" w:line="221" w:lineRule="auto"/>
              <w:ind w:left="344"/>
              <w:rPr>
                <w:szCs w:val="21"/>
              </w:rPr>
            </w:pPr>
            <w:r>
              <w:rPr>
                <w:spacing w:val="-7"/>
                <w:szCs w:val="21"/>
              </w:rPr>
              <w:t>乙</w:t>
            </w:r>
            <w:r>
              <w:rPr>
                <w:spacing w:val="-5"/>
                <w:szCs w:val="21"/>
              </w:rPr>
              <w:t>类</w:t>
            </w:r>
          </w:p>
        </w:tc>
      </w:tr>
      <w:tr w14:paraId="0B496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599FC0FC">
            <w:pPr>
              <w:spacing w:before="134" w:line="221" w:lineRule="auto"/>
              <w:ind w:left="344"/>
              <w:jc w:val="center"/>
              <w:rPr>
                <w:spacing w:val="-7"/>
                <w:szCs w:val="21"/>
              </w:rPr>
            </w:pPr>
            <w:r>
              <w:rPr>
                <w:spacing w:val="-7"/>
                <w:szCs w:val="21"/>
              </w:rPr>
              <w:t>淮南锦德生物科技有限公司</w:t>
            </w:r>
          </w:p>
        </w:tc>
      </w:tr>
      <w:tr w14:paraId="73E59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E80B03A">
            <w:pPr>
              <w:spacing w:before="171" w:line="187" w:lineRule="auto"/>
              <w:ind w:left="175"/>
              <w:rPr>
                <w:spacing w:val="-3"/>
                <w:szCs w:val="21"/>
              </w:rPr>
            </w:pPr>
            <w:r>
              <w:rPr>
                <w:spacing w:val="-3"/>
                <w:szCs w:val="21"/>
              </w:rPr>
              <w:t>51</w:t>
            </w:r>
          </w:p>
        </w:tc>
        <w:tc>
          <w:tcPr>
            <w:tcW w:w="1020" w:type="dxa"/>
          </w:tcPr>
          <w:p w14:paraId="130AB6DD">
            <w:pPr>
              <w:widowControl/>
              <w:jc w:val="left"/>
              <w:rPr>
                <w:spacing w:val="-2"/>
                <w:szCs w:val="21"/>
              </w:rPr>
            </w:pPr>
            <w:r>
              <w:rPr>
                <w:kern w:val="0"/>
                <w:szCs w:val="21"/>
              </w:rPr>
              <w:t>镁屑</w:t>
            </w:r>
          </w:p>
        </w:tc>
        <w:tc>
          <w:tcPr>
            <w:tcW w:w="1025" w:type="dxa"/>
          </w:tcPr>
          <w:p w14:paraId="46B19094">
            <w:pPr>
              <w:spacing w:before="171" w:line="187" w:lineRule="auto"/>
              <w:ind w:left="278"/>
              <w:rPr>
                <w:spacing w:val="-5"/>
                <w:szCs w:val="21"/>
              </w:rPr>
            </w:pPr>
            <w:r>
              <w:rPr>
                <w:spacing w:val="-5"/>
                <w:szCs w:val="21"/>
              </w:rPr>
              <w:t>1572</w:t>
            </w:r>
          </w:p>
        </w:tc>
        <w:tc>
          <w:tcPr>
            <w:tcW w:w="3687" w:type="dxa"/>
          </w:tcPr>
          <w:p w14:paraId="01C9F032">
            <w:pPr>
              <w:widowControl/>
              <w:jc w:val="left"/>
              <w:rPr>
                <w:szCs w:val="21"/>
              </w:rPr>
            </w:pPr>
            <w:r>
              <w:rPr>
                <w:kern w:val="0"/>
                <w:szCs w:val="21"/>
              </w:rPr>
              <w:t>丸状、旋屑或带状：</w:t>
            </w:r>
          </w:p>
          <w:p w14:paraId="785AD9B3">
            <w:pPr>
              <w:widowControl/>
              <w:jc w:val="left"/>
              <w:rPr>
                <w:spacing w:val="-7"/>
                <w:szCs w:val="21"/>
              </w:rPr>
            </w:pPr>
            <w:r>
              <w:rPr>
                <w:kern w:val="0"/>
                <w:szCs w:val="21"/>
              </w:rPr>
              <w:t>易燃固体,类别2</w:t>
            </w:r>
          </w:p>
        </w:tc>
        <w:tc>
          <w:tcPr>
            <w:tcW w:w="1200" w:type="dxa"/>
          </w:tcPr>
          <w:p w14:paraId="22A3AFFD">
            <w:pPr>
              <w:spacing w:before="171" w:line="187" w:lineRule="auto"/>
              <w:ind w:left="673"/>
              <w:rPr>
                <w:spacing w:val="-1"/>
                <w:szCs w:val="21"/>
              </w:rPr>
            </w:pPr>
            <w:r>
              <w:rPr>
                <w:spacing w:val="-1"/>
                <w:szCs w:val="21"/>
              </w:rPr>
              <w:t>160</w:t>
            </w:r>
          </w:p>
        </w:tc>
        <w:tc>
          <w:tcPr>
            <w:tcW w:w="975" w:type="dxa"/>
          </w:tcPr>
          <w:p w14:paraId="2327E271">
            <w:pPr>
              <w:spacing w:before="134" w:line="221" w:lineRule="auto"/>
              <w:ind w:left="344"/>
              <w:rPr>
                <w:spacing w:val="-7"/>
                <w:szCs w:val="21"/>
              </w:rPr>
            </w:pPr>
            <w:r>
              <w:rPr>
                <w:spacing w:val="-7"/>
                <w:szCs w:val="21"/>
              </w:rPr>
              <w:t>/</w:t>
            </w:r>
          </w:p>
        </w:tc>
      </w:tr>
      <w:tr w14:paraId="742333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77F3C46">
            <w:pPr>
              <w:spacing w:before="171" w:line="187" w:lineRule="auto"/>
              <w:ind w:left="175"/>
              <w:rPr>
                <w:spacing w:val="-3"/>
                <w:szCs w:val="21"/>
              </w:rPr>
            </w:pPr>
            <w:r>
              <w:rPr>
                <w:spacing w:val="-3"/>
                <w:szCs w:val="21"/>
              </w:rPr>
              <w:t>52</w:t>
            </w:r>
          </w:p>
        </w:tc>
        <w:tc>
          <w:tcPr>
            <w:tcW w:w="1020" w:type="dxa"/>
          </w:tcPr>
          <w:p w14:paraId="497641E8">
            <w:pPr>
              <w:widowControl/>
              <w:jc w:val="left"/>
              <w:rPr>
                <w:spacing w:val="-2"/>
                <w:szCs w:val="21"/>
              </w:rPr>
            </w:pPr>
            <w:r>
              <w:rPr>
                <w:kern w:val="0"/>
                <w:szCs w:val="21"/>
              </w:rPr>
              <w:t>氯苯</w:t>
            </w:r>
          </w:p>
        </w:tc>
        <w:tc>
          <w:tcPr>
            <w:tcW w:w="1025" w:type="dxa"/>
          </w:tcPr>
          <w:p w14:paraId="47127DD3">
            <w:pPr>
              <w:spacing w:before="171" w:line="187" w:lineRule="auto"/>
              <w:ind w:left="278"/>
              <w:rPr>
                <w:spacing w:val="-5"/>
                <w:szCs w:val="21"/>
              </w:rPr>
            </w:pPr>
            <w:r>
              <w:rPr>
                <w:spacing w:val="-5"/>
                <w:szCs w:val="21"/>
              </w:rPr>
              <w:t>1414</w:t>
            </w:r>
          </w:p>
        </w:tc>
        <w:tc>
          <w:tcPr>
            <w:tcW w:w="3687" w:type="dxa"/>
          </w:tcPr>
          <w:p w14:paraId="07E45563">
            <w:pPr>
              <w:widowControl/>
              <w:jc w:val="left"/>
              <w:rPr>
                <w:szCs w:val="21"/>
              </w:rPr>
            </w:pPr>
            <w:r>
              <w:rPr>
                <w:kern w:val="0"/>
                <w:szCs w:val="21"/>
              </w:rPr>
              <w:t xml:space="preserve">易燃液体,类别 3；危害水生环境- </w:t>
            </w:r>
          </w:p>
          <w:p w14:paraId="70F51443">
            <w:pPr>
              <w:widowControl/>
              <w:jc w:val="left"/>
              <w:rPr>
                <w:szCs w:val="21"/>
              </w:rPr>
            </w:pPr>
            <w:r>
              <w:rPr>
                <w:kern w:val="0"/>
                <w:szCs w:val="21"/>
              </w:rPr>
              <w:t xml:space="preserve">急性危害,类别 2；危害水生环境- </w:t>
            </w:r>
          </w:p>
          <w:p w14:paraId="5967EE34">
            <w:pPr>
              <w:widowControl/>
              <w:jc w:val="left"/>
              <w:rPr>
                <w:spacing w:val="-7"/>
                <w:szCs w:val="21"/>
              </w:rPr>
            </w:pPr>
            <w:r>
              <w:rPr>
                <w:kern w:val="0"/>
                <w:szCs w:val="21"/>
              </w:rPr>
              <w:t>长期危害,类别 2</w:t>
            </w:r>
          </w:p>
        </w:tc>
        <w:tc>
          <w:tcPr>
            <w:tcW w:w="1200" w:type="dxa"/>
          </w:tcPr>
          <w:p w14:paraId="42913E2A">
            <w:pPr>
              <w:spacing w:before="171" w:line="187" w:lineRule="auto"/>
              <w:ind w:left="673"/>
              <w:rPr>
                <w:spacing w:val="-1"/>
                <w:szCs w:val="21"/>
              </w:rPr>
            </w:pPr>
            <w:r>
              <w:rPr>
                <w:spacing w:val="-1"/>
                <w:szCs w:val="21"/>
              </w:rPr>
              <w:t>630</w:t>
            </w:r>
          </w:p>
        </w:tc>
        <w:tc>
          <w:tcPr>
            <w:tcW w:w="975" w:type="dxa"/>
          </w:tcPr>
          <w:p w14:paraId="7120A5D2">
            <w:pPr>
              <w:widowControl/>
              <w:ind w:firstLine="266" w:firstLineChars="100"/>
              <w:jc w:val="left"/>
              <w:rPr>
                <w:spacing w:val="-7"/>
                <w:szCs w:val="21"/>
              </w:rPr>
            </w:pPr>
            <w:r>
              <w:rPr>
                <w:spacing w:val="-7"/>
                <w:szCs w:val="21"/>
              </w:rPr>
              <w:t>乙</w:t>
            </w:r>
            <w:r>
              <w:rPr>
                <w:spacing w:val="-5"/>
                <w:szCs w:val="21"/>
              </w:rPr>
              <w:t>类</w:t>
            </w:r>
          </w:p>
        </w:tc>
      </w:tr>
      <w:tr w14:paraId="40FD7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022AA08">
            <w:pPr>
              <w:spacing w:before="171" w:line="187" w:lineRule="auto"/>
              <w:ind w:left="175"/>
              <w:rPr>
                <w:spacing w:val="-3"/>
                <w:szCs w:val="21"/>
              </w:rPr>
            </w:pPr>
            <w:r>
              <w:rPr>
                <w:spacing w:val="-3"/>
                <w:szCs w:val="21"/>
              </w:rPr>
              <w:t>53</w:t>
            </w:r>
          </w:p>
        </w:tc>
        <w:tc>
          <w:tcPr>
            <w:tcW w:w="1020" w:type="dxa"/>
          </w:tcPr>
          <w:p w14:paraId="1C736AB4">
            <w:pPr>
              <w:widowControl/>
              <w:jc w:val="left"/>
              <w:rPr>
                <w:spacing w:val="-2"/>
                <w:szCs w:val="21"/>
              </w:rPr>
            </w:pPr>
            <w:r>
              <w:rPr>
                <w:kern w:val="0"/>
                <w:szCs w:val="21"/>
              </w:rPr>
              <w:t>三氯化磷</w:t>
            </w:r>
          </w:p>
        </w:tc>
        <w:tc>
          <w:tcPr>
            <w:tcW w:w="1025" w:type="dxa"/>
          </w:tcPr>
          <w:p w14:paraId="40FC07E5">
            <w:pPr>
              <w:spacing w:before="171" w:line="187" w:lineRule="auto"/>
              <w:ind w:left="278"/>
              <w:rPr>
                <w:spacing w:val="-5"/>
                <w:szCs w:val="21"/>
              </w:rPr>
            </w:pPr>
            <w:r>
              <w:rPr>
                <w:spacing w:val="-5"/>
                <w:szCs w:val="21"/>
              </w:rPr>
              <w:t>1841</w:t>
            </w:r>
          </w:p>
        </w:tc>
        <w:tc>
          <w:tcPr>
            <w:tcW w:w="3687" w:type="dxa"/>
          </w:tcPr>
          <w:p w14:paraId="30D04209">
            <w:pPr>
              <w:widowControl/>
              <w:jc w:val="left"/>
              <w:rPr>
                <w:szCs w:val="21"/>
              </w:rPr>
            </w:pPr>
            <w:r>
              <w:rPr>
                <w:kern w:val="0"/>
                <w:szCs w:val="21"/>
              </w:rPr>
              <w:t xml:space="preserve">急性毒性-经口,类别 2*；急性毒性- </w:t>
            </w:r>
          </w:p>
          <w:p w14:paraId="293AE559">
            <w:pPr>
              <w:widowControl/>
              <w:jc w:val="left"/>
              <w:rPr>
                <w:szCs w:val="21"/>
              </w:rPr>
            </w:pPr>
            <w:r>
              <w:rPr>
                <w:kern w:val="0"/>
                <w:szCs w:val="21"/>
              </w:rPr>
              <w:t>吸入,类别 2* ；皮肤腐蚀/刺激,类别1A；严重眼损伤/眼刺激,类别1；</w:t>
            </w:r>
          </w:p>
          <w:p w14:paraId="27DABF4F">
            <w:pPr>
              <w:widowControl/>
              <w:jc w:val="left"/>
              <w:rPr>
                <w:spacing w:val="-7"/>
                <w:szCs w:val="21"/>
              </w:rPr>
            </w:pPr>
            <w:r>
              <w:rPr>
                <w:kern w:val="0"/>
                <w:szCs w:val="21"/>
              </w:rPr>
              <w:t>特异性靶器官毒性-反复接触,类别2*</w:t>
            </w:r>
          </w:p>
        </w:tc>
        <w:tc>
          <w:tcPr>
            <w:tcW w:w="1200" w:type="dxa"/>
          </w:tcPr>
          <w:p w14:paraId="4CF2190E">
            <w:pPr>
              <w:spacing w:before="171" w:line="187" w:lineRule="auto"/>
              <w:ind w:left="673"/>
              <w:rPr>
                <w:spacing w:val="-1"/>
                <w:szCs w:val="21"/>
              </w:rPr>
            </w:pPr>
            <w:r>
              <w:rPr>
                <w:spacing w:val="-1"/>
                <w:szCs w:val="21"/>
              </w:rPr>
              <w:t>200</w:t>
            </w:r>
          </w:p>
        </w:tc>
        <w:tc>
          <w:tcPr>
            <w:tcW w:w="975" w:type="dxa"/>
          </w:tcPr>
          <w:p w14:paraId="7E3F680E">
            <w:pPr>
              <w:widowControl/>
              <w:jc w:val="center"/>
              <w:rPr>
                <w:szCs w:val="21"/>
              </w:rPr>
            </w:pPr>
            <w:r>
              <w:rPr>
                <w:kern w:val="0"/>
                <w:szCs w:val="21"/>
              </w:rPr>
              <w:t>丙</w:t>
            </w:r>
          </w:p>
          <w:p w14:paraId="1E012CC5">
            <w:pPr>
              <w:spacing w:before="134" w:line="221" w:lineRule="auto"/>
              <w:ind w:left="344"/>
              <w:rPr>
                <w:spacing w:val="-7"/>
                <w:szCs w:val="21"/>
              </w:rPr>
            </w:pPr>
          </w:p>
        </w:tc>
      </w:tr>
      <w:tr w14:paraId="323C4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E7226EC">
            <w:pPr>
              <w:spacing w:before="171" w:line="187" w:lineRule="auto"/>
              <w:ind w:left="175"/>
              <w:rPr>
                <w:spacing w:val="-3"/>
                <w:szCs w:val="21"/>
              </w:rPr>
            </w:pPr>
            <w:r>
              <w:rPr>
                <w:spacing w:val="-3"/>
                <w:szCs w:val="21"/>
              </w:rPr>
              <w:t>54</w:t>
            </w:r>
          </w:p>
        </w:tc>
        <w:tc>
          <w:tcPr>
            <w:tcW w:w="1020" w:type="dxa"/>
          </w:tcPr>
          <w:p w14:paraId="0F336770">
            <w:pPr>
              <w:widowControl/>
              <w:jc w:val="left"/>
              <w:rPr>
                <w:kern w:val="0"/>
                <w:szCs w:val="21"/>
              </w:rPr>
            </w:pPr>
            <w:r>
              <w:rPr>
                <w:kern w:val="0"/>
                <w:szCs w:val="21"/>
              </w:rPr>
              <w:t>甲苯</w:t>
            </w:r>
          </w:p>
        </w:tc>
        <w:tc>
          <w:tcPr>
            <w:tcW w:w="1025" w:type="dxa"/>
          </w:tcPr>
          <w:p w14:paraId="05999C6B">
            <w:pPr>
              <w:spacing w:before="171" w:line="187" w:lineRule="auto"/>
              <w:ind w:left="278"/>
              <w:rPr>
                <w:spacing w:val="-5"/>
                <w:szCs w:val="21"/>
              </w:rPr>
            </w:pPr>
            <w:r>
              <w:rPr>
                <w:spacing w:val="-5"/>
                <w:szCs w:val="21"/>
              </w:rPr>
              <w:t>1014</w:t>
            </w:r>
          </w:p>
        </w:tc>
        <w:tc>
          <w:tcPr>
            <w:tcW w:w="3687" w:type="dxa"/>
          </w:tcPr>
          <w:p w14:paraId="5E014809">
            <w:pPr>
              <w:widowControl/>
              <w:jc w:val="left"/>
              <w:rPr>
                <w:szCs w:val="21"/>
              </w:rPr>
            </w:pPr>
            <w:r>
              <w:rPr>
                <w:kern w:val="0"/>
                <w:szCs w:val="21"/>
              </w:rPr>
              <w:t>易燃液体,类别2；皮肤腐蚀/刺激,类别2；生殖毒性,类别2；特异性靶器官毒性-一次接触,类别3（麻醉效应）；特异性靶器官毒性-反复接触,类别2*；吸入危害,类别1；危害水生环境-急性危害,类别2；危害</w:t>
            </w:r>
          </w:p>
          <w:p w14:paraId="1D6C0172">
            <w:pPr>
              <w:widowControl/>
              <w:jc w:val="left"/>
              <w:rPr>
                <w:kern w:val="0"/>
                <w:szCs w:val="21"/>
              </w:rPr>
            </w:pPr>
            <w:r>
              <w:rPr>
                <w:kern w:val="0"/>
                <w:szCs w:val="21"/>
              </w:rPr>
              <w:t>水生环境-长期危害,类别3</w:t>
            </w:r>
          </w:p>
        </w:tc>
        <w:tc>
          <w:tcPr>
            <w:tcW w:w="1200" w:type="dxa"/>
          </w:tcPr>
          <w:p w14:paraId="1B941614">
            <w:pPr>
              <w:spacing w:before="171" w:line="187" w:lineRule="auto"/>
              <w:ind w:left="673"/>
              <w:rPr>
                <w:spacing w:val="-1"/>
                <w:szCs w:val="21"/>
              </w:rPr>
            </w:pPr>
            <w:r>
              <w:rPr>
                <w:spacing w:val="-1"/>
                <w:szCs w:val="21"/>
              </w:rPr>
              <w:t>50</w:t>
            </w:r>
          </w:p>
        </w:tc>
        <w:tc>
          <w:tcPr>
            <w:tcW w:w="975" w:type="dxa"/>
          </w:tcPr>
          <w:p w14:paraId="26FC662F">
            <w:pPr>
              <w:spacing w:before="134" w:line="221" w:lineRule="auto"/>
              <w:ind w:left="344"/>
              <w:rPr>
                <w:spacing w:val="-7"/>
                <w:szCs w:val="21"/>
              </w:rPr>
            </w:pPr>
            <w:r>
              <w:rPr>
                <w:spacing w:val="-7"/>
                <w:szCs w:val="21"/>
              </w:rPr>
              <w:t>甲</w:t>
            </w:r>
          </w:p>
        </w:tc>
      </w:tr>
      <w:tr w14:paraId="484ACC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926F2FE">
            <w:pPr>
              <w:spacing w:before="171" w:line="187" w:lineRule="auto"/>
              <w:ind w:left="175"/>
              <w:rPr>
                <w:spacing w:val="-3"/>
                <w:szCs w:val="21"/>
              </w:rPr>
            </w:pPr>
            <w:r>
              <w:rPr>
                <w:spacing w:val="-3"/>
                <w:szCs w:val="21"/>
              </w:rPr>
              <w:t>55</w:t>
            </w:r>
          </w:p>
        </w:tc>
        <w:tc>
          <w:tcPr>
            <w:tcW w:w="1020" w:type="dxa"/>
          </w:tcPr>
          <w:p w14:paraId="38CB721F">
            <w:pPr>
              <w:widowControl/>
              <w:jc w:val="left"/>
              <w:rPr>
                <w:szCs w:val="21"/>
              </w:rPr>
            </w:pPr>
            <w:r>
              <w:rPr>
                <w:kern w:val="0"/>
                <w:szCs w:val="21"/>
              </w:rPr>
              <w:t>四氢呋喃</w:t>
            </w:r>
          </w:p>
          <w:p w14:paraId="65F1340B">
            <w:pPr>
              <w:widowControl/>
              <w:jc w:val="left"/>
              <w:rPr>
                <w:kern w:val="0"/>
                <w:szCs w:val="21"/>
              </w:rPr>
            </w:pPr>
          </w:p>
        </w:tc>
        <w:tc>
          <w:tcPr>
            <w:tcW w:w="1025" w:type="dxa"/>
          </w:tcPr>
          <w:p w14:paraId="451A578A">
            <w:pPr>
              <w:spacing w:before="171" w:line="187" w:lineRule="auto"/>
              <w:ind w:left="278"/>
              <w:rPr>
                <w:spacing w:val="-5"/>
                <w:szCs w:val="21"/>
              </w:rPr>
            </w:pPr>
            <w:r>
              <w:rPr>
                <w:spacing w:val="-5"/>
                <w:szCs w:val="21"/>
              </w:rPr>
              <w:t>2071</w:t>
            </w:r>
          </w:p>
        </w:tc>
        <w:tc>
          <w:tcPr>
            <w:tcW w:w="3687" w:type="dxa"/>
          </w:tcPr>
          <w:p w14:paraId="3D5C282F">
            <w:pPr>
              <w:widowControl/>
              <w:jc w:val="left"/>
              <w:rPr>
                <w:kern w:val="0"/>
                <w:szCs w:val="21"/>
              </w:rPr>
            </w:pPr>
            <w:r>
              <w:rPr>
                <w:kern w:val="0"/>
                <w:szCs w:val="21"/>
              </w:rPr>
              <w:t>易燃液体,类别2；</w:t>
            </w:r>
          </w:p>
          <w:p w14:paraId="07237757">
            <w:pPr>
              <w:widowControl/>
              <w:jc w:val="left"/>
              <w:rPr>
                <w:kern w:val="0"/>
                <w:szCs w:val="21"/>
              </w:rPr>
            </w:pPr>
            <w:r>
              <w:rPr>
                <w:kern w:val="0"/>
                <w:szCs w:val="21"/>
              </w:rPr>
              <w:t>严重眼损伤/眼刺激,类别2；</w:t>
            </w:r>
          </w:p>
          <w:p w14:paraId="68BB88EA">
            <w:pPr>
              <w:widowControl/>
              <w:jc w:val="left"/>
              <w:rPr>
                <w:szCs w:val="21"/>
              </w:rPr>
            </w:pPr>
            <w:r>
              <w:rPr>
                <w:kern w:val="0"/>
                <w:szCs w:val="21"/>
              </w:rPr>
              <w:t xml:space="preserve">致癌性,类别2 </w:t>
            </w:r>
          </w:p>
          <w:p w14:paraId="13EDF897">
            <w:pPr>
              <w:widowControl/>
              <w:jc w:val="left"/>
              <w:rPr>
                <w:kern w:val="0"/>
                <w:szCs w:val="21"/>
              </w:rPr>
            </w:pPr>
            <w:r>
              <w:rPr>
                <w:kern w:val="0"/>
                <w:szCs w:val="21"/>
              </w:rPr>
              <w:t>特异性靶器官毒性-一次接触,类别3（呼吸道刺激）</w:t>
            </w:r>
          </w:p>
        </w:tc>
        <w:tc>
          <w:tcPr>
            <w:tcW w:w="1200" w:type="dxa"/>
          </w:tcPr>
          <w:p w14:paraId="1CCBE2DE">
            <w:pPr>
              <w:spacing w:before="171" w:line="187" w:lineRule="auto"/>
              <w:ind w:left="673"/>
              <w:rPr>
                <w:spacing w:val="-1"/>
                <w:szCs w:val="21"/>
              </w:rPr>
            </w:pPr>
            <w:r>
              <w:rPr>
                <w:spacing w:val="-1"/>
                <w:szCs w:val="21"/>
              </w:rPr>
              <w:t>50</w:t>
            </w:r>
          </w:p>
        </w:tc>
        <w:tc>
          <w:tcPr>
            <w:tcW w:w="975" w:type="dxa"/>
          </w:tcPr>
          <w:p w14:paraId="79896B93">
            <w:pPr>
              <w:spacing w:before="134" w:line="221" w:lineRule="auto"/>
              <w:ind w:left="344"/>
              <w:rPr>
                <w:spacing w:val="-7"/>
                <w:szCs w:val="21"/>
              </w:rPr>
            </w:pPr>
            <w:r>
              <w:rPr>
                <w:spacing w:val="-7"/>
                <w:szCs w:val="21"/>
              </w:rPr>
              <w:t>甲</w:t>
            </w:r>
          </w:p>
        </w:tc>
      </w:tr>
      <w:tr w14:paraId="4BE85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6CB77E3D">
            <w:pPr>
              <w:spacing w:before="134" w:line="221" w:lineRule="auto"/>
              <w:ind w:left="344"/>
              <w:jc w:val="center"/>
              <w:rPr>
                <w:spacing w:val="-7"/>
                <w:szCs w:val="21"/>
              </w:rPr>
            </w:pPr>
            <w:r>
              <w:rPr>
                <w:spacing w:val="-7"/>
                <w:szCs w:val="21"/>
              </w:rPr>
              <w:t>安徽森吉制药有限公司</w:t>
            </w:r>
          </w:p>
        </w:tc>
      </w:tr>
      <w:tr w14:paraId="5254C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5B76728">
            <w:pPr>
              <w:spacing w:before="171" w:line="187" w:lineRule="auto"/>
              <w:ind w:left="175"/>
              <w:rPr>
                <w:spacing w:val="-3"/>
                <w:szCs w:val="21"/>
              </w:rPr>
            </w:pPr>
            <w:r>
              <w:rPr>
                <w:spacing w:val="-3"/>
                <w:szCs w:val="21"/>
              </w:rPr>
              <w:t>56</w:t>
            </w:r>
          </w:p>
        </w:tc>
        <w:tc>
          <w:tcPr>
            <w:tcW w:w="1020" w:type="dxa"/>
            <w:vAlign w:val="center"/>
          </w:tcPr>
          <w:p w14:paraId="1DB9A8F0">
            <w:pPr>
              <w:jc w:val="center"/>
              <w:rPr>
                <w:kern w:val="0"/>
                <w:szCs w:val="21"/>
              </w:rPr>
            </w:pPr>
            <w:r>
              <w:rPr>
                <w:rStyle w:val="59"/>
                <w:rFonts w:ascii="Times New Roman" w:hAnsi="Times New Roman"/>
                <w:sz w:val="21"/>
                <w:szCs w:val="21"/>
              </w:rPr>
              <w:t>N,N-二甲基甲酰胺</w:t>
            </w:r>
          </w:p>
        </w:tc>
        <w:tc>
          <w:tcPr>
            <w:tcW w:w="1025" w:type="dxa"/>
            <w:vAlign w:val="center"/>
          </w:tcPr>
          <w:p w14:paraId="5FA771F4">
            <w:pPr>
              <w:jc w:val="center"/>
              <w:rPr>
                <w:kern w:val="0"/>
                <w:szCs w:val="21"/>
              </w:rPr>
            </w:pPr>
            <w:r>
              <w:rPr>
                <w:rStyle w:val="59"/>
                <w:rFonts w:ascii="Times New Roman" w:hAnsi="Times New Roman"/>
                <w:sz w:val="21"/>
                <w:szCs w:val="21"/>
              </w:rPr>
              <w:t>2828</w:t>
            </w:r>
          </w:p>
        </w:tc>
        <w:tc>
          <w:tcPr>
            <w:tcW w:w="3687" w:type="dxa"/>
            <w:vAlign w:val="center"/>
          </w:tcPr>
          <w:p w14:paraId="76789D98">
            <w:pPr>
              <w:jc w:val="left"/>
              <w:rPr>
                <w:kern w:val="0"/>
                <w:szCs w:val="21"/>
              </w:rPr>
            </w:pPr>
            <w:r>
              <w:rPr>
                <w:rStyle w:val="59"/>
                <w:rFonts w:ascii="Times New Roman" w:hAnsi="Times New Roman"/>
                <w:sz w:val="21"/>
                <w:szCs w:val="21"/>
              </w:rPr>
              <w:t>易燃液体，类别3</w:t>
            </w:r>
          </w:p>
        </w:tc>
        <w:tc>
          <w:tcPr>
            <w:tcW w:w="1200" w:type="dxa"/>
            <w:vAlign w:val="center"/>
          </w:tcPr>
          <w:p w14:paraId="01ED0220">
            <w:pPr>
              <w:jc w:val="center"/>
              <w:rPr>
                <w:kern w:val="0"/>
                <w:szCs w:val="21"/>
              </w:rPr>
            </w:pPr>
            <w:r>
              <w:rPr>
                <w:kern w:val="0"/>
                <w:szCs w:val="21"/>
              </w:rPr>
              <w:t>10</w:t>
            </w:r>
          </w:p>
        </w:tc>
        <w:tc>
          <w:tcPr>
            <w:tcW w:w="975" w:type="dxa"/>
            <w:vAlign w:val="center"/>
          </w:tcPr>
          <w:p w14:paraId="1E47F5D0">
            <w:pPr>
              <w:jc w:val="center"/>
              <w:rPr>
                <w:kern w:val="0"/>
                <w:szCs w:val="21"/>
              </w:rPr>
            </w:pPr>
            <w:r>
              <w:rPr>
                <w:rStyle w:val="59"/>
                <w:rFonts w:ascii="Times New Roman" w:hAnsi="Times New Roman"/>
                <w:sz w:val="21"/>
                <w:szCs w:val="21"/>
              </w:rPr>
              <w:t>乙</w:t>
            </w:r>
          </w:p>
        </w:tc>
      </w:tr>
      <w:tr w14:paraId="778124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17A9DD3">
            <w:pPr>
              <w:spacing w:before="171" w:line="187" w:lineRule="auto"/>
              <w:ind w:left="175"/>
              <w:rPr>
                <w:spacing w:val="-3"/>
                <w:szCs w:val="21"/>
              </w:rPr>
            </w:pPr>
            <w:r>
              <w:rPr>
                <w:spacing w:val="-3"/>
                <w:szCs w:val="21"/>
              </w:rPr>
              <w:t>57</w:t>
            </w:r>
          </w:p>
        </w:tc>
        <w:tc>
          <w:tcPr>
            <w:tcW w:w="1020" w:type="dxa"/>
            <w:vAlign w:val="center"/>
          </w:tcPr>
          <w:p w14:paraId="3B6AD530">
            <w:pPr>
              <w:jc w:val="center"/>
              <w:rPr>
                <w:kern w:val="0"/>
                <w:szCs w:val="21"/>
              </w:rPr>
            </w:pPr>
            <w:r>
              <w:rPr>
                <w:rStyle w:val="59"/>
                <w:rFonts w:ascii="Times New Roman" w:hAnsi="Times New Roman"/>
                <w:sz w:val="21"/>
                <w:szCs w:val="21"/>
              </w:rPr>
              <w:t>三乙基硅烷</w:t>
            </w:r>
          </w:p>
        </w:tc>
        <w:tc>
          <w:tcPr>
            <w:tcW w:w="1025" w:type="dxa"/>
            <w:vAlign w:val="center"/>
          </w:tcPr>
          <w:p w14:paraId="1052E91F">
            <w:pPr>
              <w:jc w:val="center"/>
              <w:rPr>
                <w:kern w:val="0"/>
                <w:szCs w:val="21"/>
              </w:rPr>
            </w:pPr>
            <w:r>
              <w:rPr>
                <w:rStyle w:val="59"/>
                <w:rFonts w:ascii="Times New Roman" w:hAnsi="Times New Roman"/>
                <w:sz w:val="21"/>
                <w:szCs w:val="21"/>
              </w:rPr>
              <w:t>2828</w:t>
            </w:r>
          </w:p>
        </w:tc>
        <w:tc>
          <w:tcPr>
            <w:tcW w:w="3687" w:type="dxa"/>
            <w:vAlign w:val="center"/>
          </w:tcPr>
          <w:p w14:paraId="2D6B7E47">
            <w:pPr>
              <w:jc w:val="left"/>
              <w:rPr>
                <w:rStyle w:val="59"/>
                <w:rFonts w:ascii="Times New Roman" w:hAnsi="Times New Roman"/>
                <w:sz w:val="21"/>
                <w:szCs w:val="21"/>
              </w:rPr>
            </w:pPr>
            <w:r>
              <w:rPr>
                <w:rStyle w:val="59"/>
                <w:rFonts w:ascii="Times New Roman" w:hAnsi="Times New Roman"/>
                <w:sz w:val="21"/>
                <w:szCs w:val="21"/>
              </w:rPr>
              <w:t>闪点＜23℃和初沸点＞35℃：</w:t>
            </w:r>
          </w:p>
          <w:p w14:paraId="184C78A4">
            <w:pPr>
              <w:jc w:val="left"/>
              <w:rPr>
                <w:kern w:val="0"/>
                <w:szCs w:val="21"/>
              </w:rPr>
            </w:pPr>
            <w:r>
              <w:rPr>
                <w:rStyle w:val="59"/>
                <w:rFonts w:ascii="Times New Roman" w:hAnsi="Times New Roman"/>
                <w:sz w:val="21"/>
                <w:szCs w:val="21"/>
              </w:rPr>
              <w:t>易燃液体，类别2</w:t>
            </w:r>
          </w:p>
        </w:tc>
        <w:tc>
          <w:tcPr>
            <w:tcW w:w="1200" w:type="dxa"/>
            <w:vAlign w:val="center"/>
          </w:tcPr>
          <w:p w14:paraId="54CD8D67">
            <w:pPr>
              <w:jc w:val="center"/>
              <w:rPr>
                <w:kern w:val="0"/>
                <w:szCs w:val="21"/>
              </w:rPr>
            </w:pPr>
            <w:r>
              <w:rPr>
                <w:kern w:val="0"/>
                <w:szCs w:val="21"/>
              </w:rPr>
              <w:t>24.3</w:t>
            </w:r>
          </w:p>
        </w:tc>
        <w:tc>
          <w:tcPr>
            <w:tcW w:w="975" w:type="dxa"/>
            <w:vAlign w:val="center"/>
          </w:tcPr>
          <w:p w14:paraId="1DB86122">
            <w:pPr>
              <w:jc w:val="center"/>
              <w:rPr>
                <w:kern w:val="0"/>
                <w:szCs w:val="21"/>
              </w:rPr>
            </w:pPr>
            <w:r>
              <w:rPr>
                <w:rStyle w:val="59"/>
                <w:rFonts w:ascii="Times New Roman" w:hAnsi="Times New Roman"/>
                <w:sz w:val="21"/>
                <w:szCs w:val="21"/>
              </w:rPr>
              <w:t>甲</w:t>
            </w:r>
          </w:p>
        </w:tc>
      </w:tr>
      <w:tr w14:paraId="78069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80196BD">
            <w:pPr>
              <w:spacing w:before="171" w:line="187" w:lineRule="auto"/>
              <w:ind w:left="175"/>
              <w:rPr>
                <w:spacing w:val="-3"/>
                <w:szCs w:val="21"/>
              </w:rPr>
            </w:pPr>
            <w:r>
              <w:rPr>
                <w:spacing w:val="-3"/>
                <w:szCs w:val="21"/>
              </w:rPr>
              <w:t>58</w:t>
            </w:r>
          </w:p>
        </w:tc>
        <w:tc>
          <w:tcPr>
            <w:tcW w:w="1020" w:type="dxa"/>
            <w:vAlign w:val="center"/>
          </w:tcPr>
          <w:p w14:paraId="7A07E7C8">
            <w:pPr>
              <w:adjustRightInd w:val="0"/>
              <w:jc w:val="center"/>
              <w:rPr>
                <w:szCs w:val="21"/>
              </w:rPr>
            </w:pPr>
            <w:r>
              <w:rPr>
                <w:szCs w:val="21"/>
              </w:rPr>
              <w:t>四氢呋喃</w:t>
            </w:r>
          </w:p>
        </w:tc>
        <w:tc>
          <w:tcPr>
            <w:tcW w:w="1025" w:type="dxa"/>
            <w:vAlign w:val="center"/>
          </w:tcPr>
          <w:p w14:paraId="7D79EA92">
            <w:pPr>
              <w:adjustRightInd w:val="0"/>
              <w:jc w:val="center"/>
              <w:rPr>
                <w:szCs w:val="21"/>
              </w:rPr>
            </w:pPr>
            <w:r>
              <w:rPr>
                <w:szCs w:val="21"/>
              </w:rPr>
              <w:t>2071</w:t>
            </w:r>
          </w:p>
        </w:tc>
        <w:tc>
          <w:tcPr>
            <w:tcW w:w="3687" w:type="dxa"/>
            <w:vAlign w:val="center"/>
          </w:tcPr>
          <w:p w14:paraId="711EDE88">
            <w:pPr>
              <w:adjustRightInd w:val="0"/>
              <w:jc w:val="left"/>
              <w:rPr>
                <w:szCs w:val="21"/>
              </w:rPr>
            </w:pPr>
            <w:r>
              <w:rPr>
                <w:szCs w:val="21"/>
              </w:rPr>
              <w:t>易燃液体，类别2</w:t>
            </w:r>
          </w:p>
          <w:p w14:paraId="7CD728A1">
            <w:pPr>
              <w:adjustRightInd w:val="0"/>
              <w:jc w:val="left"/>
              <w:rPr>
                <w:szCs w:val="21"/>
              </w:rPr>
            </w:pPr>
            <w:r>
              <w:rPr>
                <w:szCs w:val="21"/>
              </w:rPr>
              <w:t>严重眼损伤/眼刺激，类别2</w:t>
            </w:r>
          </w:p>
          <w:p w14:paraId="7717A978">
            <w:pPr>
              <w:adjustRightInd w:val="0"/>
              <w:jc w:val="left"/>
              <w:rPr>
                <w:szCs w:val="21"/>
              </w:rPr>
            </w:pPr>
            <w:r>
              <w:rPr>
                <w:szCs w:val="21"/>
              </w:rPr>
              <w:t>致癌性，类别2</w:t>
            </w:r>
          </w:p>
          <w:p w14:paraId="7F1E824D">
            <w:pPr>
              <w:adjustRightInd w:val="0"/>
              <w:jc w:val="left"/>
              <w:rPr>
                <w:szCs w:val="21"/>
              </w:rPr>
            </w:pPr>
            <w:r>
              <w:rPr>
                <w:szCs w:val="21"/>
              </w:rPr>
              <w:t>特异性靶器官毒性-一次接触，类别3（呼吸道刺激）</w:t>
            </w:r>
          </w:p>
        </w:tc>
        <w:tc>
          <w:tcPr>
            <w:tcW w:w="1200" w:type="dxa"/>
            <w:vAlign w:val="center"/>
          </w:tcPr>
          <w:p w14:paraId="266DC548">
            <w:pPr>
              <w:adjustRightInd w:val="0"/>
              <w:jc w:val="center"/>
              <w:rPr>
                <w:szCs w:val="21"/>
              </w:rPr>
            </w:pPr>
            <w:r>
              <w:rPr>
                <w:szCs w:val="21"/>
              </w:rPr>
              <w:t>44.4</w:t>
            </w:r>
          </w:p>
        </w:tc>
        <w:tc>
          <w:tcPr>
            <w:tcW w:w="975" w:type="dxa"/>
            <w:vAlign w:val="center"/>
          </w:tcPr>
          <w:p w14:paraId="7B0EFF7C">
            <w:pPr>
              <w:adjustRightInd w:val="0"/>
              <w:jc w:val="center"/>
              <w:rPr>
                <w:szCs w:val="21"/>
              </w:rPr>
            </w:pPr>
            <w:r>
              <w:rPr>
                <w:szCs w:val="21"/>
              </w:rPr>
              <w:t>甲</w:t>
            </w:r>
          </w:p>
        </w:tc>
      </w:tr>
      <w:tr w14:paraId="5114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508EA3F">
            <w:pPr>
              <w:spacing w:before="171" w:line="187" w:lineRule="auto"/>
              <w:ind w:left="175"/>
              <w:rPr>
                <w:spacing w:val="-3"/>
                <w:szCs w:val="21"/>
              </w:rPr>
            </w:pPr>
            <w:r>
              <w:rPr>
                <w:spacing w:val="-3"/>
                <w:szCs w:val="21"/>
              </w:rPr>
              <w:t>59</w:t>
            </w:r>
          </w:p>
        </w:tc>
        <w:tc>
          <w:tcPr>
            <w:tcW w:w="1020" w:type="dxa"/>
            <w:vAlign w:val="center"/>
          </w:tcPr>
          <w:p w14:paraId="1FC19AC6">
            <w:pPr>
              <w:adjustRightInd w:val="0"/>
              <w:jc w:val="center"/>
              <w:rPr>
                <w:szCs w:val="21"/>
              </w:rPr>
            </w:pPr>
            <w:r>
              <w:rPr>
                <w:szCs w:val="21"/>
              </w:rPr>
              <w:t>正庚烷</w:t>
            </w:r>
          </w:p>
        </w:tc>
        <w:tc>
          <w:tcPr>
            <w:tcW w:w="1025" w:type="dxa"/>
            <w:vAlign w:val="center"/>
          </w:tcPr>
          <w:p w14:paraId="460C6167">
            <w:pPr>
              <w:adjustRightInd w:val="0"/>
              <w:jc w:val="center"/>
              <w:rPr>
                <w:szCs w:val="21"/>
              </w:rPr>
            </w:pPr>
            <w:r>
              <w:rPr>
                <w:szCs w:val="21"/>
              </w:rPr>
              <w:t>2782</w:t>
            </w:r>
          </w:p>
        </w:tc>
        <w:tc>
          <w:tcPr>
            <w:tcW w:w="3687" w:type="dxa"/>
            <w:vAlign w:val="center"/>
          </w:tcPr>
          <w:p w14:paraId="7A453594">
            <w:pPr>
              <w:adjustRightInd w:val="0"/>
              <w:jc w:val="left"/>
              <w:rPr>
                <w:szCs w:val="21"/>
              </w:rPr>
            </w:pPr>
            <w:r>
              <w:rPr>
                <w:szCs w:val="21"/>
              </w:rPr>
              <w:t>易燃液体，类别2</w:t>
            </w:r>
          </w:p>
          <w:p w14:paraId="68DA02F6">
            <w:pPr>
              <w:adjustRightInd w:val="0"/>
              <w:jc w:val="left"/>
              <w:rPr>
                <w:szCs w:val="21"/>
              </w:rPr>
            </w:pPr>
            <w:r>
              <w:rPr>
                <w:szCs w:val="21"/>
              </w:rPr>
              <w:t>皮肤腐蚀/刺激，类别2</w:t>
            </w:r>
          </w:p>
          <w:p w14:paraId="1BBEE37D">
            <w:pPr>
              <w:adjustRightInd w:val="0"/>
              <w:jc w:val="left"/>
              <w:rPr>
                <w:szCs w:val="21"/>
              </w:rPr>
            </w:pPr>
            <w:r>
              <w:rPr>
                <w:szCs w:val="21"/>
              </w:rPr>
              <w:t>特异性靶器官毒性-一次接触，类别3（麻醉效应）</w:t>
            </w:r>
          </w:p>
          <w:p w14:paraId="37DB8FCE">
            <w:pPr>
              <w:adjustRightInd w:val="0"/>
              <w:jc w:val="left"/>
              <w:rPr>
                <w:szCs w:val="21"/>
              </w:rPr>
            </w:pPr>
            <w:r>
              <w:rPr>
                <w:szCs w:val="21"/>
              </w:rPr>
              <w:t>吸入危害，类别1</w:t>
            </w:r>
          </w:p>
          <w:p w14:paraId="500419E7">
            <w:pPr>
              <w:adjustRightInd w:val="0"/>
              <w:jc w:val="left"/>
              <w:rPr>
                <w:szCs w:val="21"/>
              </w:rPr>
            </w:pPr>
            <w:r>
              <w:rPr>
                <w:szCs w:val="21"/>
              </w:rPr>
              <w:t>危害水生环境-急性危害，类别1</w:t>
            </w:r>
          </w:p>
          <w:p w14:paraId="3FCCE01B">
            <w:pPr>
              <w:adjustRightInd w:val="0"/>
              <w:jc w:val="left"/>
              <w:rPr>
                <w:szCs w:val="21"/>
              </w:rPr>
            </w:pPr>
            <w:r>
              <w:rPr>
                <w:szCs w:val="21"/>
              </w:rPr>
              <w:t>危害水生环境-长期危害，类别1</w:t>
            </w:r>
          </w:p>
        </w:tc>
        <w:tc>
          <w:tcPr>
            <w:tcW w:w="1200" w:type="dxa"/>
            <w:vAlign w:val="center"/>
          </w:tcPr>
          <w:p w14:paraId="1D44D56F">
            <w:pPr>
              <w:adjustRightInd w:val="0"/>
              <w:jc w:val="center"/>
              <w:rPr>
                <w:szCs w:val="21"/>
              </w:rPr>
            </w:pPr>
            <w:r>
              <w:rPr>
                <w:szCs w:val="21"/>
              </w:rPr>
              <w:t>33</w:t>
            </w:r>
          </w:p>
        </w:tc>
        <w:tc>
          <w:tcPr>
            <w:tcW w:w="975" w:type="dxa"/>
            <w:vAlign w:val="center"/>
          </w:tcPr>
          <w:p w14:paraId="65EDDBF3">
            <w:pPr>
              <w:adjustRightInd w:val="0"/>
              <w:jc w:val="center"/>
              <w:rPr>
                <w:szCs w:val="21"/>
              </w:rPr>
            </w:pPr>
            <w:r>
              <w:rPr>
                <w:szCs w:val="21"/>
              </w:rPr>
              <w:t>甲</w:t>
            </w:r>
          </w:p>
        </w:tc>
      </w:tr>
      <w:tr w14:paraId="274D69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EDAB9A4">
            <w:pPr>
              <w:spacing w:before="171" w:line="187" w:lineRule="auto"/>
              <w:ind w:left="175"/>
              <w:rPr>
                <w:spacing w:val="-3"/>
                <w:szCs w:val="21"/>
              </w:rPr>
            </w:pPr>
            <w:r>
              <w:rPr>
                <w:spacing w:val="-3"/>
                <w:szCs w:val="21"/>
              </w:rPr>
              <w:t>60</w:t>
            </w:r>
          </w:p>
        </w:tc>
        <w:tc>
          <w:tcPr>
            <w:tcW w:w="1020" w:type="dxa"/>
            <w:vAlign w:val="center"/>
          </w:tcPr>
          <w:p w14:paraId="56A2B878">
            <w:pPr>
              <w:adjustRightInd w:val="0"/>
              <w:jc w:val="center"/>
              <w:rPr>
                <w:szCs w:val="21"/>
              </w:rPr>
            </w:pPr>
            <w:r>
              <w:rPr>
                <w:szCs w:val="21"/>
              </w:rPr>
              <w:t>乙酸乙酯</w:t>
            </w:r>
          </w:p>
        </w:tc>
        <w:tc>
          <w:tcPr>
            <w:tcW w:w="1025" w:type="dxa"/>
            <w:vAlign w:val="center"/>
          </w:tcPr>
          <w:p w14:paraId="32E4E369">
            <w:pPr>
              <w:adjustRightInd w:val="0"/>
              <w:jc w:val="center"/>
              <w:rPr>
                <w:szCs w:val="21"/>
              </w:rPr>
            </w:pPr>
            <w:r>
              <w:rPr>
                <w:szCs w:val="21"/>
              </w:rPr>
              <w:t>2651</w:t>
            </w:r>
          </w:p>
        </w:tc>
        <w:tc>
          <w:tcPr>
            <w:tcW w:w="3687" w:type="dxa"/>
            <w:vAlign w:val="center"/>
          </w:tcPr>
          <w:p w14:paraId="7B1237E9">
            <w:pPr>
              <w:adjustRightInd w:val="0"/>
              <w:jc w:val="left"/>
              <w:rPr>
                <w:szCs w:val="21"/>
              </w:rPr>
            </w:pPr>
            <w:r>
              <w:rPr>
                <w:szCs w:val="21"/>
              </w:rPr>
              <w:t>易燃液体，类别2</w:t>
            </w:r>
          </w:p>
          <w:p w14:paraId="4DDDD417">
            <w:pPr>
              <w:adjustRightInd w:val="0"/>
              <w:jc w:val="left"/>
              <w:rPr>
                <w:szCs w:val="21"/>
              </w:rPr>
            </w:pPr>
            <w:r>
              <w:rPr>
                <w:szCs w:val="21"/>
              </w:rPr>
              <w:t>严重眼损伤/眼刺激，类别2</w:t>
            </w:r>
          </w:p>
          <w:p w14:paraId="06F3F2BF">
            <w:pPr>
              <w:adjustRightInd w:val="0"/>
              <w:jc w:val="left"/>
              <w:rPr>
                <w:szCs w:val="21"/>
              </w:rPr>
            </w:pPr>
            <w:r>
              <w:rPr>
                <w:szCs w:val="21"/>
              </w:rPr>
              <w:t>特异性靶器官毒性-一次接触，类别3（麻醉效应）</w:t>
            </w:r>
          </w:p>
        </w:tc>
        <w:tc>
          <w:tcPr>
            <w:tcW w:w="1200" w:type="dxa"/>
            <w:vAlign w:val="center"/>
          </w:tcPr>
          <w:p w14:paraId="54CE7B7A">
            <w:pPr>
              <w:adjustRightInd w:val="0"/>
              <w:jc w:val="center"/>
              <w:rPr>
                <w:szCs w:val="21"/>
              </w:rPr>
            </w:pPr>
            <w:r>
              <w:rPr>
                <w:szCs w:val="21"/>
              </w:rPr>
              <w:t>45</w:t>
            </w:r>
          </w:p>
        </w:tc>
        <w:tc>
          <w:tcPr>
            <w:tcW w:w="975" w:type="dxa"/>
            <w:vAlign w:val="center"/>
          </w:tcPr>
          <w:p w14:paraId="681C129E">
            <w:pPr>
              <w:adjustRightInd w:val="0"/>
              <w:jc w:val="center"/>
              <w:rPr>
                <w:szCs w:val="21"/>
              </w:rPr>
            </w:pPr>
            <w:r>
              <w:rPr>
                <w:szCs w:val="21"/>
              </w:rPr>
              <w:t>甲</w:t>
            </w:r>
          </w:p>
        </w:tc>
      </w:tr>
      <w:tr w14:paraId="53A91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8BD541E">
            <w:pPr>
              <w:spacing w:before="171" w:line="187" w:lineRule="auto"/>
              <w:ind w:left="175"/>
              <w:rPr>
                <w:spacing w:val="-3"/>
                <w:szCs w:val="21"/>
              </w:rPr>
            </w:pPr>
            <w:r>
              <w:rPr>
                <w:spacing w:val="-3"/>
                <w:szCs w:val="21"/>
              </w:rPr>
              <w:t>61</w:t>
            </w:r>
          </w:p>
        </w:tc>
        <w:tc>
          <w:tcPr>
            <w:tcW w:w="1020" w:type="dxa"/>
            <w:vAlign w:val="center"/>
          </w:tcPr>
          <w:p w14:paraId="151AAB5F">
            <w:pPr>
              <w:adjustRightInd w:val="0"/>
              <w:jc w:val="center"/>
              <w:rPr>
                <w:szCs w:val="21"/>
              </w:rPr>
            </w:pPr>
            <w:r>
              <w:rPr>
                <w:szCs w:val="21"/>
              </w:rPr>
              <w:t>乙腈</w:t>
            </w:r>
          </w:p>
        </w:tc>
        <w:tc>
          <w:tcPr>
            <w:tcW w:w="1025" w:type="dxa"/>
            <w:vAlign w:val="center"/>
          </w:tcPr>
          <w:p w14:paraId="7DA1EEED">
            <w:pPr>
              <w:adjustRightInd w:val="0"/>
              <w:jc w:val="center"/>
              <w:rPr>
                <w:szCs w:val="21"/>
              </w:rPr>
            </w:pPr>
            <w:r>
              <w:rPr>
                <w:szCs w:val="21"/>
              </w:rPr>
              <w:t>2622</w:t>
            </w:r>
          </w:p>
        </w:tc>
        <w:tc>
          <w:tcPr>
            <w:tcW w:w="3687" w:type="dxa"/>
            <w:vAlign w:val="center"/>
          </w:tcPr>
          <w:p w14:paraId="3DAAE357">
            <w:pPr>
              <w:adjustRightInd w:val="0"/>
              <w:jc w:val="left"/>
              <w:rPr>
                <w:szCs w:val="21"/>
              </w:rPr>
            </w:pPr>
            <w:r>
              <w:rPr>
                <w:szCs w:val="21"/>
              </w:rPr>
              <w:t>易燃液体，类别2</w:t>
            </w:r>
          </w:p>
          <w:p w14:paraId="0E0AF93F">
            <w:pPr>
              <w:adjustRightInd w:val="0"/>
              <w:jc w:val="left"/>
              <w:rPr>
                <w:szCs w:val="21"/>
              </w:rPr>
            </w:pPr>
            <w:r>
              <w:rPr>
                <w:szCs w:val="21"/>
              </w:rPr>
              <w:t>严重眼损伤/眼刺激，类别2</w:t>
            </w:r>
          </w:p>
        </w:tc>
        <w:tc>
          <w:tcPr>
            <w:tcW w:w="1200" w:type="dxa"/>
            <w:vAlign w:val="center"/>
          </w:tcPr>
          <w:p w14:paraId="3C8B80A0">
            <w:pPr>
              <w:adjustRightInd w:val="0"/>
              <w:jc w:val="center"/>
              <w:rPr>
                <w:szCs w:val="21"/>
              </w:rPr>
            </w:pPr>
            <w:r>
              <w:rPr>
                <w:szCs w:val="21"/>
              </w:rPr>
              <w:t>39.29</w:t>
            </w:r>
          </w:p>
        </w:tc>
        <w:tc>
          <w:tcPr>
            <w:tcW w:w="975" w:type="dxa"/>
            <w:vAlign w:val="center"/>
          </w:tcPr>
          <w:p w14:paraId="50DCB5DE">
            <w:pPr>
              <w:adjustRightInd w:val="0"/>
              <w:jc w:val="center"/>
              <w:rPr>
                <w:szCs w:val="21"/>
              </w:rPr>
            </w:pPr>
            <w:r>
              <w:rPr>
                <w:szCs w:val="21"/>
              </w:rPr>
              <w:t>甲</w:t>
            </w:r>
          </w:p>
        </w:tc>
      </w:tr>
      <w:tr w14:paraId="780B3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BDB4BC5">
            <w:pPr>
              <w:spacing w:before="171" w:line="187" w:lineRule="auto"/>
              <w:ind w:left="175"/>
              <w:rPr>
                <w:spacing w:val="-3"/>
                <w:szCs w:val="21"/>
              </w:rPr>
            </w:pPr>
            <w:r>
              <w:rPr>
                <w:spacing w:val="-3"/>
                <w:szCs w:val="21"/>
              </w:rPr>
              <w:t>62</w:t>
            </w:r>
          </w:p>
        </w:tc>
        <w:tc>
          <w:tcPr>
            <w:tcW w:w="1020" w:type="dxa"/>
            <w:vAlign w:val="center"/>
          </w:tcPr>
          <w:p w14:paraId="42797A8C">
            <w:pPr>
              <w:adjustRightInd w:val="0"/>
              <w:jc w:val="center"/>
              <w:rPr>
                <w:szCs w:val="21"/>
              </w:rPr>
            </w:pPr>
            <w:r>
              <w:rPr>
                <w:szCs w:val="21"/>
              </w:rPr>
              <w:t>正己烷</w:t>
            </w:r>
          </w:p>
        </w:tc>
        <w:tc>
          <w:tcPr>
            <w:tcW w:w="1025" w:type="dxa"/>
            <w:vAlign w:val="center"/>
          </w:tcPr>
          <w:p w14:paraId="55E20A02">
            <w:pPr>
              <w:adjustRightInd w:val="0"/>
              <w:jc w:val="center"/>
              <w:rPr>
                <w:szCs w:val="21"/>
              </w:rPr>
            </w:pPr>
            <w:r>
              <w:rPr>
                <w:szCs w:val="21"/>
              </w:rPr>
              <w:t>2789</w:t>
            </w:r>
          </w:p>
        </w:tc>
        <w:tc>
          <w:tcPr>
            <w:tcW w:w="3687" w:type="dxa"/>
            <w:vAlign w:val="center"/>
          </w:tcPr>
          <w:p w14:paraId="1275E275">
            <w:pPr>
              <w:adjustRightInd w:val="0"/>
              <w:jc w:val="left"/>
              <w:rPr>
                <w:szCs w:val="21"/>
              </w:rPr>
            </w:pPr>
            <w:r>
              <w:rPr>
                <w:szCs w:val="21"/>
              </w:rPr>
              <w:t>易燃液体，类别2</w:t>
            </w:r>
          </w:p>
          <w:p w14:paraId="2BF6510A">
            <w:pPr>
              <w:adjustRightInd w:val="0"/>
              <w:jc w:val="left"/>
              <w:rPr>
                <w:szCs w:val="21"/>
              </w:rPr>
            </w:pPr>
            <w:r>
              <w:rPr>
                <w:szCs w:val="21"/>
              </w:rPr>
              <w:t>皮肤腐蚀/刺激，类别2</w:t>
            </w:r>
          </w:p>
          <w:p w14:paraId="53989B9B">
            <w:pPr>
              <w:adjustRightInd w:val="0"/>
              <w:jc w:val="left"/>
              <w:rPr>
                <w:szCs w:val="21"/>
              </w:rPr>
            </w:pPr>
            <w:r>
              <w:rPr>
                <w:szCs w:val="21"/>
              </w:rPr>
              <w:t>生殖毒性，类别2</w:t>
            </w:r>
          </w:p>
          <w:p w14:paraId="351D4892">
            <w:pPr>
              <w:adjustRightInd w:val="0"/>
              <w:jc w:val="left"/>
              <w:rPr>
                <w:szCs w:val="21"/>
              </w:rPr>
            </w:pPr>
            <w:r>
              <w:rPr>
                <w:szCs w:val="21"/>
              </w:rPr>
              <w:t>特异性靶器官毒性-一次接触，类别3（麻醉效应）</w:t>
            </w:r>
          </w:p>
          <w:p w14:paraId="62E252E0">
            <w:pPr>
              <w:adjustRightInd w:val="0"/>
              <w:jc w:val="left"/>
              <w:rPr>
                <w:szCs w:val="21"/>
              </w:rPr>
            </w:pPr>
            <w:r>
              <w:rPr>
                <w:szCs w:val="21"/>
              </w:rPr>
              <w:t>特异性靶器官毒性-反复接触，类别2*</w:t>
            </w:r>
          </w:p>
          <w:p w14:paraId="22C81846">
            <w:pPr>
              <w:adjustRightInd w:val="0"/>
              <w:jc w:val="left"/>
              <w:rPr>
                <w:szCs w:val="21"/>
              </w:rPr>
            </w:pPr>
            <w:r>
              <w:rPr>
                <w:szCs w:val="21"/>
              </w:rPr>
              <w:t>吸入危害，类别1</w:t>
            </w:r>
          </w:p>
          <w:p w14:paraId="60F2DE53">
            <w:pPr>
              <w:adjustRightInd w:val="0"/>
              <w:jc w:val="left"/>
              <w:rPr>
                <w:szCs w:val="21"/>
              </w:rPr>
            </w:pPr>
            <w:r>
              <w:rPr>
                <w:szCs w:val="21"/>
              </w:rPr>
              <w:t>危害水生环境-急性危害，类别2</w:t>
            </w:r>
          </w:p>
          <w:p w14:paraId="3E36671E">
            <w:pPr>
              <w:adjustRightInd w:val="0"/>
              <w:jc w:val="left"/>
              <w:rPr>
                <w:szCs w:val="21"/>
              </w:rPr>
            </w:pPr>
            <w:r>
              <w:rPr>
                <w:szCs w:val="21"/>
              </w:rPr>
              <w:t>危害水生环境-长期危害，类别2</w:t>
            </w:r>
          </w:p>
        </w:tc>
        <w:tc>
          <w:tcPr>
            <w:tcW w:w="1200" w:type="dxa"/>
            <w:vAlign w:val="center"/>
          </w:tcPr>
          <w:p w14:paraId="1C48AF35">
            <w:pPr>
              <w:adjustRightInd w:val="0"/>
              <w:jc w:val="center"/>
              <w:rPr>
                <w:szCs w:val="21"/>
              </w:rPr>
            </w:pPr>
            <w:r>
              <w:rPr>
                <w:szCs w:val="21"/>
              </w:rPr>
              <w:t>33</w:t>
            </w:r>
          </w:p>
        </w:tc>
        <w:tc>
          <w:tcPr>
            <w:tcW w:w="975" w:type="dxa"/>
            <w:vAlign w:val="center"/>
          </w:tcPr>
          <w:p w14:paraId="5CBB837B">
            <w:pPr>
              <w:adjustRightInd w:val="0"/>
              <w:jc w:val="center"/>
              <w:rPr>
                <w:szCs w:val="21"/>
              </w:rPr>
            </w:pPr>
            <w:r>
              <w:rPr>
                <w:szCs w:val="21"/>
              </w:rPr>
              <w:t>甲</w:t>
            </w:r>
          </w:p>
        </w:tc>
      </w:tr>
      <w:tr w14:paraId="11118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531AB0B">
            <w:pPr>
              <w:spacing w:before="171" w:line="187" w:lineRule="auto"/>
              <w:ind w:left="175"/>
              <w:rPr>
                <w:spacing w:val="-3"/>
                <w:szCs w:val="21"/>
              </w:rPr>
            </w:pPr>
            <w:r>
              <w:rPr>
                <w:spacing w:val="-3"/>
                <w:szCs w:val="21"/>
              </w:rPr>
              <w:t>63</w:t>
            </w:r>
          </w:p>
        </w:tc>
        <w:tc>
          <w:tcPr>
            <w:tcW w:w="1020" w:type="dxa"/>
            <w:vAlign w:val="center"/>
          </w:tcPr>
          <w:p w14:paraId="2BAFEC92">
            <w:pPr>
              <w:adjustRightInd w:val="0"/>
              <w:jc w:val="center"/>
              <w:rPr>
                <w:szCs w:val="21"/>
              </w:rPr>
            </w:pPr>
            <w:r>
              <w:rPr>
                <w:szCs w:val="21"/>
              </w:rPr>
              <w:t>二氯甲烷</w:t>
            </w:r>
          </w:p>
        </w:tc>
        <w:tc>
          <w:tcPr>
            <w:tcW w:w="1025" w:type="dxa"/>
            <w:vAlign w:val="center"/>
          </w:tcPr>
          <w:p w14:paraId="4F3C3376">
            <w:pPr>
              <w:adjustRightInd w:val="0"/>
              <w:jc w:val="center"/>
              <w:rPr>
                <w:szCs w:val="21"/>
              </w:rPr>
            </w:pPr>
            <w:r>
              <w:rPr>
                <w:szCs w:val="21"/>
              </w:rPr>
              <w:t>541</w:t>
            </w:r>
          </w:p>
        </w:tc>
        <w:tc>
          <w:tcPr>
            <w:tcW w:w="3687" w:type="dxa"/>
            <w:vAlign w:val="center"/>
          </w:tcPr>
          <w:p w14:paraId="4D60E3BB">
            <w:pPr>
              <w:adjustRightInd w:val="0"/>
              <w:jc w:val="left"/>
              <w:rPr>
                <w:szCs w:val="21"/>
              </w:rPr>
            </w:pPr>
            <w:r>
              <w:rPr>
                <w:szCs w:val="21"/>
              </w:rPr>
              <w:t>皮肤腐蚀/刺激，类别2</w:t>
            </w:r>
          </w:p>
          <w:p w14:paraId="1355C832">
            <w:pPr>
              <w:adjustRightInd w:val="0"/>
              <w:jc w:val="left"/>
              <w:rPr>
                <w:szCs w:val="21"/>
              </w:rPr>
            </w:pPr>
            <w:r>
              <w:rPr>
                <w:szCs w:val="21"/>
              </w:rPr>
              <w:t>严重眼损伤/眼刺激，类别2A</w:t>
            </w:r>
          </w:p>
          <w:p w14:paraId="219E6287">
            <w:pPr>
              <w:adjustRightInd w:val="0"/>
              <w:jc w:val="left"/>
              <w:rPr>
                <w:szCs w:val="21"/>
              </w:rPr>
            </w:pPr>
            <w:r>
              <w:rPr>
                <w:szCs w:val="21"/>
              </w:rPr>
              <w:t>致癌性，类别2</w:t>
            </w:r>
          </w:p>
          <w:p w14:paraId="623C0E2D">
            <w:pPr>
              <w:adjustRightInd w:val="0"/>
              <w:jc w:val="left"/>
              <w:rPr>
                <w:szCs w:val="21"/>
              </w:rPr>
            </w:pPr>
            <w:r>
              <w:rPr>
                <w:szCs w:val="21"/>
              </w:rPr>
              <w:t>特异性靶器官毒性-一次接触，类别1</w:t>
            </w:r>
          </w:p>
          <w:p w14:paraId="07C5B413">
            <w:pPr>
              <w:adjustRightInd w:val="0"/>
              <w:jc w:val="left"/>
              <w:rPr>
                <w:szCs w:val="21"/>
              </w:rPr>
            </w:pPr>
            <w:r>
              <w:rPr>
                <w:szCs w:val="21"/>
              </w:rPr>
              <w:t>特异性靶器官毒性-一次接触，类别3（麻醉效应）</w:t>
            </w:r>
          </w:p>
          <w:p w14:paraId="192FE6CD">
            <w:pPr>
              <w:adjustRightInd w:val="0"/>
              <w:jc w:val="left"/>
              <w:rPr>
                <w:szCs w:val="21"/>
              </w:rPr>
            </w:pPr>
            <w:r>
              <w:rPr>
                <w:szCs w:val="21"/>
              </w:rPr>
              <w:t>特异性靶器官毒性-反复接触，类别1</w:t>
            </w:r>
          </w:p>
        </w:tc>
        <w:tc>
          <w:tcPr>
            <w:tcW w:w="1200" w:type="dxa"/>
            <w:vAlign w:val="center"/>
          </w:tcPr>
          <w:p w14:paraId="6A712775">
            <w:pPr>
              <w:adjustRightInd w:val="0"/>
              <w:jc w:val="center"/>
              <w:rPr>
                <w:szCs w:val="21"/>
              </w:rPr>
            </w:pPr>
            <w:r>
              <w:rPr>
                <w:szCs w:val="21"/>
              </w:rPr>
              <w:t>66.3</w:t>
            </w:r>
          </w:p>
        </w:tc>
        <w:tc>
          <w:tcPr>
            <w:tcW w:w="975" w:type="dxa"/>
            <w:vAlign w:val="center"/>
          </w:tcPr>
          <w:p w14:paraId="0DB79C34">
            <w:pPr>
              <w:adjustRightInd w:val="0"/>
              <w:jc w:val="center"/>
              <w:rPr>
                <w:szCs w:val="21"/>
              </w:rPr>
            </w:pPr>
            <w:r>
              <w:rPr>
                <w:szCs w:val="21"/>
              </w:rPr>
              <w:t>丙</w:t>
            </w:r>
          </w:p>
        </w:tc>
      </w:tr>
      <w:tr w14:paraId="730FC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06D6661">
            <w:pPr>
              <w:spacing w:before="171" w:line="187" w:lineRule="auto"/>
              <w:ind w:left="175"/>
              <w:rPr>
                <w:spacing w:val="-3"/>
                <w:szCs w:val="21"/>
              </w:rPr>
            </w:pPr>
            <w:r>
              <w:rPr>
                <w:spacing w:val="-3"/>
                <w:szCs w:val="21"/>
              </w:rPr>
              <w:t>64</w:t>
            </w:r>
          </w:p>
        </w:tc>
        <w:tc>
          <w:tcPr>
            <w:tcW w:w="1020" w:type="dxa"/>
            <w:vAlign w:val="center"/>
          </w:tcPr>
          <w:p w14:paraId="52F77AFB">
            <w:pPr>
              <w:adjustRightInd w:val="0"/>
              <w:jc w:val="center"/>
              <w:rPr>
                <w:szCs w:val="21"/>
              </w:rPr>
            </w:pPr>
            <w:r>
              <w:rPr>
                <w:szCs w:val="21"/>
              </w:rPr>
              <w:t>三甲基氯硅烷</w:t>
            </w:r>
          </w:p>
        </w:tc>
        <w:tc>
          <w:tcPr>
            <w:tcW w:w="1025" w:type="dxa"/>
            <w:vAlign w:val="center"/>
          </w:tcPr>
          <w:p w14:paraId="65C66E42">
            <w:pPr>
              <w:adjustRightInd w:val="0"/>
              <w:jc w:val="center"/>
              <w:rPr>
                <w:szCs w:val="21"/>
              </w:rPr>
            </w:pPr>
            <w:r>
              <w:rPr>
                <w:szCs w:val="21"/>
              </w:rPr>
              <w:t>1809</w:t>
            </w:r>
          </w:p>
        </w:tc>
        <w:tc>
          <w:tcPr>
            <w:tcW w:w="3687" w:type="dxa"/>
            <w:vAlign w:val="center"/>
          </w:tcPr>
          <w:p w14:paraId="3DACE09E">
            <w:pPr>
              <w:adjustRightInd w:val="0"/>
              <w:jc w:val="left"/>
              <w:rPr>
                <w:szCs w:val="21"/>
              </w:rPr>
            </w:pPr>
            <w:r>
              <w:rPr>
                <w:szCs w:val="21"/>
              </w:rPr>
              <w:t>易燃液体，类别2</w:t>
            </w:r>
          </w:p>
          <w:p w14:paraId="207B7AE1">
            <w:pPr>
              <w:adjustRightInd w:val="0"/>
              <w:jc w:val="left"/>
              <w:rPr>
                <w:szCs w:val="21"/>
              </w:rPr>
            </w:pPr>
            <w:r>
              <w:rPr>
                <w:szCs w:val="21"/>
              </w:rPr>
              <w:t>急性毒性-经口，类别3</w:t>
            </w:r>
          </w:p>
          <w:p w14:paraId="41BDA09C">
            <w:pPr>
              <w:adjustRightInd w:val="0"/>
              <w:jc w:val="left"/>
              <w:rPr>
                <w:szCs w:val="21"/>
              </w:rPr>
            </w:pPr>
            <w:r>
              <w:rPr>
                <w:szCs w:val="21"/>
              </w:rPr>
              <w:t>急性毒性-吸入，类别3</w:t>
            </w:r>
          </w:p>
          <w:p w14:paraId="424BC8FE">
            <w:pPr>
              <w:adjustRightInd w:val="0"/>
              <w:jc w:val="left"/>
              <w:rPr>
                <w:szCs w:val="21"/>
              </w:rPr>
            </w:pPr>
            <w:r>
              <w:rPr>
                <w:szCs w:val="21"/>
              </w:rPr>
              <w:t>皮肤腐蚀/刺激，类别1</w:t>
            </w:r>
          </w:p>
          <w:p w14:paraId="415DD652">
            <w:pPr>
              <w:adjustRightInd w:val="0"/>
              <w:jc w:val="left"/>
              <w:rPr>
                <w:szCs w:val="21"/>
              </w:rPr>
            </w:pPr>
            <w:r>
              <w:rPr>
                <w:szCs w:val="21"/>
              </w:rPr>
              <w:t>严重眼损伤/眼刺激，类别1</w:t>
            </w:r>
          </w:p>
          <w:p w14:paraId="2B19833F">
            <w:pPr>
              <w:adjustRightInd w:val="0"/>
              <w:jc w:val="left"/>
              <w:rPr>
                <w:szCs w:val="21"/>
              </w:rPr>
            </w:pPr>
            <w:r>
              <w:rPr>
                <w:szCs w:val="21"/>
              </w:rPr>
              <w:t>特异性靶器官毒性-一次接触，类别2</w:t>
            </w:r>
          </w:p>
        </w:tc>
        <w:tc>
          <w:tcPr>
            <w:tcW w:w="1200" w:type="dxa"/>
            <w:vAlign w:val="center"/>
          </w:tcPr>
          <w:p w14:paraId="39364AF5">
            <w:pPr>
              <w:adjustRightInd w:val="0"/>
              <w:jc w:val="center"/>
              <w:rPr>
                <w:szCs w:val="21"/>
              </w:rPr>
            </w:pPr>
            <w:r>
              <w:rPr>
                <w:szCs w:val="21"/>
              </w:rPr>
              <w:t>34</w:t>
            </w:r>
          </w:p>
        </w:tc>
        <w:tc>
          <w:tcPr>
            <w:tcW w:w="975" w:type="dxa"/>
            <w:vAlign w:val="center"/>
          </w:tcPr>
          <w:p w14:paraId="09A95504">
            <w:pPr>
              <w:adjustRightInd w:val="0"/>
              <w:jc w:val="center"/>
              <w:rPr>
                <w:szCs w:val="21"/>
              </w:rPr>
            </w:pPr>
            <w:r>
              <w:rPr>
                <w:szCs w:val="21"/>
              </w:rPr>
              <w:t>甲</w:t>
            </w:r>
          </w:p>
        </w:tc>
      </w:tr>
      <w:tr w14:paraId="1C53B5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D317F77">
            <w:pPr>
              <w:spacing w:before="171" w:line="187" w:lineRule="auto"/>
              <w:ind w:left="175"/>
              <w:rPr>
                <w:spacing w:val="-3"/>
                <w:szCs w:val="21"/>
              </w:rPr>
            </w:pPr>
            <w:r>
              <w:rPr>
                <w:spacing w:val="-3"/>
                <w:szCs w:val="21"/>
              </w:rPr>
              <w:t>65</w:t>
            </w:r>
          </w:p>
        </w:tc>
        <w:tc>
          <w:tcPr>
            <w:tcW w:w="1020" w:type="dxa"/>
            <w:vAlign w:val="center"/>
          </w:tcPr>
          <w:p w14:paraId="1E4C8BBB">
            <w:pPr>
              <w:adjustRightInd w:val="0"/>
              <w:jc w:val="center"/>
              <w:rPr>
                <w:szCs w:val="21"/>
              </w:rPr>
            </w:pPr>
            <w:r>
              <w:rPr>
                <w:szCs w:val="21"/>
              </w:rPr>
              <w:t>三氟化硼乙醚溶液</w:t>
            </w:r>
          </w:p>
        </w:tc>
        <w:tc>
          <w:tcPr>
            <w:tcW w:w="1025" w:type="dxa"/>
            <w:vAlign w:val="center"/>
          </w:tcPr>
          <w:p w14:paraId="5023AACE">
            <w:pPr>
              <w:adjustRightInd w:val="0"/>
              <w:jc w:val="center"/>
              <w:rPr>
                <w:szCs w:val="21"/>
              </w:rPr>
            </w:pPr>
            <w:r>
              <w:rPr>
                <w:szCs w:val="21"/>
              </w:rPr>
              <w:t>1774</w:t>
            </w:r>
          </w:p>
        </w:tc>
        <w:tc>
          <w:tcPr>
            <w:tcW w:w="3687" w:type="dxa"/>
            <w:vAlign w:val="center"/>
          </w:tcPr>
          <w:p w14:paraId="52F0A143">
            <w:pPr>
              <w:adjustRightInd w:val="0"/>
              <w:jc w:val="left"/>
              <w:rPr>
                <w:szCs w:val="21"/>
              </w:rPr>
            </w:pPr>
            <w:r>
              <w:rPr>
                <w:szCs w:val="21"/>
              </w:rPr>
              <w:t>易燃液体，类别3</w:t>
            </w:r>
          </w:p>
          <w:p w14:paraId="38DC4A1E">
            <w:pPr>
              <w:adjustRightInd w:val="0"/>
              <w:jc w:val="left"/>
              <w:rPr>
                <w:szCs w:val="21"/>
              </w:rPr>
            </w:pPr>
            <w:r>
              <w:rPr>
                <w:szCs w:val="21"/>
              </w:rPr>
              <w:t>皮肤腐蚀/刺激，类别1</w:t>
            </w:r>
          </w:p>
          <w:p w14:paraId="02F16AEA">
            <w:pPr>
              <w:adjustRightInd w:val="0"/>
              <w:jc w:val="left"/>
              <w:rPr>
                <w:szCs w:val="21"/>
              </w:rPr>
            </w:pPr>
            <w:r>
              <w:rPr>
                <w:szCs w:val="21"/>
              </w:rPr>
              <w:t>严重眼损伤/眼刺激，类别1</w:t>
            </w:r>
          </w:p>
          <w:p w14:paraId="0010F264">
            <w:pPr>
              <w:adjustRightInd w:val="0"/>
              <w:jc w:val="left"/>
              <w:rPr>
                <w:szCs w:val="21"/>
              </w:rPr>
            </w:pPr>
            <w:r>
              <w:rPr>
                <w:szCs w:val="21"/>
              </w:rPr>
              <w:t>特异性靶器官毒性-反复接触，类别1</w:t>
            </w:r>
          </w:p>
        </w:tc>
        <w:tc>
          <w:tcPr>
            <w:tcW w:w="1200" w:type="dxa"/>
            <w:vAlign w:val="center"/>
          </w:tcPr>
          <w:p w14:paraId="614CC37C">
            <w:pPr>
              <w:adjustRightInd w:val="0"/>
              <w:jc w:val="center"/>
              <w:rPr>
                <w:szCs w:val="21"/>
              </w:rPr>
            </w:pPr>
            <w:r>
              <w:rPr>
                <w:szCs w:val="21"/>
              </w:rPr>
              <w:t>11.04</w:t>
            </w:r>
          </w:p>
        </w:tc>
        <w:tc>
          <w:tcPr>
            <w:tcW w:w="975" w:type="dxa"/>
            <w:vAlign w:val="center"/>
          </w:tcPr>
          <w:p w14:paraId="54239532">
            <w:pPr>
              <w:adjustRightInd w:val="0"/>
              <w:jc w:val="center"/>
              <w:rPr>
                <w:szCs w:val="21"/>
              </w:rPr>
            </w:pPr>
            <w:r>
              <w:rPr>
                <w:szCs w:val="21"/>
              </w:rPr>
              <w:t>乙</w:t>
            </w:r>
          </w:p>
        </w:tc>
      </w:tr>
      <w:tr w14:paraId="5C4A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13C2AC45">
            <w:pPr>
              <w:spacing w:before="171" w:line="187" w:lineRule="auto"/>
              <w:ind w:left="175"/>
              <w:rPr>
                <w:spacing w:val="-3"/>
                <w:szCs w:val="21"/>
              </w:rPr>
            </w:pPr>
            <w:r>
              <w:rPr>
                <w:spacing w:val="-3"/>
                <w:szCs w:val="21"/>
              </w:rPr>
              <w:t>66</w:t>
            </w:r>
          </w:p>
        </w:tc>
        <w:tc>
          <w:tcPr>
            <w:tcW w:w="1020" w:type="dxa"/>
            <w:vAlign w:val="center"/>
          </w:tcPr>
          <w:p w14:paraId="62186566">
            <w:pPr>
              <w:adjustRightInd w:val="0"/>
              <w:jc w:val="center"/>
              <w:rPr>
                <w:szCs w:val="21"/>
              </w:rPr>
            </w:pPr>
            <w:r>
              <w:rPr>
                <w:szCs w:val="21"/>
              </w:rPr>
              <w:t>甲磺酸</w:t>
            </w:r>
          </w:p>
        </w:tc>
        <w:tc>
          <w:tcPr>
            <w:tcW w:w="1025" w:type="dxa"/>
            <w:vAlign w:val="center"/>
          </w:tcPr>
          <w:p w14:paraId="6066CAED">
            <w:pPr>
              <w:adjustRightInd w:val="0"/>
              <w:jc w:val="center"/>
              <w:rPr>
                <w:szCs w:val="21"/>
              </w:rPr>
            </w:pPr>
            <w:r>
              <w:rPr>
                <w:szCs w:val="21"/>
              </w:rPr>
              <w:t>1125</w:t>
            </w:r>
          </w:p>
        </w:tc>
        <w:tc>
          <w:tcPr>
            <w:tcW w:w="3687" w:type="dxa"/>
            <w:vAlign w:val="center"/>
          </w:tcPr>
          <w:p w14:paraId="4C850523">
            <w:pPr>
              <w:adjustRightInd w:val="0"/>
              <w:jc w:val="left"/>
              <w:rPr>
                <w:szCs w:val="21"/>
              </w:rPr>
            </w:pPr>
            <w:r>
              <w:rPr>
                <w:szCs w:val="21"/>
              </w:rPr>
              <w:t>皮肤腐蚀/刺激，类别1B</w:t>
            </w:r>
          </w:p>
          <w:p w14:paraId="36240C6D">
            <w:pPr>
              <w:adjustRightInd w:val="0"/>
              <w:jc w:val="left"/>
              <w:rPr>
                <w:szCs w:val="21"/>
              </w:rPr>
            </w:pPr>
            <w:r>
              <w:rPr>
                <w:szCs w:val="21"/>
              </w:rPr>
              <w:t>严重眼损伤/眼刺激，类别1</w:t>
            </w:r>
          </w:p>
        </w:tc>
        <w:tc>
          <w:tcPr>
            <w:tcW w:w="1200" w:type="dxa"/>
            <w:vAlign w:val="center"/>
          </w:tcPr>
          <w:p w14:paraId="18FC3B67">
            <w:pPr>
              <w:adjustRightInd w:val="0"/>
              <w:jc w:val="center"/>
              <w:rPr>
                <w:szCs w:val="21"/>
              </w:rPr>
            </w:pPr>
            <w:r>
              <w:rPr>
                <w:szCs w:val="21"/>
              </w:rPr>
              <w:t>4.741</w:t>
            </w:r>
          </w:p>
        </w:tc>
        <w:tc>
          <w:tcPr>
            <w:tcW w:w="975" w:type="dxa"/>
            <w:vAlign w:val="center"/>
          </w:tcPr>
          <w:p w14:paraId="614B51B2">
            <w:pPr>
              <w:adjustRightInd w:val="0"/>
              <w:jc w:val="center"/>
              <w:rPr>
                <w:szCs w:val="21"/>
              </w:rPr>
            </w:pPr>
            <w:r>
              <w:rPr>
                <w:szCs w:val="21"/>
              </w:rPr>
              <w:t>丁</w:t>
            </w:r>
          </w:p>
        </w:tc>
      </w:tr>
      <w:tr w14:paraId="57BA5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D30DFE5">
            <w:pPr>
              <w:spacing w:before="171" w:line="187" w:lineRule="auto"/>
              <w:ind w:left="175"/>
              <w:rPr>
                <w:spacing w:val="-3"/>
                <w:szCs w:val="21"/>
              </w:rPr>
            </w:pPr>
            <w:r>
              <w:rPr>
                <w:spacing w:val="-3"/>
                <w:szCs w:val="21"/>
              </w:rPr>
              <w:t>67</w:t>
            </w:r>
          </w:p>
        </w:tc>
        <w:tc>
          <w:tcPr>
            <w:tcW w:w="1020" w:type="dxa"/>
            <w:vAlign w:val="center"/>
          </w:tcPr>
          <w:p w14:paraId="70D446FE">
            <w:pPr>
              <w:adjustRightInd w:val="0"/>
              <w:jc w:val="center"/>
              <w:rPr>
                <w:szCs w:val="21"/>
              </w:rPr>
            </w:pPr>
            <w:r>
              <w:rPr>
                <w:szCs w:val="21"/>
              </w:rPr>
              <w:t>三氟乙酸</w:t>
            </w:r>
          </w:p>
        </w:tc>
        <w:tc>
          <w:tcPr>
            <w:tcW w:w="1025" w:type="dxa"/>
            <w:vAlign w:val="center"/>
          </w:tcPr>
          <w:p w14:paraId="6A105991">
            <w:pPr>
              <w:adjustRightInd w:val="0"/>
              <w:jc w:val="center"/>
              <w:rPr>
                <w:szCs w:val="21"/>
              </w:rPr>
            </w:pPr>
            <w:r>
              <w:rPr>
                <w:szCs w:val="21"/>
              </w:rPr>
              <w:t>1789</w:t>
            </w:r>
          </w:p>
        </w:tc>
        <w:tc>
          <w:tcPr>
            <w:tcW w:w="3687" w:type="dxa"/>
            <w:vAlign w:val="center"/>
          </w:tcPr>
          <w:p w14:paraId="0A0DC979">
            <w:pPr>
              <w:adjustRightInd w:val="0"/>
              <w:jc w:val="left"/>
              <w:rPr>
                <w:szCs w:val="21"/>
              </w:rPr>
            </w:pPr>
            <w:r>
              <w:rPr>
                <w:szCs w:val="21"/>
              </w:rPr>
              <w:t>皮肤腐蚀/刺激，类别1A</w:t>
            </w:r>
          </w:p>
          <w:p w14:paraId="19861970">
            <w:pPr>
              <w:adjustRightInd w:val="0"/>
              <w:jc w:val="left"/>
              <w:rPr>
                <w:szCs w:val="21"/>
              </w:rPr>
            </w:pPr>
            <w:r>
              <w:rPr>
                <w:szCs w:val="21"/>
              </w:rPr>
              <w:t>严重眼损伤/眼刺激，类别1</w:t>
            </w:r>
          </w:p>
          <w:p w14:paraId="11229CD7">
            <w:pPr>
              <w:adjustRightInd w:val="0"/>
              <w:jc w:val="left"/>
              <w:rPr>
                <w:szCs w:val="21"/>
              </w:rPr>
            </w:pPr>
            <w:r>
              <w:rPr>
                <w:szCs w:val="21"/>
              </w:rPr>
              <w:t>危害水生环境-长期危害，类别3</w:t>
            </w:r>
          </w:p>
        </w:tc>
        <w:tc>
          <w:tcPr>
            <w:tcW w:w="1200" w:type="dxa"/>
            <w:vAlign w:val="center"/>
          </w:tcPr>
          <w:p w14:paraId="534AFF5C">
            <w:pPr>
              <w:adjustRightInd w:val="0"/>
              <w:jc w:val="center"/>
              <w:rPr>
                <w:szCs w:val="21"/>
              </w:rPr>
            </w:pPr>
            <w:r>
              <w:rPr>
                <w:szCs w:val="21"/>
              </w:rPr>
              <w:t>2.46</w:t>
            </w:r>
          </w:p>
        </w:tc>
        <w:tc>
          <w:tcPr>
            <w:tcW w:w="975" w:type="dxa"/>
            <w:vAlign w:val="center"/>
          </w:tcPr>
          <w:p w14:paraId="0BAA6509">
            <w:pPr>
              <w:adjustRightInd w:val="0"/>
              <w:jc w:val="center"/>
              <w:rPr>
                <w:szCs w:val="21"/>
              </w:rPr>
            </w:pPr>
            <w:r>
              <w:rPr>
                <w:szCs w:val="21"/>
              </w:rPr>
              <w:t>戊</w:t>
            </w:r>
          </w:p>
        </w:tc>
      </w:tr>
      <w:tr w14:paraId="5659F9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F94B851">
            <w:pPr>
              <w:spacing w:before="171" w:line="187" w:lineRule="auto"/>
              <w:ind w:left="175"/>
              <w:rPr>
                <w:spacing w:val="-3"/>
                <w:szCs w:val="21"/>
              </w:rPr>
            </w:pPr>
            <w:r>
              <w:rPr>
                <w:spacing w:val="-3"/>
                <w:szCs w:val="21"/>
              </w:rPr>
              <w:t>68</w:t>
            </w:r>
          </w:p>
        </w:tc>
        <w:tc>
          <w:tcPr>
            <w:tcW w:w="1020" w:type="dxa"/>
            <w:vAlign w:val="center"/>
          </w:tcPr>
          <w:p w14:paraId="7B8F0DB6">
            <w:pPr>
              <w:adjustRightInd w:val="0"/>
              <w:jc w:val="center"/>
              <w:rPr>
                <w:szCs w:val="21"/>
              </w:rPr>
            </w:pPr>
            <w:r>
              <w:rPr>
                <w:szCs w:val="21"/>
              </w:rPr>
              <w:t>特戊酰氯（三甲基乙酰氯）</w:t>
            </w:r>
          </w:p>
        </w:tc>
        <w:tc>
          <w:tcPr>
            <w:tcW w:w="1025" w:type="dxa"/>
            <w:vAlign w:val="center"/>
          </w:tcPr>
          <w:p w14:paraId="11DE80F2">
            <w:pPr>
              <w:adjustRightInd w:val="0"/>
              <w:jc w:val="center"/>
              <w:rPr>
                <w:szCs w:val="21"/>
              </w:rPr>
            </w:pPr>
            <w:r>
              <w:rPr>
                <w:szCs w:val="21"/>
              </w:rPr>
              <w:t>1815</w:t>
            </w:r>
          </w:p>
        </w:tc>
        <w:tc>
          <w:tcPr>
            <w:tcW w:w="3687" w:type="dxa"/>
            <w:vAlign w:val="center"/>
          </w:tcPr>
          <w:p w14:paraId="4F27BE8E">
            <w:pPr>
              <w:adjustRightInd w:val="0"/>
              <w:jc w:val="left"/>
              <w:rPr>
                <w:szCs w:val="21"/>
              </w:rPr>
            </w:pPr>
            <w:r>
              <w:rPr>
                <w:szCs w:val="21"/>
              </w:rPr>
              <w:t>易燃液体，类别2</w:t>
            </w:r>
          </w:p>
          <w:p w14:paraId="42B55F5F">
            <w:pPr>
              <w:adjustRightInd w:val="0"/>
              <w:jc w:val="left"/>
              <w:rPr>
                <w:szCs w:val="21"/>
              </w:rPr>
            </w:pPr>
            <w:r>
              <w:rPr>
                <w:szCs w:val="21"/>
              </w:rPr>
              <w:t>急性毒性-吸入，类别2</w:t>
            </w:r>
          </w:p>
          <w:p w14:paraId="05E60818">
            <w:pPr>
              <w:adjustRightInd w:val="0"/>
              <w:jc w:val="left"/>
              <w:rPr>
                <w:szCs w:val="21"/>
              </w:rPr>
            </w:pPr>
            <w:r>
              <w:rPr>
                <w:szCs w:val="21"/>
              </w:rPr>
              <w:t>皮肤腐蚀/刺激，类别1B</w:t>
            </w:r>
          </w:p>
          <w:p w14:paraId="00A3A0D2">
            <w:pPr>
              <w:adjustRightInd w:val="0"/>
              <w:jc w:val="left"/>
              <w:rPr>
                <w:szCs w:val="21"/>
              </w:rPr>
            </w:pPr>
            <w:r>
              <w:rPr>
                <w:szCs w:val="21"/>
              </w:rPr>
              <w:t>严重眼损伤/眼刺激，类别1</w:t>
            </w:r>
          </w:p>
          <w:p w14:paraId="2457FA8B">
            <w:pPr>
              <w:adjustRightInd w:val="0"/>
              <w:jc w:val="left"/>
              <w:rPr>
                <w:szCs w:val="21"/>
              </w:rPr>
            </w:pPr>
            <w:r>
              <w:rPr>
                <w:szCs w:val="21"/>
              </w:rPr>
              <w:t>特异性靶器官毒性-一次接触，类别1；</w:t>
            </w:r>
          </w:p>
        </w:tc>
        <w:tc>
          <w:tcPr>
            <w:tcW w:w="1200" w:type="dxa"/>
            <w:vAlign w:val="center"/>
          </w:tcPr>
          <w:p w14:paraId="0AB9DCA2">
            <w:pPr>
              <w:adjustRightInd w:val="0"/>
              <w:jc w:val="center"/>
              <w:rPr>
                <w:szCs w:val="21"/>
              </w:rPr>
            </w:pPr>
            <w:r>
              <w:rPr>
                <w:szCs w:val="21"/>
              </w:rPr>
              <w:t>0.78</w:t>
            </w:r>
          </w:p>
        </w:tc>
        <w:tc>
          <w:tcPr>
            <w:tcW w:w="975" w:type="dxa"/>
            <w:vAlign w:val="center"/>
          </w:tcPr>
          <w:p w14:paraId="1D93B2FB">
            <w:pPr>
              <w:adjustRightInd w:val="0"/>
              <w:jc w:val="center"/>
              <w:rPr>
                <w:szCs w:val="21"/>
              </w:rPr>
            </w:pPr>
            <w:r>
              <w:rPr>
                <w:szCs w:val="21"/>
              </w:rPr>
              <w:t>甲</w:t>
            </w:r>
          </w:p>
        </w:tc>
      </w:tr>
      <w:tr w14:paraId="002BC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002A584">
            <w:pPr>
              <w:spacing w:before="171" w:line="187" w:lineRule="auto"/>
              <w:ind w:left="175"/>
              <w:rPr>
                <w:spacing w:val="-3"/>
                <w:szCs w:val="21"/>
              </w:rPr>
            </w:pPr>
            <w:r>
              <w:rPr>
                <w:spacing w:val="-3"/>
                <w:szCs w:val="21"/>
              </w:rPr>
              <w:t>69</w:t>
            </w:r>
          </w:p>
        </w:tc>
        <w:tc>
          <w:tcPr>
            <w:tcW w:w="1020" w:type="dxa"/>
            <w:vAlign w:val="center"/>
          </w:tcPr>
          <w:p w14:paraId="65DB2501">
            <w:pPr>
              <w:adjustRightInd w:val="0"/>
              <w:jc w:val="center"/>
              <w:rPr>
                <w:szCs w:val="21"/>
              </w:rPr>
            </w:pPr>
            <w:r>
              <w:rPr>
                <w:szCs w:val="21"/>
              </w:rPr>
              <w:t>5-氯噻吩-2-甲酰氯</w:t>
            </w:r>
          </w:p>
        </w:tc>
        <w:tc>
          <w:tcPr>
            <w:tcW w:w="1025" w:type="dxa"/>
            <w:vAlign w:val="center"/>
          </w:tcPr>
          <w:p w14:paraId="2CCA6E3F">
            <w:pPr>
              <w:adjustRightInd w:val="0"/>
              <w:jc w:val="center"/>
              <w:rPr>
                <w:szCs w:val="21"/>
              </w:rPr>
            </w:pPr>
            <w:r>
              <w:rPr>
                <w:szCs w:val="21"/>
              </w:rPr>
              <w:t>2828</w:t>
            </w:r>
          </w:p>
        </w:tc>
        <w:tc>
          <w:tcPr>
            <w:tcW w:w="3687" w:type="dxa"/>
            <w:vAlign w:val="center"/>
          </w:tcPr>
          <w:p w14:paraId="5814C1A1">
            <w:pPr>
              <w:adjustRightInd w:val="0"/>
              <w:jc w:val="left"/>
              <w:rPr>
                <w:szCs w:val="21"/>
              </w:rPr>
            </w:pPr>
            <w:r>
              <w:rPr>
                <w:szCs w:val="21"/>
              </w:rPr>
              <w:t>23℃≤闪点≤60℃：</w:t>
            </w:r>
          </w:p>
          <w:p w14:paraId="023FE118">
            <w:pPr>
              <w:adjustRightInd w:val="0"/>
              <w:jc w:val="left"/>
              <w:rPr>
                <w:szCs w:val="21"/>
              </w:rPr>
            </w:pPr>
            <w:r>
              <w:rPr>
                <w:szCs w:val="21"/>
              </w:rPr>
              <w:t>易燃液体，类别3</w:t>
            </w:r>
          </w:p>
          <w:p w14:paraId="4D3C5A2D">
            <w:pPr>
              <w:adjustRightInd w:val="0"/>
              <w:jc w:val="left"/>
              <w:rPr>
                <w:szCs w:val="21"/>
              </w:rPr>
            </w:pPr>
            <w:r>
              <w:rPr>
                <w:szCs w:val="21"/>
              </w:rPr>
              <w:t>皮肤腐蚀/刺激，类别1B</w:t>
            </w:r>
          </w:p>
        </w:tc>
        <w:tc>
          <w:tcPr>
            <w:tcW w:w="1200" w:type="dxa"/>
            <w:vAlign w:val="center"/>
          </w:tcPr>
          <w:p w14:paraId="4C39FD83">
            <w:pPr>
              <w:adjustRightInd w:val="0"/>
              <w:jc w:val="center"/>
              <w:rPr>
                <w:szCs w:val="21"/>
              </w:rPr>
            </w:pPr>
            <w:r>
              <w:rPr>
                <w:szCs w:val="21"/>
              </w:rPr>
              <w:t>5.07</w:t>
            </w:r>
          </w:p>
        </w:tc>
        <w:tc>
          <w:tcPr>
            <w:tcW w:w="975" w:type="dxa"/>
            <w:vAlign w:val="center"/>
          </w:tcPr>
          <w:p w14:paraId="4E320B63">
            <w:pPr>
              <w:adjustRightInd w:val="0"/>
              <w:jc w:val="center"/>
              <w:rPr>
                <w:szCs w:val="21"/>
              </w:rPr>
            </w:pPr>
            <w:r>
              <w:rPr>
                <w:szCs w:val="21"/>
              </w:rPr>
              <w:t>乙</w:t>
            </w:r>
          </w:p>
        </w:tc>
      </w:tr>
      <w:tr w14:paraId="4BD0F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C25CD83">
            <w:pPr>
              <w:spacing w:before="171" w:line="187" w:lineRule="auto"/>
              <w:ind w:left="175"/>
              <w:rPr>
                <w:spacing w:val="-3"/>
                <w:szCs w:val="21"/>
              </w:rPr>
            </w:pPr>
            <w:r>
              <w:rPr>
                <w:spacing w:val="-3"/>
                <w:szCs w:val="21"/>
              </w:rPr>
              <w:t>70</w:t>
            </w:r>
          </w:p>
        </w:tc>
        <w:tc>
          <w:tcPr>
            <w:tcW w:w="1020" w:type="dxa"/>
            <w:vAlign w:val="center"/>
          </w:tcPr>
          <w:p w14:paraId="637A3A38">
            <w:pPr>
              <w:adjustRightInd w:val="0"/>
              <w:jc w:val="center"/>
              <w:rPr>
                <w:szCs w:val="21"/>
              </w:rPr>
            </w:pPr>
            <w:r>
              <w:rPr>
                <w:szCs w:val="21"/>
              </w:rPr>
              <w:t>N-甲基吗啉</w:t>
            </w:r>
          </w:p>
        </w:tc>
        <w:tc>
          <w:tcPr>
            <w:tcW w:w="1025" w:type="dxa"/>
            <w:vAlign w:val="center"/>
          </w:tcPr>
          <w:p w14:paraId="6AD9F5EF">
            <w:pPr>
              <w:adjustRightInd w:val="0"/>
              <w:jc w:val="center"/>
              <w:rPr>
                <w:szCs w:val="21"/>
              </w:rPr>
            </w:pPr>
            <w:r>
              <w:rPr>
                <w:szCs w:val="21"/>
              </w:rPr>
              <w:t>1135</w:t>
            </w:r>
          </w:p>
        </w:tc>
        <w:tc>
          <w:tcPr>
            <w:tcW w:w="3687" w:type="dxa"/>
            <w:vAlign w:val="center"/>
          </w:tcPr>
          <w:p w14:paraId="3B430006">
            <w:pPr>
              <w:adjustRightInd w:val="0"/>
              <w:jc w:val="left"/>
              <w:rPr>
                <w:szCs w:val="21"/>
              </w:rPr>
            </w:pPr>
            <w:r>
              <w:rPr>
                <w:szCs w:val="21"/>
              </w:rPr>
              <w:t>易燃液体，类别2</w:t>
            </w:r>
          </w:p>
        </w:tc>
        <w:tc>
          <w:tcPr>
            <w:tcW w:w="1200" w:type="dxa"/>
            <w:vAlign w:val="center"/>
          </w:tcPr>
          <w:p w14:paraId="738CD186">
            <w:pPr>
              <w:adjustRightInd w:val="0"/>
              <w:jc w:val="center"/>
              <w:rPr>
                <w:szCs w:val="21"/>
              </w:rPr>
            </w:pPr>
            <w:r>
              <w:rPr>
                <w:szCs w:val="21"/>
              </w:rPr>
              <w:t>5.89</w:t>
            </w:r>
          </w:p>
        </w:tc>
        <w:tc>
          <w:tcPr>
            <w:tcW w:w="975" w:type="dxa"/>
            <w:vAlign w:val="center"/>
          </w:tcPr>
          <w:p w14:paraId="02E6F7F3">
            <w:pPr>
              <w:adjustRightInd w:val="0"/>
              <w:jc w:val="center"/>
              <w:rPr>
                <w:szCs w:val="21"/>
              </w:rPr>
            </w:pPr>
            <w:r>
              <w:rPr>
                <w:szCs w:val="21"/>
              </w:rPr>
              <w:t>甲</w:t>
            </w:r>
          </w:p>
        </w:tc>
      </w:tr>
      <w:tr w14:paraId="71832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96C8534">
            <w:pPr>
              <w:spacing w:before="171" w:line="187" w:lineRule="auto"/>
              <w:ind w:left="175"/>
              <w:rPr>
                <w:spacing w:val="-3"/>
                <w:szCs w:val="21"/>
              </w:rPr>
            </w:pPr>
            <w:r>
              <w:rPr>
                <w:spacing w:val="-3"/>
                <w:szCs w:val="21"/>
              </w:rPr>
              <w:t>71</w:t>
            </w:r>
          </w:p>
        </w:tc>
        <w:tc>
          <w:tcPr>
            <w:tcW w:w="1020" w:type="dxa"/>
            <w:vAlign w:val="center"/>
          </w:tcPr>
          <w:p w14:paraId="6BAD812D">
            <w:pPr>
              <w:adjustRightInd w:val="0"/>
              <w:jc w:val="center"/>
              <w:rPr>
                <w:szCs w:val="21"/>
              </w:rPr>
            </w:pPr>
            <w:r>
              <w:rPr>
                <w:szCs w:val="21"/>
              </w:rPr>
              <w:t>三乙胺</w:t>
            </w:r>
          </w:p>
        </w:tc>
        <w:tc>
          <w:tcPr>
            <w:tcW w:w="1025" w:type="dxa"/>
            <w:vAlign w:val="center"/>
          </w:tcPr>
          <w:p w14:paraId="5C397D73">
            <w:pPr>
              <w:adjustRightInd w:val="0"/>
              <w:jc w:val="center"/>
              <w:rPr>
                <w:szCs w:val="21"/>
              </w:rPr>
            </w:pPr>
            <w:r>
              <w:rPr>
                <w:szCs w:val="21"/>
              </w:rPr>
              <w:t>1915</w:t>
            </w:r>
          </w:p>
        </w:tc>
        <w:tc>
          <w:tcPr>
            <w:tcW w:w="3687" w:type="dxa"/>
            <w:vAlign w:val="center"/>
          </w:tcPr>
          <w:p w14:paraId="3367B296">
            <w:pPr>
              <w:adjustRightInd w:val="0"/>
              <w:jc w:val="left"/>
              <w:rPr>
                <w:szCs w:val="21"/>
              </w:rPr>
            </w:pPr>
            <w:r>
              <w:rPr>
                <w:szCs w:val="21"/>
              </w:rPr>
              <w:t>易燃液体，类别2</w:t>
            </w:r>
          </w:p>
          <w:p w14:paraId="70F5D380">
            <w:pPr>
              <w:adjustRightInd w:val="0"/>
              <w:jc w:val="left"/>
              <w:rPr>
                <w:szCs w:val="21"/>
              </w:rPr>
            </w:pPr>
            <w:r>
              <w:rPr>
                <w:szCs w:val="21"/>
              </w:rPr>
              <w:t>皮肤腐蚀/刺激，类别1A</w:t>
            </w:r>
          </w:p>
          <w:p w14:paraId="63246A1B">
            <w:pPr>
              <w:adjustRightInd w:val="0"/>
              <w:jc w:val="left"/>
              <w:rPr>
                <w:szCs w:val="21"/>
              </w:rPr>
            </w:pPr>
            <w:r>
              <w:rPr>
                <w:szCs w:val="21"/>
              </w:rPr>
              <w:t>严重眼损伤/眼刺激，类别1</w:t>
            </w:r>
          </w:p>
          <w:p w14:paraId="25D8A2AD">
            <w:pPr>
              <w:adjustRightInd w:val="0"/>
              <w:jc w:val="left"/>
              <w:rPr>
                <w:szCs w:val="21"/>
              </w:rPr>
            </w:pPr>
            <w:r>
              <w:rPr>
                <w:szCs w:val="21"/>
              </w:rPr>
              <w:t>特异性靶器官毒性-一次接触，类别3（呼吸道刺激）</w:t>
            </w:r>
          </w:p>
        </w:tc>
        <w:tc>
          <w:tcPr>
            <w:tcW w:w="1200" w:type="dxa"/>
            <w:vAlign w:val="center"/>
          </w:tcPr>
          <w:p w14:paraId="7CDB8A53">
            <w:pPr>
              <w:adjustRightInd w:val="0"/>
              <w:jc w:val="center"/>
              <w:rPr>
                <w:szCs w:val="21"/>
              </w:rPr>
            </w:pPr>
            <w:r>
              <w:rPr>
                <w:szCs w:val="21"/>
              </w:rPr>
              <w:t>0.58</w:t>
            </w:r>
          </w:p>
        </w:tc>
        <w:tc>
          <w:tcPr>
            <w:tcW w:w="975" w:type="dxa"/>
            <w:vAlign w:val="center"/>
          </w:tcPr>
          <w:p w14:paraId="2499B25A">
            <w:pPr>
              <w:adjustRightInd w:val="0"/>
              <w:jc w:val="center"/>
              <w:rPr>
                <w:szCs w:val="21"/>
              </w:rPr>
            </w:pPr>
            <w:r>
              <w:rPr>
                <w:szCs w:val="21"/>
              </w:rPr>
              <w:t>甲</w:t>
            </w:r>
          </w:p>
        </w:tc>
      </w:tr>
      <w:tr w14:paraId="224A0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4DF875C">
            <w:pPr>
              <w:spacing w:before="171" w:line="187" w:lineRule="auto"/>
              <w:ind w:left="175"/>
              <w:rPr>
                <w:spacing w:val="-3"/>
                <w:szCs w:val="21"/>
              </w:rPr>
            </w:pPr>
            <w:r>
              <w:rPr>
                <w:spacing w:val="-3"/>
                <w:szCs w:val="21"/>
              </w:rPr>
              <w:t>72</w:t>
            </w:r>
          </w:p>
        </w:tc>
        <w:tc>
          <w:tcPr>
            <w:tcW w:w="1020" w:type="dxa"/>
            <w:vAlign w:val="center"/>
          </w:tcPr>
          <w:p w14:paraId="3F1DE437">
            <w:pPr>
              <w:adjustRightInd w:val="0"/>
              <w:jc w:val="center"/>
              <w:rPr>
                <w:szCs w:val="21"/>
              </w:rPr>
            </w:pPr>
            <w:r>
              <w:rPr>
                <w:szCs w:val="21"/>
              </w:rPr>
              <w:t>甲胺水溶液(40%)</w:t>
            </w:r>
          </w:p>
        </w:tc>
        <w:tc>
          <w:tcPr>
            <w:tcW w:w="1025" w:type="dxa"/>
            <w:vAlign w:val="center"/>
          </w:tcPr>
          <w:p w14:paraId="739E465D">
            <w:pPr>
              <w:adjustRightInd w:val="0"/>
              <w:jc w:val="center"/>
              <w:rPr>
                <w:szCs w:val="21"/>
              </w:rPr>
            </w:pPr>
            <w:r>
              <w:rPr>
                <w:szCs w:val="21"/>
              </w:rPr>
              <w:t>2550</w:t>
            </w:r>
          </w:p>
        </w:tc>
        <w:tc>
          <w:tcPr>
            <w:tcW w:w="3687" w:type="dxa"/>
            <w:vAlign w:val="center"/>
          </w:tcPr>
          <w:p w14:paraId="7E522AB8">
            <w:pPr>
              <w:adjustRightInd w:val="0"/>
              <w:jc w:val="left"/>
              <w:rPr>
                <w:szCs w:val="21"/>
              </w:rPr>
            </w:pPr>
            <w:r>
              <w:rPr>
                <w:szCs w:val="21"/>
              </w:rPr>
              <w:t>易燃液体，类别1</w:t>
            </w:r>
          </w:p>
          <w:p w14:paraId="13B18072">
            <w:pPr>
              <w:adjustRightInd w:val="0"/>
              <w:jc w:val="left"/>
              <w:rPr>
                <w:szCs w:val="21"/>
              </w:rPr>
            </w:pPr>
            <w:r>
              <w:rPr>
                <w:szCs w:val="21"/>
              </w:rPr>
              <w:t>皮肤腐蚀/刺激，类别1B</w:t>
            </w:r>
          </w:p>
          <w:p w14:paraId="7C0EAF33">
            <w:pPr>
              <w:adjustRightInd w:val="0"/>
              <w:jc w:val="left"/>
              <w:rPr>
                <w:szCs w:val="21"/>
              </w:rPr>
            </w:pPr>
            <w:r>
              <w:rPr>
                <w:szCs w:val="21"/>
              </w:rPr>
              <w:t>严重眼损伤/眼刺激，类别1</w:t>
            </w:r>
          </w:p>
          <w:p w14:paraId="1A591174">
            <w:pPr>
              <w:adjustRightInd w:val="0"/>
              <w:jc w:val="left"/>
              <w:rPr>
                <w:szCs w:val="21"/>
              </w:rPr>
            </w:pPr>
            <w:r>
              <w:rPr>
                <w:szCs w:val="21"/>
              </w:rPr>
              <w:t>特异性靶器官毒性-一次接触，类别3（呼吸道刺激）</w:t>
            </w:r>
          </w:p>
        </w:tc>
        <w:tc>
          <w:tcPr>
            <w:tcW w:w="1200" w:type="dxa"/>
            <w:vAlign w:val="center"/>
          </w:tcPr>
          <w:p w14:paraId="4D20C2A0">
            <w:pPr>
              <w:adjustRightInd w:val="0"/>
              <w:jc w:val="center"/>
              <w:rPr>
                <w:szCs w:val="21"/>
              </w:rPr>
            </w:pPr>
            <w:r>
              <w:rPr>
                <w:szCs w:val="21"/>
              </w:rPr>
              <w:t>1.42</w:t>
            </w:r>
          </w:p>
        </w:tc>
        <w:tc>
          <w:tcPr>
            <w:tcW w:w="975" w:type="dxa"/>
            <w:vAlign w:val="center"/>
          </w:tcPr>
          <w:p w14:paraId="11C155A3">
            <w:pPr>
              <w:adjustRightInd w:val="0"/>
              <w:jc w:val="center"/>
              <w:rPr>
                <w:szCs w:val="21"/>
              </w:rPr>
            </w:pPr>
            <w:r>
              <w:rPr>
                <w:szCs w:val="21"/>
              </w:rPr>
              <w:t>甲</w:t>
            </w:r>
          </w:p>
        </w:tc>
      </w:tr>
      <w:tr w14:paraId="4DF84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4737570">
            <w:pPr>
              <w:spacing w:before="171" w:line="187" w:lineRule="auto"/>
              <w:ind w:left="175"/>
              <w:rPr>
                <w:spacing w:val="-3"/>
                <w:szCs w:val="21"/>
              </w:rPr>
            </w:pPr>
            <w:r>
              <w:rPr>
                <w:spacing w:val="-3"/>
                <w:szCs w:val="21"/>
              </w:rPr>
              <w:t>73</w:t>
            </w:r>
          </w:p>
        </w:tc>
        <w:tc>
          <w:tcPr>
            <w:tcW w:w="1020" w:type="dxa"/>
            <w:vAlign w:val="center"/>
          </w:tcPr>
          <w:p w14:paraId="168653A1">
            <w:pPr>
              <w:adjustRightInd w:val="0"/>
              <w:jc w:val="center"/>
              <w:rPr>
                <w:szCs w:val="21"/>
              </w:rPr>
            </w:pPr>
            <w:r>
              <w:rPr>
                <w:szCs w:val="21"/>
              </w:rPr>
              <w:t>N,N-二异丙基乙胺(DIPEA)</w:t>
            </w:r>
          </w:p>
        </w:tc>
        <w:tc>
          <w:tcPr>
            <w:tcW w:w="1025" w:type="dxa"/>
            <w:vAlign w:val="center"/>
          </w:tcPr>
          <w:p w14:paraId="4F0EDF0E">
            <w:pPr>
              <w:adjustRightInd w:val="0"/>
              <w:jc w:val="center"/>
              <w:rPr>
                <w:szCs w:val="21"/>
              </w:rPr>
            </w:pPr>
            <w:r>
              <w:rPr>
                <w:szCs w:val="21"/>
              </w:rPr>
              <w:t>710</w:t>
            </w:r>
          </w:p>
        </w:tc>
        <w:tc>
          <w:tcPr>
            <w:tcW w:w="3687" w:type="dxa"/>
            <w:vAlign w:val="center"/>
          </w:tcPr>
          <w:p w14:paraId="2D0792CA">
            <w:pPr>
              <w:adjustRightInd w:val="0"/>
              <w:jc w:val="left"/>
              <w:rPr>
                <w:szCs w:val="21"/>
              </w:rPr>
            </w:pPr>
            <w:r>
              <w:rPr>
                <w:szCs w:val="21"/>
              </w:rPr>
              <w:t>易燃液体，类别2</w:t>
            </w:r>
          </w:p>
          <w:p w14:paraId="38F25B2A">
            <w:pPr>
              <w:adjustRightInd w:val="0"/>
              <w:jc w:val="left"/>
              <w:rPr>
                <w:szCs w:val="21"/>
              </w:rPr>
            </w:pPr>
            <w:r>
              <w:rPr>
                <w:szCs w:val="21"/>
              </w:rPr>
              <w:t>皮肤腐蚀/刺激，类别1</w:t>
            </w:r>
          </w:p>
          <w:p w14:paraId="596E3E5C">
            <w:pPr>
              <w:adjustRightInd w:val="0"/>
              <w:jc w:val="left"/>
              <w:rPr>
                <w:szCs w:val="21"/>
              </w:rPr>
            </w:pPr>
            <w:r>
              <w:rPr>
                <w:szCs w:val="21"/>
              </w:rPr>
              <w:t>严重眼损伤/眼刺激，类别1</w:t>
            </w:r>
          </w:p>
        </w:tc>
        <w:tc>
          <w:tcPr>
            <w:tcW w:w="1200" w:type="dxa"/>
            <w:vAlign w:val="center"/>
          </w:tcPr>
          <w:p w14:paraId="749BD8B9">
            <w:pPr>
              <w:adjustRightInd w:val="0"/>
              <w:jc w:val="center"/>
              <w:rPr>
                <w:szCs w:val="21"/>
              </w:rPr>
            </w:pPr>
            <w:r>
              <w:rPr>
                <w:szCs w:val="21"/>
              </w:rPr>
              <w:t>2.7</w:t>
            </w:r>
          </w:p>
        </w:tc>
        <w:tc>
          <w:tcPr>
            <w:tcW w:w="975" w:type="dxa"/>
            <w:vAlign w:val="center"/>
          </w:tcPr>
          <w:p w14:paraId="3D239EA6">
            <w:pPr>
              <w:adjustRightInd w:val="0"/>
              <w:jc w:val="center"/>
              <w:rPr>
                <w:szCs w:val="21"/>
              </w:rPr>
            </w:pPr>
            <w:r>
              <w:rPr>
                <w:szCs w:val="21"/>
              </w:rPr>
              <w:t>甲</w:t>
            </w:r>
          </w:p>
        </w:tc>
      </w:tr>
      <w:tr w14:paraId="49E155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6CAEDC9">
            <w:pPr>
              <w:spacing w:before="171" w:line="187" w:lineRule="auto"/>
              <w:ind w:left="175"/>
              <w:rPr>
                <w:spacing w:val="-3"/>
                <w:szCs w:val="21"/>
              </w:rPr>
            </w:pPr>
            <w:r>
              <w:rPr>
                <w:spacing w:val="-3"/>
                <w:szCs w:val="21"/>
              </w:rPr>
              <w:t>74</w:t>
            </w:r>
          </w:p>
        </w:tc>
        <w:tc>
          <w:tcPr>
            <w:tcW w:w="1020" w:type="dxa"/>
            <w:vAlign w:val="center"/>
          </w:tcPr>
          <w:p w14:paraId="6F3074F0">
            <w:pPr>
              <w:adjustRightInd w:val="0"/>
              <w:jc w:val="center"/>
              <w:rPr>
                <w:szCs w:val="21"/>
              </w:rPr>
            </w:pPr>
            <w:r>
              <w:rPr>
                <w:szCs w:val="21"/>
              </w:rPr>
              <w:t>氟苯</w:t>
            </w:r>
          </w:p>
        </w:tc>
        <w:tc>
          <w:tcPr>
            <w:tcW w:w="1025" w:type="dxa"/>
            <w:vAlign w:val="center"/>
          </w:tcPr>
          <w:p w14:paraId="6B3FD69D">
            <w:pPr>
              <w:adjustRightInd w:val="0"/>
              <w:jc w:val="center"/>
              <w:rPr>
                <w:szCs w:val="21"/>
              </w:rPr>
            </w:pPr>
            <w:r>
              <w:rPr>
                <w:szCs w:val="21"/>
              </w:rPr>
              <w:t>737</w:t>
            </w:r>
          </w:p>
        </w:tc>
        <w:tc>
          <w:tcPr>
            <w:tcW w:w="3687" w:type="dxa"/>
            <w:vAlign w:val="center"/>
          </w:tcPr>
          <w:p w14:paraId="37FE2A3C">
            <w:pPr>
              <w:adjustRightInd w:val="0"/>
              <w:jc w:val="left"/>
              <w:rPr>
                <w:szCs w:val="21"/>
              </w:rPr>
            </w:pPr>
            <w:r>
              <w:rPr>
                <w:szCs w:val="21"/>
              </w:rPr>
              <w:t>易燃液体，类别2</w:t>
            </w:r>
          </w:p>
          <w:p w14:paraId="4A496D16">
            <w:pPr>
              <w:adjustRightInd w:val="0"/>
              <w:jc w:val="left"/>
              <w:rPr>
                <w:szCs w:val="21"/>
              </w:rPr>
            </w:pPr>
            <w:r>
              <w:rPr>
                <w:szCs w:val="21"/>
              </w:rPr>
              <w:t>严重眼损伤/眼刺激，类别2A</w:t>
            </w:r>
          </w:p>
          <w:p w14:paraId="458A12F7">
            <w:pPr>
              <w:adjustRightInd w:val="0"/>
              <w:jc w:val="left"/>
              <w:rPr>
                <w:szCs w:val="21"/>
              </w:rPr>
            </w:pPr>
            <w:r>
              <w:rPr>
                <w:szCs w:val="21"/>
              </w:rPr>
              <w:t>危害水生环境-急性危害，类别2</w:t>
            </w:r>
          </w:p>
          <w:p w14:paraId="6D730C22">
            <w:pPr>
              <w:adjustRightInd w:val="0"/>
              <w:jc w:val="left"/>
              <w:rPr>
                <w:szCs w:val="21"/>
              </w:rPr>
            </w:pPr>
            <w:r>
              <w:rPr>
                <w:szCs w:val="21"/>
              </w:rPr>
              <w:t>危害水生环境-长期危害，类别2</w:t>
            </w:r>
          </w:p>
        </w:tc>
        <w:tc>
          <w:tcPr>
            <w:tcW w:w="1200" w:type="dxa"/>
            <w:vAlign w:val="center"/>
          </w:tcPr>
          <w:p w14:paraId="6A2C5FDB">
            <w:pPr>
              <w:adjustRightInd w:val="0"/>
              <w:jc w:val="center"/>
              <w:rPr>
                <w:szCs w:val="21"/>
              </w:rPr>
            </w:pPr>
            <w:r>
              <w:rPr>
                <w:szCs w:val="21"/>
              </w:rPr>
              <w:t>5.07</w:t>
            </w:r>
          </w:p>
        </w:tc>
        <w:tc>
          <w:tcPr>
            <w:tcW w:w="975" w:type="dxa"/>
            <w:vAlign w:val="center"/>
          </w:tcPr>
          <w:p w14:paraId="631D0202">
            <w:pPr>
              <w:adjustRightInd w:val="0"/>
              <w:jc w:val="center"/>
              <w:rPr>
                <w:szCs w:val="21"/>
              </w:rPr>
            </w:pPr>
            <w:r>
              <w:rPr>
                <w:szCs w:val="21"/>
              </w:rPr>
              <w:t>甲</w:t>
            </w:r>
          </w:p>
        </w:tc>
      </w:tr>
      <w:tr w14:paraId="36FF4F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1D624D5">
            <w:pPr>
              <w:spacing w:before="171" w:line="187" w:lineRule="auto"/>
              <w:ind w:left="175"/>
              <w:rPr>
                <w:spacing w:val="-3"/>
                <w:szCs w:val="21"/>
              </w:rPr>
            </w:pPr>
            <w:r>
              <w:rPr>
                <w:spacing w:val="-3"/>
                <w:szCs w:val="21"/>
              </w:rPr>
              <w:t>75</w:t>
            </w:r>
          </w:p>
        </w:tc>
        <w:tc>
          <w:tcPr>
            <w:tcW w:w="1020" w:type="dxa"/>
            <w:vAlign w:val="center"/>
          </w:tcPr>
          <w:p w14:paraId="4870C52F">
            <w:pPr>
              <w:adjustRightInd w:val="0"/>
              <w:jc w:val="center"/>
              <w:rPr>
                <w:szCs w:val="21"/>
              </w:rPr>
            </w:pPr>
            <w:r>
              <w:rPr>
                <w:szCs w:val="21"/>
              </w:rPr>
              <w:t>S-环氧氯丙烷</w:t>
            </w:r>
          </w:p>
        </w:tc>
        <w:tc>
          <w:tcPr>
            <w:tcW w:w="1025" w:type="dxa"/>
            <w:vAlign w:val="center"/>
          </w:tcPr>
          <w:p w14:paraId="2D6E838D">
            <w:pPr>
              <w:adjustRightInd w:val="0"/>
              <w:jc w:val="center"/>
              <w:rPr>
                <w:szCs w:val="21"/>
              </w:rPr>
            </w:pPr>
            <w:r>
              <w:rPr>
                <w:szCs w:val="21"/>
              </w:rPr>
              <w:t>2828</w:t>
            </w:r>
          </w:p>
        </w:tc>
        <w:tc>
          <w:tcPr>
            <w:tcW w:w="3687" w:type="dxa"/>
            <w:vAlign w:val="center"/>
          </w:tcPr>
          <w:p w14:paraId="4CE8C644">
            <w:pPr>
              <w:adjustRightInd w:val="0"/>
              <w:jc w:val="left"/>
              <w:rPr>
                <w:szCs w:val="21"/>
              </w:rPr>
            </w:pPr>
            <w:r>
              <w:rPr>
                <w:szCs w:val="21"/>
              </w:rPr>
              <w:t>23℃≤闪点≤60℃：</w:t>
            </w:r>
          </w:p>
          <w:p w14:paraId="7EA16D26">
            <w:pPr>
              <w:adjustRightInd w:val="0"/>
              <w:jc w:val="left"/>
              <w:rPr>
                <w:szCs w:val="21"/>
              </w:rPr>
            </w:pPr>
            <w:r>
              <w:rPr>
                <w:szCs w:val="21"/>
              </w:rPr>
              <w:t>易燃液体，类别3</w:t>
            </w:r>
          </w:p>
        </w:tc>
        <w:tc>
          <w:tcPr>
            <w:tcW w:w="1200" w:type="dxa"/>
            <w:vAlign w:val="center"/>
          </w:tcPr>
          <w:p w14:paraId="1B54F490">
            <w:pPr>
              <w:adjustRightInd w:val="0"/>
              <w:jc w:val="center"/>
              <w:rPr>
                <w:szCs w:val="21"/>
              </w:rPr>
            </w:pPr>
            <w:r>
              <w:rPr>
                <w:szCs w:val="21"/>
              </w:rPr>
              <w:t>0.95</w:t>
            </w:r>
          </w:p>
        </w:tc>
        <w:tc>
          <w:tcPr>
            <w:tcW w:w="975" w:type="dxa"/>
            <w:vAlign w:val="center"/>
          </w:tcPr>
          <w:p w14:paraId="572A79B9">
            <w:pPr>
              <w:adjustRightInd w:val="0"/>
              <w:jc w:val="center"/>
              <w:rPr>
                <w:szCs w:val="21"/>
              </w:rPr>
            </w:pPr>
            <w:r>
              <w:rPr>
                <w:szCs w:val="21"/>
              </w:rPr>
              <w:t>乙</w:t>
            </w:r>
          </w:p>
        </w:tc>
      </w:tr>
      <w:tr w14:paraId="7FDB8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CAD4697">
            <w:pPr>
              <w:spacing w:before="171" w:line="187" w:lineRule="auto"/>
              <w:ind w:left="175"/>
              <w:rPr>
                <w:spacing w:val="-3"/>
                <w:szCs w:val="21"/>
              </w:rPr>
            </w:pPr>
            <w:r>
              <w:rPr>
                <w:spacing w:val="-3"/>
                <w:szCs w:val="21"/>
              </w:rPr>
              <w:t>76</w:t>
            </w:r>
          </w:p>
        </w:tc>
        <w:tc>
          <w:tcPr>
            <w:tcW w:w="1020" w:type="dxa"/>
            <w:vAlign w:val="center"/>
          </w:tcPr>
          <w:p w14:paraId="76F24D21">
            <w:pPr>
              <w:adjustRightInd w:val="0"/>
              <w:jc w:val="center"/>
              <w:rPr>
                <w:szCs w:val="21"/>
              </w:rPr>
            </w:pPr>
            <w:r>
              <w:rPr>
                <w:szCs w:val="21"/>
              </w:rPr>
              <w:t>异丁基溴</w:t>
            </w:r>
          </w:p>
        </w:tc>
        <w:tc>
          <w:tcPr>
            <w:tcW w:w="1025" w:type="dxa"/>
            <w:vAlign w:val="center"/>
          </w:tcPr>
          <w:p w14:paraId="53B474DF">
            <w:pPr>
              <w:adjustRightInd w:val="0"/>
              <w:jc w:val="center"/>
              <w:rPr>
                <w:szCs w:val="21"/>
              </w:rPr>
            </w:pPr>
            <w:r>
              <w:rPr>
                <w:szCs w:val="21"/>
              </w:rPr>
              <w:t>2368</w:t>
            </w:r>
          </w:p>
        </w:tc>
        <w:tc>
          <w:tcPr>
            <w:tcW w:w="3687" w:type="dxa"/>
            <w:vAlign w:val="center"/>
          </w:tcPr>
          <w:p w14:paraId="738951A2">
            <w:pPr>
              <w:adjustRightInd w:val="0"/>
              <w:jc w:val="left"/>
              <w:rPr>
                <w:szCs w:val="21"/>
              </w:rPr>
            </w:pPr>
            <w:r>
              <w:rPr>
                <w:szCs w:val="21"/>
              </w:rPr>
              <w:t>易燃液体，类别2</w:t>
            </w:r>
          </w:p>
        </w:tc>
        <w:tc>
          <w:tcPr>
            <w:tcW w:w="1200" w:type="dxa"/>
            <w:vAlign w:val="center"/>
          </w:tcPr>
          <w:p w14:paraId="592755DB">
            <w:pPr>
              <w:adjustRightInd w:val="0"/>
              <w:jc w:val="center"/>
              <w:rPr>
                <w:szCs w:val="21"/>
              </w:rPr>
            </w:pPr>
            <w:r>
              <w:rPr>
                <w:szCs w:val="21"/>
              </w:rPr>
              <w:t>1</w:t>
            </w:r>
          </w:p>
        </w:tc>
        <w:tc>
          <w:tcPr>
            <w:tcW w:w="975" w:type="dxa"/>
            <w:vAlign w:val="center"/>
          </w:tcPr>
          <w:p w14:paraId="7C63CEB4">
            <w:pPr>
              <w:adjustRightInd w:val="0"/>
              <w:jc w:val="center"/>
              <w:rPr>
                <w:szCs w:val="21"/>
              </w:rPr>
            </w:pPr>
            <w:r>
              <w:rPr>
                <w:szCs w:val="21"/>
              </w:rPr>
              <w:t>甲</w:t>
            </w:r>
          </w:p>
        </w:tc>
      </w:tr>
      <w:tr w14:paraId="295DD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C15D65C">
            <w:pPr>
              <w:spacing w:before="171" w:line="187" w:lineRule="auto"/>
              <w:ind w:left="175"/>
              <w:rPr>
                <w:spacing w:val="-3"/>
                <w:szCs w:val="21"/>
              </w:rPr>
            </w:pPr>
            <w:r>
              <w:rPr>
                <w:spacing w:val="-3"/>
                <w:szCs w:val="21"/>
              </w:rPr>
              <w:t>77</w:t>
            </w:r>
          </w:p>
        </w:tc>
        <w:tc>
          <w:tcPr>
            <w:tcW w:w="1020" w:type="dxa"/>
            <w:vAlign w:val="center"/>
          </w:tcPr>
          <w:p w14:paraId="2BCD6558">
            <w:pPr>
              <w:adjustRightInd w:val="0"/>
              <w:jc w:val="center"/>
              <w:rPr>
                <w:szCs w:val="21"/>
              </w:rPr>
            </w:pPr>
            <w:r>
              <w:rPr>
                <w:szCs w:val="21"/>
              </w:rPr>
              <w:t>哌啶</w:t>
            </w:r>
          </w:p>
        </w:tc>
        <w:tc>
          <w:tcPr>
            <w:tcW w:w="1025" w:type="dxa"/>
            <w:vAlign w:val="center"/>
          </w:tcPr>
          <w:p w14:paraId="3B962859">
            <w:pPr>
              <w:adjustRightInd w:val="0"/>
              <w:jc w:val="center"/>
              <w:rPr>
                <w:szCs w:val="21"/>
              </w:rPr>
            </w:pPr>
            <w:r>
              <w:rPr>
                <w:szCs w:val="21"/>
              </w:rPr>
              <w:t>1601</w:t>
            </w:r>
          </w:p>
        </w:tc>
        <w:tc>
          <w:tcPr>
            <w:tcW w:w="3687" w:type="dxa"/>
            <w:vAlign w:val="center"/>
          </w:tcPr>
          <w:p w14:paraId="4CDCF3E4">
            <w:pPr>
              <w:adjustRightInd w:val="0"/>
              <w:jc w:val="left"/>
              <w:rPr>
                <w:szCs w:val="21"/>
              </w:rPr>
            </w:pPr>
            <w:r>
              <w:rPr>
                <w:szCs w:val="21"/>
              </w:rPr>
              <w:t>易燃液体，类别2</w:t>
            </w:r>
          </w:p>
          <w:p w14:paraId="0F4F2244">
            <w:pPr>
              <w:adjustRightInd w:val="0"/>
              <w:jc w:val="left"/>
              <w:rPr>
                <w:szCs w:val="21"/>
              </w:rPr>
            </w:pPr>
            <w:r>
              <w:rPr>
                <w:szCs w:val="21"/>
              </w:rPr>
              <w:t>急性毒性-经皮，类别3*</w:t>
            </w:r>
          </w:p>
          <w:p w14:paraId="12BE82C5">
            <w:pPr>
              <w:adjustRightInd w:val="0"/>
              <w:jc w:val="left"/>
              <w:rPr>
                <w:szCs w:val="21"/>
              </w:rPr>
            </w:pPr>
            <w:r>
              <w:rPr>
                <w:szCs w:val="21"/>
              </w:rPr>
              <w:t>急性毒性-吸入，类别3*</w:t>
            </w:r>
          </w:p>
          <w:p w14:paraId="08CD0F1E">
            <w:pPr>
              <w:adjustRightInd w:val="0"/>
              <w:jc w:val="left"/>
              <w:rPr>
                <w:szCs w:val="21"/>
              </w:rPr>
            </w:pPr>
            <w:r>
              <w:rPr>
                <w:szCs w:val="21"/>
              </w:rPr>
              <w:t>皮肤腐蚀/刺激，类别1B</w:t>
            </w:r>
          </w:p>
          <w:p w14:paraId="37244FD2">
            <w:pPr>
              <w:adjustRightInd w:val="0"/>
              <w:jc w:val="left"/>
              <w:rPr>
                <w:szCs w:val="21"/>
              </w:rPr>
            </w:pPr>
            <w:r>
              <w:rPr>
                <w:szCs w:val="21"/>
              </w:rPr>
              <w:t>严重眼损伤/眼刺激，类别1</w:t>
            </w:r>
          </w:p>
        </w:tc>
        <w:tc>
          <w:tcPr>
            <w:tcW w:w="1200" w:type="dxa"/>
            <w:vAlign w:val="center"/>
          </w:tcPr>
          <w:p w14:paraId="58BC8B9C">
            <w:pPr>
              <w:adjustRightInd w:val="0"/>
              <w:jc w:val="center"/>
              <w:rPr>
                <w:szCs w:val="21"/>
              </w:rPr>
            </w:pPr>
            <w:r>
              <w:rPr>
                <w:szCs w:val="21"/>
              </w:rPr>
              <w:t>0.69</w:t>
            </w:r>
          </w:p>
        </w:tc>
        <w:tc>
          <w:tcPr>
            <w:tcW w:w="975" w:type="dxa"/>
            <w:vAlign w:val="center"/>
          </w:tcPr>
          <w:p w14:paraId="1C6DC5EA">
            <w:pPr>
              <w:adjustRightInd w:val="0"/>
              <w:jc w:val="center"/>
              <w:rPr>
                <w:szCs w:val="21"/>
              </w:rPr>
            </w:pPr>
            <w:r>
              <w:rPr>
                <w:szCs w:val="21"/>
              </w:rPr>
              <w:t>甲</w:t>
            </w:r>
          </w:p>
        </w:tc>
      </w:tr>
      <w:tr w14:paraId="1FE0F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5221E75">
            <w:pPr>
              <w:spacing w:before="171" w:line="187" w:lineRule="auto"/>
              <w:ind w:left="175"/>
              <w:rPr>
                <w:spacing w:val="-3"/>
                <w:szCs w:val="21"/>
              </w:rPr>
            </w:pPr>
            <w:r>
              <w:rPr>
                <w:spacing w:val="-3"/>
                <w:szCs w:val="21"/>
              </w:rPr>
              <w:t>78</w:t>
            </w:r>
          </w:p>
        </w:tc>
        <w:tc>
          <w:tcPr>
            <w:tcW w:w="1020" w:type="dxa"/>
            <w:vAlign w:val="center"/>
          </w:tcPr>
          <w:p w14:paraId="50B50895">
            <w:pPr>
              <w:adjustRightInd w:val="0"/>
              <w:jc w:val="center"/>
              <w:rPr>
                <w:szCs w:val="21"/>
              </w:rPr>
            </w:pPr>
            <w:r>
              <w:rPr>
                <w:szCs w:val="21"/>
              </w:rPr>
              <w:t>丙酮</w:t>
            </w:r>
          </w:p>
        </w:tc>
        <w:tc>
          <w:tcPr>
            <w:tcW w:w="1025" w:type="dxa"/>
            <w:vAlign w:val="center"/>
          </w:tcPr>
          <w:p w14:paraId="07508AC7">
            <w:pPr>
              <w:adjustRightInd w:val="0"/>
              <w:jc w:val="center"/>
              <w:rPr>
                <w:szCs w:val="21"/>
              </w:rPr>
            </w:pPr>
            <w:r>
              <w:rPr>
                <w:szCs w:val="21"/>
              </w:rPr>
              <w:t>137</w:t>
            </w:r>
          </w:p>
        </w:tc>
        <w:tc>
          <w:tcPr>
            <w:tcW w:w="3687" w:type="dxa"/>
            <w:vAlign w:val="center"/>
          </w:tcPr>
          <w:p w14:paraId="1981FD11">
            <w:pPr>
              <w:adjustRightInd w:val="0"/>
              <w:jc w:val="left"/>
              <w:rPr>
                <w:szCs w:val="21"/>
              </w:rPr>
            </w:pPr>
            <w:r>
              <w:rPr>
                <w:szCs w:val="21"/>
              </w:rPr>
              <w:t>易燃液体，类别2</w:t>
            </w:r>
          </w:p>
          <w:p w14:paraId="0C15F229">
            <w:pPr>
              <w:adjustRightInd w:val="0"/>
              <w:jc w:val="left"/>
              <w:rPr>
                <w:szCs w:val="21"/>
              </w:rPr>
            </w:pPr>
            <w:r>
              <w:rPr>
                <w:szCs w:val="21"/>
              </w:rPr>
              <w:t>严重眼损伤/眼刺激，类别2</w:t>
            </w:r>
          </w:p>
          <w:p w14:paraId="22DC1500">
            <w:pPr>
              <w:adjustRightInd w:val="0"/>
              <w:jc w:val="left"/>
              <w:rPr>
                <w:szCs w:val="21"/>
              </w:rPr>
            </w:pPr>
            <w:r>
              <w:rPr>
                <w:szCs w:val="21"/>
              </w:rPr>
              <w:t>特异性靶器官毒性-一次接触，类别3（麻醉效应）</w:t>
            </w:r>
          </w:p>
        </w:tc>
        <w:tc>
          <w:tcPr>
            <w:tcW w:w="1200" w:type="dxa"/>
            <w:vAlign w:val="center"/>
          </w:tcPr>
          <w:p w14:paraId="062F4877">
            <w:pPr>
              <w:adjustRightInd w:val="0"/>
              <w:jc w:val="center"/>
              <w:rPr>
                <w:szCs w:val="21"/>
              </w:rPr>
            </w:pPr>
            <w:r>
              <w:rPr>
                <w:szCs w:val="21"/>
              </w:rPr>
              <w:t>1.26</w:t>
            </w:r>
          </w:p>
        </w:tc>
        <w:tc>
          <w:tcPr>
            <w:tcW w:w="975" w:type="dxa"/>
            <w:vAlign w:val="center"/>
          </w:tcPr>
          <w:p w14:paraId="2A401356">
            <w:pPr>
              <w:adjustRightInd w:val="0"/>
              <w:jc w:val="center"/>
              <w:rPr>
                <w:szCs w:val="21"/>
              </w:rPr>
            </w:pPr>
            <w:r>
              <w:rPr>
                <w:szCs w:val="21"/>
              </w:rPr>
              <w:t>甲</w:t>
            </w:r>
          </w:p>
        </w:tc>
      </w:tr>
      <w:tr w14:paraId="27265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07C2C8F">
            <w:pPr>
              <w:spacing w:before="171" w:line="187" w:lineRule="auto"/>
              <w:ind w:left="175"/>
              <w:rPr>
                <w:spacing w:val="-3"/>
                <w:szCs w:val="21"/>
              </w:rPr>
            </w:pPr>
            <w:r>
              <w:rPr>
                <w:spacing w:val="-3"/>
                <w:szCs w:val="21"/>
              </w:rPr>
              <w:t>79</w:t>
            </w:r>
          </w:p>
        </w:tc>
        <w:tc>
          <w:tcPr>
            <w:tcW w:w="1020" w:type="dxa"/>
            <w:vAlign w:val="center"/>
          </w:tcPr>
          <w:p w14:paraId="2355186B">
            <w:pPr>
              <w:adjustRightInd w:val="0"/>
              <w:jc w:val="center"/>
              <w:rPr>
                <w:szCs w:val="21"/>
              </w:rPr>
            </w:pPr>
            <w:r>
              <w:rPr>
                <w:szCs w:val="21"/>
              </w:rPr>
              <w:t>正丁基锂</w:t>
            </w:r>
          </w:p>
        </w:tc>
        <w:tc>
          <w:tcPr>
            <w:tcW w:w="1025" w:type="dxa"/>
            <w:vAlign w:val="center"/>
          </w:tcPr>
          <w:p w14:paraId="38240395">
            <w:pPr>
              <w:adjustRightInd w:val="0"/>
              <w:jc w:val="center"/>
              <w:rPr>
                <w:szCs w:val="21"/>
              </w:rPr>
            </w:pPr>
            <w:r>
              <w:rPr>
                <w:szCs w:val="21"/>
              </w:rPr>
              <w:t>2828</w:t>
            </w:r>
          </w:p>
        </w:tc>
        <w:tc>
          <w:tcPr>
            <w:tcW w:w="3687" w:type="dxa"/>
            <w:vAlign w:val="center"/>
          </w:tcPr>
          <w:p w14:paraId="14B549B6">
            <w:pPr>
              <w:adjustRightInd w:val="0"/>
              <w:jc w:val="left"/>
              <w:rPr>
                <w:szCs w:val="21"/>
              </w:rPr>
            </w:pPr>
            <w:r>
              <w:rPr>
                <w:szCs w:val="21"/>
              </w:rPr>
              <w:t>闪点＜23℃和初沸点＞35℃：</w:t>
            </w:r>
          </w:p>
          <w:p w14:paraId="06C2E383">
            <w:pPr>
              <w:adjustRightInd w:val="0"/>
              <w:jc w:val="left"/>
              <w:rPr>
                <w:szCs w:val="21"/>
              </w:rPr>
            </w:pPr>
            <w:r>
              <w:rPr>
                <w:szCs w:val="21"/>
              </w:rPr>
              <w:t>易燃液体，类别2</w:t>
            </w:r>
          </w:p>
          <w:p w14:paraId="7745CDCA">
            <w:pPr>
              <w:adjustRightInd w:val="0"/>
              <w:jc w:val="left"/>
              <w:rPr>
                <w:szCs w:val="21"/>
              </w:rPr>
            </w:pPr>
            <w:r>
              <w:rPr>
                <w:szCs w:val="21"/>
              </w:rPr>
              <w:t>自燃液体，类别 1</w:t>
            </w:r>
          </w:p>
          <w:p w14:paraId="055ED45A">
            <w:pPr>
              <w:adjustRightInd w:val="0"/>
              <w:jc w:val="left"/>
              <w:rPr>
                <w:szCs w:val="21"/>
              </w:rPr>
            </w:pPr>
            <w:r>
              <w:rPr>
                <w:szCs w:val="21"/>
              </w:rPr>
              <w:t>遇水放出易燃气体的物质和混合物，类别 1</w:t>
            </w:r>
          </w:p>
          <w:p w14:paraId="5009ACD3">
            <w:pPr>
              <w:adjustRightInd w:val="0"/>
              <w:jc w:val="left"/>
              <w:rPr>
                <w:szCs w:val="21"/>
              </w:rPr>
            </w:pPr>
            <w:r>
              <w:rPr>
                <w:szCs w:val="21"/>
              </w:rPr>
              <w:t>皮肤腐蚀/刺激，类别 1B</w:t>
            </w:r>
          </w:p>
          <w:p w14:paraId="762D81D1">
            <w:pPr>
              <w:adjustRightInd w:val="0"/>
              <w:jc w:val="left"/>
              <w:rPr>
                <w:szCs w:val="21"/>
              </w:rPr>
            </w:pPr>
            <w:r>
              <w:rPr>
                <w:szCs w:val="21"/>
              </w:rPr>
              <w:t>严重眼睛损伤/眼睛刺激性，类别 1</w:t>
            </w:r>
          </w:p>
        </w:tc>
        <w:tc>
          <w:tcPr>
            <w:tcW w:w="1200" w:type="dxa"/>
            <w:vAlign w:val="center"/>
          </w:tcPr>
          <w:p w14:paraId="1CD73FC9">
            <w:pPr>
              <w:adjustRightInd w:val="0"/>
              <w:jc w:val="center"/>
              <w:rPr>
                <w:szCs w:val="21"/>
              </w:rPr>
            </w:pPr>
            <w:r>
              <w:rPr>
                <w:szCs w:val="21"/>
              </w:rPr>
              <w:t>0.5</w:t>
            </w:r>
          </w:p>
        </w:tc>
        <w:tc>
          <w:tcPr>
            <w:tcW w:w="975" w:type="dxa"/>
            <w:vAlign w:val="center"/>
          </w:tcPr>
          <w:p w14:paraId="281CB028">
            <w:pPr>
              <w:adjustRightInd w:val="0"/>
              <w:jc w:val="center"/>
              <w:rPr>
                <w:szCs w:val="21"/>
              </w:rPr>
            </w:pPr>
            <w:r>
              <w:rPr>
                <w:szCs w:val="21"/>
              </w:rPr>
              <w:t>甲</w:t>
            </w:r>
          </w:p>
        </w:tc>
      </w:tr>
      <w:tr w14:paraId="16F43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42A3679">
            <w:pPr>
              <w:spacing w:before="171" w:line="187" w:lineRule="auto"/>
              <w:ind w:left="175"/>
              <w:rPr>
                <w:spacing w:val="-3"/>
                <w:szCs w:val="21"/>
              </w:rPr>
            </w:pPr>
            <w:r>
              <w:rPr>
                <w:spacing w:val="-3"/>
                <w:szCs w:val="21"/>
              </w:rPr>
              <w:t>80</w:t>
            </w:r>
          </w:p>
        </w:tc>
        <w:tc>
          <w:tcPr>
            <w:tcW w:w="1020" w:type="dxa"/>
            <w:vAlign w:val="center"/>
          </w:tcPr>
          <w:p w14:paraId="26FA1A9B">
            <w:pPr>
              <w:adjustRightInd w:val="0"/>
              <w:jc w:val="center"/>
              <w:rPr>
                <w:szCs w:val="21"/>
              </w:rPr>
            </w:pPr>
            <w:r>
              <w:rPr>
                <w:szCs w:val="21"/>
              </w:rPr>
              <w:t>甲醇钠</w:t>
            </w:r>
          </w:p>
        </w:tc>
        <w:tc>
          <w:tcPr>
            <w:tcW w:w="1025" w:type="dxa"/>
            <w:vAlign w:val="center"/>
          </w:tcPr>
          <w:p w14:paraId="0B4CCA31">
            <w:pPr>
              <w:adjustRightInd w:val="0"/>
              <w:jc w:val="center"/>
              <w:rPr>
                <w:szCs w:val="21"/>
              </w:rPr>
            </w:pPr>
            <w:r>
              <w:rPr>
                <w:szCs w:val="21"/>
              </w:rPr>
              <w:t>1024</w:t>
            </w:r>
          </w:p>
        </w:tc>
        <w:tc>
          <w:tcPr>
            <w:tcW w:w="3687" w:type="dxa"/>
            <w:vAlign w:val="center"/>
          </w:tcPr>
          <w:p w14:paraId="25CF4B02">
            <w:pPr>
              <w:adjustRightInd w:val="0"/>
              <w:jc w:val="left"/>
              <w:rPr>
                <w:szCs w:val="21"/>
              </w:rPr>
            </w:pPr>
            <w:r>
              <w:rPr>
                <w:szCs w:val="21"/>
              </w:rPr>
              <w:t>自热物质和混合物，类别1</w:t>
            </w:r>
          </w:p>
          <w:p w14:paraId="3862C9B8">
            <w:pPr>
              <w:adjustRightInd w:val="0"/>
              <w:jc w:val="left"/>
              <w:rPr>
                <w:szCs w:val="21"/>
              </w:rPr>
            </w:pPr>
            <w:r>
              <w:rPr>
                <w:szCs w:val="21"/>
              </w:rPr>
              <w:t>皮肤腐蚀/刺激，类别1B</w:t>
            </w:r>
          </w:p>
          <w:p w14:paraId="71359D9A">
            <w:pPr>
              <w:adjustRightInd w:val="0"/>
              <w:jc w:val="left"/>
              <w:rPr>
                <w:szCs w:val="21"/>
              </w:rPr>
            </w:pPr>
            <w:r>
              <w:rPr>
                <w:szCs w:val="21"/>
              </w:rPr>
              <w:t>严重眼损伤/眼刺激，类别1</w:t>
            </w:r>
          </w:p>
        </w:tc>
        <w:tc>
          <w:tcPr>
            <w:tcW w:w="1200" w:type="dxa"/>
            <w:vAlign w:val="center"/>
          </w:tcPr>
          <w:p w14:paraId="4789A777">
            <w:pPr>
              <w:adjustRightInd w:val="0"/>
              <w:jc w:val="center"/>
              <w:rPr>
                <w:szCs w:val="21"/>
              </w:rPr>
            </w:pPr>
            <w:r>
              <w:rPr>
                <w:szCs w:val="21"/>
              </w:rPr>
              <w:t>0.45</w:t>
            </w:r>
          </w:p>
        </w:tc>
        <w:tc>
          <w:tcPr>
            <w:tcW w:w="975" w:type="dxa"/>
            <w:vAlign w:val="center"/>
          </w:tcPr>
          <w:p w14:paraId="4C3912D7">
            <w:pPr>
              <w:adjustRightInd w:val="0"/>
              <w:jc w:val="center"/>
              <w:rPr>
                <w:szCs w:val="21"/>
              </w:rPr>
            </w:pPr>
            <w:r>
              <w:rPr>
                <w:szCs w:val="21"/>
              </w:rPr>
              <w:t>甲</w:t>
            </w:r>
          </w:p>
        </w:tc>
      </w:tr>
      <w:tr w14:paraId="30BCE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D32EC8B">
            <w:pPr>
              <w:spacing w:before="171" w:line="187" w:lineRule="auto"/>
              <w:ind w:left="175"/>
              <w:rPr>
                <w:spacing w:val="-3"/>
                <w:szCs w:val="21"/>
              </w:rPr>
            </w:pPr>
            <w:r>
              <w:rPr>
                <w:spacing w:val="-3"/>
                <w:szCs w:val="21"/>
              </w:rPr>
              <w:t>81</w:t>
            </w:r>
          </w:p>
        </w:tc>
        <w:tc>
          <w:tcPr>
            <w:tcW w:w="1020" w:type="dxa"/>
            <w:vAlign w:val="center"/>
          </w:tcPr>
          <w:p w14:paraId="7A85F7BE">
            <w:pPr>
              <w:adjustRightInd w:val="0"/>
              <w:jc w:val="center"/>
              <w:rPr>
                <w:szCs w:val="21"/>
              </w:rPr>
            </w:pPr>
            <w:r>
              <w:rPr>
                <w:szCs w:val="21"/>
              </w:rPr>
              <w:t>镁屑</w:t>
            </w:r>
          </w:p>
        </w:tc>
        <w:tc>
          <w:tcPr>
            <w:tcW w:w="1025" w:type="dxa"/>
            <w:vAlign w:val="center"/>
          </w:tcPr>
          <w:p w14:paraId="10E30A0C">
            <w:pPr>
              <w:adjustRightInd w:val="0"/>
              <w:jc w:val="center"/>
              <w:rPr>
                <w:szCs w:val="21"/>
              </w:rPr>
            </w:pPr>
            <w:r>
              <w:rPr>
                <w:szCs w:val="21"/>
              </w:rPr>
              <w:t>1572</w:t>
            </w:r>
          </w:p>
        </w:tc>
        <w:tc>
          <w:tcPr>
            <w:tcW w:w="3687" w:type="dxa"/>
            <w:vAlign w:val="center"/>
          </w:tcPr>
          <w:p w14:paraId="109D2C1E">
            <w:pPr>
              <w:adjustRightInd w:val="0"/>
              <w:jc w:val="left"/>
              <w:rPr>
                <w:szCs w:val="21"/>
              </w:rPr>
            </w:pPr>
            <w:r>
              <w:rPr>
                <w:szCs w:val="21"/>
              </w:rPr>
              <w:t>丸状、旋屑或带状：</w:t>
            </w:r>
          </w:p>
          <w:p w14:paraId="1585FA45">
            <w:pPr>
              <w:adjustRightInd w:val="0"/>
              <w:jc w:val="left"/>
              <w:rPr>
                <w:szCs w:val="21"/>
              </w:rPr>
            </w:pPr>
            <w:r>
              <w:rPr>
                <w:szCs w:val="21"/>
              </w:rPr>
              <w:t>易燃固体，类别2</w:t>
            </w:r>
          </w:p>
        </w:tc>
        <w:tc>
          <w:tcPr>
            <w:tcW w:w="1200" w:type="dxa"/>
            <w:vAlign w:val="center"/>
          </w:tcPr>
          <w:p w14:paraId="33BAB66B">
            <w:pPr>
              <w:adjustRightInd w:val="0"/>
              <w:jc w:val="center"/>
              <w:rPr>
                <w:szCs w:val="21"/>
              </w:rPr>
            </w:pPr>
            <w:r>
              <w:rPr>
                <w:szCs w:val="21"/>
              </w:rPr>
              <w:t>0.225</w:t>
            </w:r>
          </w:p>
        </w:tc>
        <w:tc>
          <w:tcPr>
            <w:tcW w:w="975" w:type="dxa"/>
            <w:vAlign w:val="center"/>
          </w:tcPr>
          <w:p w14:paraId="3C3F7123">
            <w:pPr>
              <w:adjustRightInd w:val="0"/>
              <w:jc w:val="center"/>
              <w:rPr>
                <w:szCs w:val="21"/>
              </w:rPr>
            </w:pPr>
            <w:r>
              <w:rPr>
                <w:szCs w:val="21"/>
              </w:rPr>
              <w:t>乙</w:t>
            </w:r>
          </w:p>
        </w:tc>
      </w:tr>
      <w:tr w14:paraId="2C994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397C9D2">
            <w:pPr>
              <w:spacing w:before="171" w:line="187" w:lineRule="auto"/>
              <w:ind w:left="175"/>
              <w:rPr>
                <w:spacing w:val="-3"/>
                <w:szCs w:val="21"/>
              </w:rPr>
            </w:pPr>
            <w:r>
              <w:rPr>
                <w:spacing w:val="-3"/>
                <w:szCs w:val="21"/>
              </w:rPr>
              <w:t>82</w:t>
            </w:r>
          </w:p>
        </w:tc>
        <w:tc>
          <w:tcPr>
            <w:tcW w:w="1020" w:type="dxa"/>
            <w:vAlign w:val="center"/>
          </w:tcPr>
          <w:p w14:paraId="1570B26F">
            <w:pPr>
              <w:adjustRightInd w:val="0"/>
              <w:jc w:val="center"/>
              <w:rPr>
                <w:szCs w:val="21"/>
              </w:rPr>
            </w:pPr>
            <w:r>
              <w:rPr>
                <w:szCs w:val="21"/>
              </w:rPr>
              <w:t>硼氢化钠</w:t>
            </w:r>
          </w:p>
        </w:tc>
        <w:tc>
          <w:tcPr>
            <w:tcW w:w="1025" w:type="dxa"/>
            <w:vAlign w:val="center"/>
          </w:tcPr>
          <w:p w14:paraId="46606533">
            <w:pPr>
              <w:adjustRightInd w:val="0"/>
              <w:jc w:val="center"/>
              <w:rPr>
                <w:szCs w:val="21"/>
              </w:rPr>
            </w:pPr>
            <w:r>
              <w:rPr>
                <w:szCs w:val="21"/>
              </w:rPr>
              <w:t>1608</w:t>
            </w:r>
          </w:p>
        </w:tc>
        <w:tc>
          <w:tcPr>
            <w:tcW w:w="3687" w:type="dxa"/>
            <w:vAlign w:val="center"/>
          </w:tcPr>
          <w:p w14:paraId="20FDC362">
            <w:pPr>
              <w:adjustRightInd w:val="0"/>
              <w:jc w:val="left"/>
              <w:rPr>
                <w:szCs w:val="21"/>
              </w:rPr>
            </w:pPr>
            <w:r>
              <w:rPr>
                <w:szCs w:val="21"/>
              </w:rPr>
              <w:t>遇水放出易燃气体的物质和混合物，类别1</w:t>
            </w:r>
          </w:p>
          <w:p w14:paraId="2126EA6F">
            <w:pPr>
              <w:adjustRightInd w:val="0"/>
              <w:jc w:val="left"/>
              <w:rPr>
                <w:szCs w:val="21"/>
              </w:rPr>
            </w:pPr>
            <w:r>
              <w:rPr>
                <w:szCs w:val="21"/>
              </w:rPr>
              <w:t>急性毒性-经口，类别3</w:t>
            </w:r>
          </w:p>
          <w:p w14:paraId="13F76C2E">
            <w:pPr>
              <w:adjustRightInd w:val="0"/>
              <w:jc w:val="left"/>
              <w:rPr>
                <w:szCs w:val="21"/>
              </w:rPr>
            </w:pPr>
            <w:r>
              <w:rPr>
                <w:szCs w:val="21"/>
              </w:rPr>
              <w:t>皮肤腐蚀/刺激，类别1C</w:t>
            </w:r>
          </w:p>
          <w:p w14:paraId="7989C7B0">
            <w:pPr>
              <w:adjustRightInd w:val="0"/>
              <w:jc w:val="left"/>
              <w:rPr>
                <w:szCs w:val="21"/>
              </w:rPr>
            </w:pPr>
            <w:r>
              <w:rPr>
                <w:szCs w:val="21"/>
              </w:rPr>
              <w:t>严重眼损伤/眼刺激，类别1</w:t>
            </w:r>
          </w:p>
        </w:tc>
        <w:tc>
          <w:tcPr>
            <w:tcW w:w="1200" w:type="dxa"/>
            <w:vAlign w:val="center"/>
          </w:tcPr>
          <w:p w14:paraId="6A1C13BF">
            <w:pPr>
              <w:adjustRightInd w:val="0"/>
              <w:jc w:val="center"/>
              <w:rPr>
                <w:szCs w:val="21"/>
              </w:rPr>
            </w:pPr>
            <w:r>
              <w:rPr>
                <w:szCs w:val="21"/>
              </w:rPr>
              <w:t>0.9</w:t>
            </w:r>
          </w:p>
        </w:tc>
        <w:tc>
          <w:tcPr>
            <w:tcW w:w="975" w:type="dxa"/>
            <w:vAlign w:val="center"/>
          </w:tcPr>
          <w:p w14:paraId="06967B12">
            <w:pPr>
              <w:adjustRightInd w:val="0"/>
              <w:jc w:val="center"/>
              <w:rPr>
                <w:szCs w:val="21"/>
              </w:rPr>
            </w:pPr>
            <w:r>
              <w:rPr>
                <w:szCs w:val="21"/>
              </w:rPr>
              <w:t>甲</w:t>
            </w:r>
          </w:p>
        </w:tc>
      </w:tr>
      <w:tr w14:paraId="2AC7F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00F5D5A">
            <w:pPr>
              <w:spacing w:before="171" w:line="187" w:lineRule="auto"/>
              <w:ind w:left="175"/>
              <w:rPr>
                <w:spacing w:val="-3"/>
                <w:szCs w:val="21"/>
              </w:rPr>
            </w:pPr>
            <w:r>
              <w:rPr>
                <w:spacing w:val="-3"/>
                <w:szCs w:val="21"/>
              </w:rPr>
              <w:t>83</w:t>
            </w:r>
          </w:p>
        </w:tc>
        <w:tc>
          <w:tcPr>
            <w:tcW w:w="1020" w:type="dxa"/>
            <w:vAlign w:val="center"/>
          </w:tcPr>
          <w:p w14:paraId="55A5642E">
            <w:pPr>
              <w:adjustRightInd w:val="0"/>
              <w:jc w:val="center"/>
              <w:rPr>
                <w:szCs w:val="21"/>
              </w:rPr>
            </w:pPr>
            <w:r>
              <w:rPr>
                <w:szCs w:val="21"/>
              </w:rPr>
              <w:t>氢气</w:t>
            </w:r>
          </w:p>
        </w:tc>
        <w:tc>
          <w:tcPr>
            <w:tcW w:w="1025" w:type="dxa"/>
            <w:vAlign w:val="center"/>
          </w:tcPr>
          <w:p w14:paraId="6E59D6BE">
            <w:pPr>
              <w:adjustRightInd w:val="0"/>
              <w:jc w:val="center"/>
              <w:rPr>
                <w:szCs w:val="21"/>
              </w:rPr>
            </w:pPr>
            <w:r>
              <w:rPr>
                <w:szCs w:val="21"/>
              </w:rPr>
              <w:t>1648</w:t>
            </w:r>
          </w:p>
        </w:tc>
        <w:tc>
          <w:tcPr>
            <w:tcW w:w="3687" w:type="dxa"/>
            <w:vAlign w:val="center"/>
          </w:tcPr>
          <w:p w14:paraId="2DDE7C20">
            <w:pPr>
              <w:adjustRightInd w:val="0"/>
              <w:jc w:val="left"/>
              <w:rPr>
                <w:szCs w:val="21"/>
              </w:rPr>
            </w:pPr>
            <w:r>
              <w:rPr>
                <w:szCs w:val="21"/>
              </w:rPr>
              <w:t>易燃气体，类别1</w:t>
            </w:r>
          </w:p>
          <w:p w14:paraId="4026D24A">
            <w:pPr>
              <w:adjustRightInd w:val="0"/>
              <w:jc w:val="left"/>
              <w:rPr>
                <w:szCs w:val="21"/>
              </w:rPr>
            </w:pPr>
            <w:r>
              <w:rPr>
                <w:szCs w:val="21"/>
              </w:rPr>
              <w:t>加压气体</w:t>
            </w:r>
          </w:p>
        </w:tc>
        <w:tc>
          <w:tcPr>
            <w:tcW w:w="1200" w:type="dxa"/>
            <w:vAlign w:val="center"/>
          </w:tcPr>
          <w:p w14:paraId="322B7335">
            <w:pPr>
              <w:adjustRightInd w:val="0"/>
              <w:jc w:val="center"/>
              <w:rPr>
                <w:szCs w:val="21"/>
              </w:rPr>
            </w:pPr>
            <w:r>
              <w:rPr>
                <w:szCs w:val="21"/>
              </w:rPr>
              <w:t>0.1</w:t>
            </w:r>
          </w:p>
        </w:tc>
        <w:tc>
          <w:tcPr>
            <w:tcW w:w="975" w:type="dxa"/>
            <w:vAlign w:val="center"/>
          </w:tcPr>
          <w:p w14:paraId="4C687FE4">
            <w:pPr>
              <w:adjustRightInd w:val="0"/>
              <w:jc w:val="center"/>
              <w:rPr>
                <w:szCs w:val="21"/>
              </w:rPr>
            </w:pPr>
            <w:r>
              <w:rPr>
                <w:szCs w:val="21"/>
              </w:rPr>
              <w:t>甲</w:t>
            </w:r>
          </w:p>
        </w:tc>
      </w:tr>
      <w:tr w14:paraId="6B636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65" w:type="dxa"/>
            <w:gridSpan w:val="6"/>
          </w:tcPr>
          <w:p w14:paraId="56C20415">
            <w:pPr>
              <w:spacing w:before="134" w:line="221" w:lineRule="auto"/>
              <w:ind w:left="344"/>
              <w:jc w:val="center"/>
              <w:rPr>
                <w:spacing w:val="-7"/>
                <w:szCs w:val="21"/>
              </w:rPr>
            </w:pPr>
            <w:r>
              <w:t>安徽山河药用辅料股份有限公司</w:t>
            </w:r>
          </w:p>
        </w:tc>
      </w:tr>
      <w:tr w14:paraId="09384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75018BA">
            <w:pPr>
              <w:spacing w:before="171" w:line="187" w:lineRule="auto"/>
              <w:ind w:left="175"/>
              <w:rPr>
                <w:spacing w:val="-3"/>
                <w:szCs w:val="21"/>
              </w:rPr>
            </w:pPr>
            <w:r>
              <w:rPr>
                <w:spacing w:val="-3"/>
                <w:szCs w:val="21"/>
              </w:rPr>
              <w:t>84</w:t>
            </w:r>
          </w:p>
        </w:tc>
        <w:tc>
          <w:tcPr>
            <w:tcW w:w="1020" w:type="dxa"/>
            <w:vAlign w:val="center"/>
          </w:tcPr>
          <w:p w14:paraId="246AFFD9">
            <w:pPr>
              <w:autoSpaceDE w:val="0"/>
              <w:autoSpaceDN w:val="0"/>
              <w:adjustRightInd w:val="0"/>
              <w:ind w:left="-140" w:leftChars="-50" w:right="-140" w:rightChars="-50"/>
              <w:jc w:val="center"/>
              <w:rPr>
                <w:szCs w:val="21"/>
              </w:rPr>
            </w:pPr>
            <w:r>
              <w:rPr>
                <w:szCs w:val="21"/>
              </w:rPr>
              <w:t>氯甲烷</w:t>
            </w:r>
          </w:p>
        </w:tc>
        <w:tc>
          <w:tcPr>
            <w:tcW w:w="1025" w:type="dxa"/>
            <w:vAlign w:val="center"/>
          </w:tcPr>
          <w:p w14:paraId="7F55A9A1">
            <w:pPr>
              <w:ind w:left="-140" w:leftChars="-50" w:right="-140" w:rightChars="-50"/>
              <w:jc w:val="center"/>
              <w:rPr>
                <w:szCs w:val="21"/>
              </w:rPr>
            </w:pPr>
            <w:r>
              <w:rPr>
                <w:szCs w:val="21"/>
              </w:rPr>
              <w:t>1519</w:t>
            </w:r>
          </w:p>
        </w:tc>
        <w:tc>
          <w:tcPr>
            <w:tcW w:w="3687" w:type="dxa"/>
            <w:vAlign w:val="center"/>
          </w:tcPr>
          <w:p w14:paraId="4E5FE0DF">
            <w:pPr>
              <w:rPr>
                <w:szCs w:val="21"/>
              </w:rPr>
            </w:pPr>
            <w:r>
              <w:rPr>
                <w:szCs w:val="21"/>
              </w:rPr>
              <w:t>易燃气体，类别1；</w:t>
            </w:r>
          </w:p>
          <w:p w14:paraId="0AD257DD">
            <w:pPr>
              <w:rPr>
                <w:szCs w:val="21"/>
              </w:rPr>
            </w:pPr>
            <w:r>
              <w:rPr>
                <w:szCs w:val="21"/>
              </w:rPr>
              <w:t>加压气体；</w:t>
            </w:r>
          </w:p>
          <w:p w14:paraId="275821B1">
            <w:pPr>
              <w:rPr>
                <w:szCs w:val="21"/>
              </w:rPr>
            </w:pPr>
            <w:r>
              <w:rPr>
                <w:szCs w:val="21"/>
              </w:rPr>
              <w:t>特异性靶器官毒性-反复接触，类别2*</w:t>
            </w:r>
          </w:p>
        </w:tc>
        <w:tc>
          <w:tcPr>
            <w:tcW w:w="1200" w:type="dxa"/>
          </w:tcPr>
          <w:p w14:paraId="4AC8185A">
            <w:pPr>
              <w:spacing w:before="171" w:line="187" w:lineRule="auto"/>
              <w:ind w:left="673"/>
              <w:rPr>
                <w:spacing w:val="-1"/>
                <w:szCs w:val="21"/>
              </w:rPr>
            </w:pPr>
            <w:r>
              <w:rPr>
                <w:spacing w:val="-1"/>
                <w:szCs w:val="21"/>
              </w:rPr>
              <w:t>110.4</w:t>
            </w:r>
          </w:p>
        </w:tc>
        <w:tc>
          <w:tcPr>
            <w:tcW w:w="975" w:type="dxa"/>
            <w:vAlign w:val="center"/>
          </w:tcPr>
          <w:p w14:paraId="0EE7C314">
            <w:pPr>
              <w:autoSpaceDE w:val="0"/>
              <w:autoSpaceDN w:val="0"/>
              <w:adjustRightInd w:val="0"/>
              <w:ind w:left="-140" w:leftChars="-50" w:right="-140" w:rightChars="-50"/>
              <w:jc w:val="center"/>
              <w:rPr>
                <w:szCs w:val="21"/>
              </w:rPr>
            </w:pPr>
            <w:r>
              <w:rPr>
                <w:szCs w:val="21"/>
              </w:rPr>
              <w:t>甲</w:t>
            </w:r>
          </w:p>
        </w:tc>
      </w:tr>
      <w:tr w14:paraId="726F5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EB7CC01">
            <w:pPr>
              <w:spacing w:before="171" w:line="187" w:lineRule="auto"/>
              <w:ind w:left="175"/>
              <w:rPr>
                <w:spacing w:val="-3"/>
                <w:szCs w:val="21"/>
              </w:rPr>
            </w:pPr>
            <w:r>
              <w:rPr>
                <w:spacing w:val="-3"/>
                <w:szCs w:val="21"/>
              </w:rPr>
              <w:t>85</w:t>
            </w:r>
          </w:p>
        </w:tc>
        <w:tc>
          <w:tcPr>
            <w:tcW w:w="1020" w:type="dxa"/>
            <w:vAlign w:val="center"/>
          </w:tcPr>
          <w:p w14:paraId="1015D131">
            <w:pPr>
              <w:autoSpaceDE w:val="0"/>
              <w:autoSpaceDN w:val="0"/>
              <w:adjustRightInd w:val="0"/>
              <w:ind w:left="-140" w:leftChars="-50" w:right="-140" w:rightChars="-50"/>
              <w:jc w:val="center"/>
              <w:rPr>
                <w:szCs w:val="21"/>
              </w:rPr>
            </w:pPr>
            <w:r>
              <w:rPr>
                <w:szCs w:val="21"/>
              </w:rPr>
              <w:t>环氧丙烷</w:t>
            </w:r>
          </w:p>
        </w:tc>
        <w:tc>
          <w:tcPr>
            <w:tcW w:w="1025" w:type="dxa"/>
            <w:vAlign w:val="center"/>
          </w:tcPr>
          <w:p w14:paraId="42984477">
            <w:pPr>
              <w:ind w:left="-140" w:leftChars="-50" w:right="-140" w:rightChars="-50"/>
              <w:jc w:val="center"/>
              <w:rPr>
                <w:szCs w:val="21"/>
              </w:rPr>
            </w:pPr>
            <w:r>
              <w:rPr>
                <w:szCs w:val="21"/>
              </w:rPr>
              <w:t>979</w:t>
            </w:r>
          </w:p>
        </w:tc>
        <w:tc>
          <w:tcPr>
            <w:tcW w:w="3687" w:type="dxa"/>
            <w:vAlign w:val="center"/>
          </w:tcPr>
          <w:p w14:paraId="34E0A27C">
            <w:pPr>
              <w:rPr>
                <w:szCs w:val="21"/>
              </w:rPr>
            </w:pPr>
            <w:r>
              <w:rPr>
                <w:szCs w:val="21"/>
              </w:rPr>
              <w:t>易燃液体，类别1；</w:t>
            </w:r>
          </w:p>
          <w:p w14:paraId="04FBF399">
            <w:pPr>
              <w:rPr>
                <w:szCs w:val="21"/>
              </w:rPr>
            </w:pPr>
            <w:r>
              <w:rPr>
                <w:szCs w:val="21"/>
              </w:rPr>
              <w:t>皮肤腐蚀/刺激，类别2；</w:t>
            </w:r>
          </w:p>
          <w:p w14:paraId="0979AFDE">
            <w:pPr>
              <w:rPr>
                <w:szCs w:val="21"/>
              </w:rPr>
            </w:pPr>
            <w:r>
              <w:rPr>
                <w:szCs w:val="21"/>
              </w:rPr>
              <w:t>严重眼损伤/眼刺激，类别2；</w:t>
            </w:r>
          </w:p>
          <w:p w14:paraId="61978A20">
            <w:pPr>
              <w:rPr>
                <w:szCs w:val="21"/>
              </w:rPr>
            </w:pPr>
            <w:r>
              <w:rPr>
                <w:szCs w:val="21"/>
              </w:rPr>
              <w:t>生殖细胞致突变性，类别1B；</w:t>
            </w:r>
          </w:p>
          <w:p w14:paraId="40B6085C">
            <w:pPr>
              <w:rPr>
                <w:szCs w:val="21"/>
              </w:rPr>
            </w:pPr>
            <w:r>
              <w:rPr>
                <w:szCs w:val="21"/>
              </w:rPr>
              <w:t>致癌性，类别2；</w:t>
            </w:r>
          </w:p>
          <w:p w14:paraId="2E8F470E">
            <w:pPr>
              <w:rPr>
                <w:szCs w:val="21"/>
              </w:rPr>
            </w:pPr>
            <w:r>
              <w:rPr>
                <w:szCs w:val="21"/>
              </w:rPr>
              <w:t>特异性靶器官毒性-一次接触，类别3(呼吸道刺激)</w:t>
            </w:r>
          </w:p>
        </w:tc>
        <w:tc>
          <w:tcPr>
            <w:tcW w:w="1200" w:type="dxa"/>
          </w:tcPr>
          <w:p w14:paraId="5C68D066">
            <w:pPr>
              <w:spacing w:before="171" w:line="187" w:lineRule="auto"/>
              <w:ind w:left="673"/>
              <w:rPr>
                <w:spacing w:val="-1"/>
                <w:szCs w:val="21"/>
              </w:rPr>
            </w:pPr>
            <w:r>
              <w:rPr>
                <w:spacing w:val="-1"/>
                <w:szCs w:val="21"/>
              </w:rPr>
              <w:t>41.5</w:t>
            </w:r>
          </w:p>
        </w:tc>
        <w:tc>
          <w:tcPr>
            <w:tcW w:w="975" w:type="dxa"/>
            <w:vAlign w:val="center"/>
          </w:tcPr>
          <w:p w14:paraId="16715F12">
            <w:pPr>
              <w:autoSpaceDE w:val="0"/>
              <w:autoSpaceDN w:val="0"/>
              <w:adjustRightInd w:val="0"/>
              <w:ind w:left="-140" w:leftChars="-50" w:right="-140" w:rightChars="-50"/>
              <w:jc w:val="center"/>
              <w:rPr>
                <w:szCs w:val="21"/>
              </w:rPr>
            </w:pPr>
            <w:r>
              <w:rPr>
                <w:szCs w:val="21"/>
              </w:rPr>
              <w:t>甲</w:t>
            </w:r>
          </w:p>
        </w:tc>
      </w:tr>
      <w:tr w14:paraId="40739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100A3BB">
            <w:pPr>
              <w:spacing w:before="171" w:line="187" w:lineRule="auto"/>
              <w:ind w:left="175"/>
              <w:rPr>
                <w:spacing w:val="-3"/>
                <w:szCs w:val="21"/>
              </w:rPr>
            </w:pPr>
            <w:r>
              <w:rPr>
                <w:spacing w:val="-3"/>
                <w:szCs w:val="21"/>
              </w:rPr>
              <w:t>86</w:t>
            </w:r>
          </w:p>
        </w:tc>
        <w:tc>
          <w:tcPr>
            <w:tcW w:w="1020" w:type="dxa"/>
            <w:vAlign w:val="center"/>
          </w:tcPr>
          <w:p w14:paraId="1D168485">
            <w:pPr>
              <w:autoSpaceDE w:val="0"/>
              <w:autoSpaceDN w:val="0"/>
              <w:adjustRightInd w:val="0"/>
              <w:ind w:left="-140" w:leftChars="-50" w:right="-140" w:rightChars="-50"/>
              <w:jc w:val="center"/>
              <w:rPr>
                <w:szCs w:val="21"/>
              </w:rPr>
            </w:pPr>
            <w:r>
              <w:rPr>
                <w:szCs w:val="21"/>
              </w:rPr>
              <w:t>甲苯</w:t>
            </w:r>
          </w:p>
        </w:tc>
        <w:tc>
          <w:tcPr>
            <w:tcW w:w="1025" w:type="dxa"/>
            <w:vAlign w:val="center"/>
          </w:tcPr>
          <w:p w14:paraId="3263EA69">
            <w:pPr>
              <w:ind w:left="-140" w:leftChars="-50" w:right="-140" w:rightChars="-50"/>
              <w:jc w:val="center"/>
              <w:rPr>
                <w:szCs w:val="21"/>
              </w:rPr>
            </w:pPr>
            <w:r>
              <w:rPr>
                <w:szCs w:val="21"/>
              </w:rPr>
              <w:t>1014</w:t>
            </w:r>
          </w:p>
        </w:tc>
        <w:tc>
          <w:tcPr>
            <w:tcW w:w="3687" w:type="dxa"/>
            <w:vAlign w:val="center"/>
          </w:tcPr>
          <w:p w14:paraId="5C1030C4">
            <w:pPr>
              <w:rPr>
                <w:szCs w:val="21"/>
              </w:rPr>
            </w:pPr>
            <w:r>
              <w:rPr>
                <w:szCs w:val="21"/>
              </w:rPr>
              <w:t>易燃液体,类别2</w:t>
            </w:r>
          </w:p>
          <w:p w14:paraId="5246A5B0">
            <w:pPr>
              <w:rPr>
                <w:szCs w:val="21"/>
              </w:rPr>
            </w:pPr>
            <w:r>
              <w:rPr>
                <w:szCs w:val="21"/>
              </w:rPr>
              <w:t>皮肤腐蚀/刺激,类别2</w:t>
            </w:r>
          </w:p>
          <w:p w14:paraId="56E5C0A3">
            <w:pPr>
              <w:rPr>
                <w:szCs w:val="21"/>
              </w:rPr>
            </w:pPr>
            <w:r>
              <w:rPr>
                <w:szCs w:val="21"/>
              </w:rPr>
              <w:t>生殖毒性,类别2</w:t>
            </w:r>
          </w:p>
          <w:p w14:paraId="2CCCB8AE">
            <w:pPr>
              <w:rPr>
                <w:szCs w:val="21"/>
              </w:rPr>
            </w:pPr>
            <w:r>
              <w:rPr>
                <w:szCs w:val="21"/>
              </w:rPr>
              <w:t>特异性靶器官毒性-一次接触,类别3(麻醉效应)</w:t>
            </w:r>
          </w:p>
          <w:p w14:paraId="4CCF825A">
            <w:pPr>
              <w:rPr>
                <w:szCs w:val="21"/>
              </w:rPr>
            </w:pPr>
            <w:r>
              <w:rPr>
                <w:szCs w:val="21"/>
              </w:rPr>
              <w:t>特异性靶器官毒性-反复接触,类别2*</w:t>
            </w:r>
          </w:p>
          <w:p w14:paraId="5B3A069D">
            <w:pPr>
              <w:rPr>
                <w:szCs w:val="21"/>
              </w:rPr>
            </w:pPr>
            <w:r>
              <w:rPr>
                <w:szCs w:val="21"/>
              </w:rPr>
              <w:t>吸入危害,类别1</w:t>
            </w:r>
          </w:p>
          <w:p w14:paraId="3CB18EBE">
            <w:pPr>
              <w:rPr>
                <w:szCs w:val="21"/>
              </w:rPr>
            </w:pPr>
            <w:r>
              <w:rPr>
                <w:szCs w:val="21"/>
              </w:rPr>
              <w:t>危害水生环境-急性危害,类别2</w:t>
            </w:r>
          </w:p>
          <w:p w14:paraId="6F390481">
            <w:pPr>
              <w:rPr>
                <w:szCs w:val="21"/>
              </w:rPr>
            </w:pPr>
            <w:r>
              <w:rPr>
                <w:szCs w:val="21"/>
              </w:rPr>
              <w:t>危害水生环境-长期危害,类别3</w:t>
            </w:r>
          </w:p>
        </w:tc>
        <w:tc>
          <w:tcPr>
            <w:tcW w:w="1200" w:type="dxa"/>
          </w:tcPr>
          <w:p w14:paraId="3DD6F60B">
            <w:pPr>
              <w:spacing w:before="171" w:line="187" w:lineRule="auto"/>
              <w:ind w:left="673"/>
              <w:rPr>
                <w:spacing w:val="-1"/>
                <w:szCs w:val="21"/>
              </w:rPr>
            </w:pPr>
            <w:r>
              <w:rPr>
                <w:spacing w:val="-1"/>
                <w:szCs w:val="21"/>
              </w:rPr>
              <w:t>26.1</w:t>
            </w:r>
          </w:p>
        </w:tc>
        <w:tc>
          <w:tcPr>
            <w:tcW w:w="975" w:type="dxa"/>
            <w:vAlign w:val="center"/>
          </w:tcPr>
          <w:p w14:paraId="10AE676B">
            <w:pPr>
              <w:autoSpaceDE w:val="0"/>
              <w:autoSpaceDN w:val="0"/>
              <w:adjustRightInd w:val="0"/>
              <w:ind w:left="-140" w:leftChars="-50" w:right="-140" w:rightChars="-50"/>
              <w:jc w:val="center"/>
              <w:rPr>
                <w:szCs w:val="21"/>
              </w:rPr>
            </w:pPr>
            <w:r>
              <w:rPr>
                <w:szCs w:val="21"/>
              </w:rPr>
              <w:t>甲</w:t>
            </w:r>
          </w:p>
        </w:tc>
      </w:tr>
      <w:tr w14:paraId="280F8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05BA286F">
            <w:pPr>
              <w:spacing w:before="171" w:line="187" w:lineRule="auto"/>
              <w:ind w:left="175"/>
              <w:rPr>
                <w:spacing w:val="-3"/>
                <w:szCs w:val="21"/>
              </w:rPr>
            </w:pPr>
            <w:r>
              <w:rPr>
                <w:spacing w:val="-3"/>
                <w:szCs w:val="21"/>
              </w:rPr>
              <w:t>87</w:t>
            </w:r>
          </w:p>
        </w:tc>
        <w:tc>
          <w:tcPr>
            <w:tcW w:w="1020" w:type="dxa"/>
            <w:vAlign w:val="center"/>
          </w:tcPr>
          <w:p w14:paraId="4CD3B5E1">
            <w:pPr>
              <w:autoSpaceDE w:val="0"/>
              <w:autoSpaceDN w:val="0"/>
              <w:adjustRightInd w:val="0"/>
              <w:ind w:left="-140" w:leftChars="-50" w:right="-140" w:rightChars="-50"/>
              <w:jc w:val="center"/>
              <w:rPr>
                <w:szCs w:val="21"/>
              </w:rPr>
            </w:pPr>
            <w:r>
              <w:rPr>
                <w:szCs w:val="21"/>
              </w:rPr>
              <w:t>乙醇</w:t>
            </w:r>
          </w:p>
        </w:tc>
        <w:tc>
          <w:tcPr>
            <w:tcW w:w="1025" w:type="dxa"/>
            <w:vAlign w:val="center"/>
          </w:tcPr>
          <w:p w14:paraId="052FAD4D">
            <w:pPr>
              <w:ind w:left="-140" w:leftChars="-50" w:right="-140" w:rightChars="-50"/>
              <w:jc w:val="center"/>
              <w:rPr>
                <w:szCs w:val="21"/>
              </w:rPr>
            </w:pPr>
            <w:r>
              <w:rPr>
                <w:szCs w:val="21"/>
              </w:rPr>
              <w:t>2568</w:t>
            </w:r>
          </w:p>
        </w:tc>
        <w:tc>
          <w:tcPr>
            <w:tcW w:w="3687" w:type="dxa"/>
            <w:vAlign w:val="center"/>
          </w:tcPr>
          <w:p w14:paraId="3198DCF9">
            <w:pPr>
              <w:rPr>
                <w:szCs w:val="21"/>
              </w:rPr>
            </w:pPr>
            <w:r>
              <w:rPr>
                <w:szCs w:val="21"/>
              </w:rPr>
              <w:t>易燃液体,类别2</w:t>
            </w:r>
          </w:p>
        </w:tc>
        <w:tc>
          <w:tcPr>
            <w:tcW w:w="1200" w:type="dxa"/>
          </w:tcPr>
          <w:p w14:paraId="1682C77B">
            <w:pPr>
              <w:spacing w:before="171" w:line="187" w:lineRule="auto"/>
              <w:ind w:left="673"/>
              <w:rPr>
                <w:spacing w:val="-1"/>
                <w:szCs w:val="21"/>
              </w:rPr>
            </w:pPr>
            <w:r>
              <w:rPr>
                <w:spacing w:val="-1"/>
                <w:szCs w:val="21"/>
              </w:rPr>
              <w:t>79</w:t>
            </w:r>
          </w:p>
        </w:tc>
        <w:tc>
          <w:tcPr>
            <w:tcW w:w="975" w:type="dxa"/>
            <w:vAlign w:val="center"/>
          </w:tcPr>
          <w:p w14:paraId="0648174A">
            <w:pPr>
              <w:autoSpaceDE w:val="0"/>
              <w:autoSpaceDN w:val="0"/>
              <w:adjustRightInd w:val="0"/>
              <w:ind w:left="-140" w:leftChars="-50" w:right="-140" w:rightChars="-50"/>
              <w:jc w:val="center"/>
              <w:rPr>
                <w:szCs w:val="21"/>
              </w:rPr>
            </w:pPr>
            <w:r>
              <w:rPr>
                <w:szCs w:val="21"/>
              </w:rPr>
              <w:t>甲</w:t>
            </w:r>
          </w:p>
        </w:tc>
      </w:tr>
      <w:tr w14:paraId="6A723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49278832">
            <w:pPr>
              <w:spacing w:before="171" w:line="187" w:lineRule="auto"/>
              <w:ind w:left="175"/>
              <w:rPr>
                <w:spacing w:val="-3"/>
                <w:szCs w:val="21"/>
              </w:rPr>
            </w:pPr>
            <w:r>
              <w:rPr>
                <w:spacing w:val="-3"/>
                <w:szCs w:val="21"/>
              </w:rPr>
              <w:t>88</w:t>
            </w:r>
          </w:p>
        </w:tc>
        <w:tc>
          <w:tcPr>
            <w:tcW w:w="1020" w:type="dxa"/>
            <w:vAlign w:val="center"/>
          </w:tcPr>
          <w:p w14:paraId="4A3207DB">
            <w:pPr>
              <w:autoSpaceDE w:val="0"/>
              <w:autoSpaceDN w:val="0"/>
              <w:adjustRightInd w:val="0"/>
              <w:ind w:left="-140" w:leftChars="-50" w:right="-140" w:rightChars="-50"/>
              <w:jc w:val="center"/>
              <w:rPr>
                <w:szCs w:val="21"/>
              </w:rPr>
            </w:pPr>
            <w:r>
              <w:rPr>
                <w:szCs w:val="21"/>
              </w:rPr>
              <w:t>异丙醇</w:t>
            </w:r>
          </w:p>
        </w:tc>
        <w:tc>
          <w:tcPr>
            <w:tcW w:w="1025" w:type="dxa"/>
            <w:vAlign w:val="center"/>
          </w:tcPr>
          <w:p w14:paraId="5039D649">
            <w:pPr>
              <w:ind w:left="-140" w:leftChars="-50" w:right="-140" w:rightChars="-50"/>
              <w:jc w:val="center"/>
              <w:rPr>
                <w:szCs w:val="21"/>
              </w:rPr>
            </w:pPr>
            <w:r>
              <w:rPr>
                <w:szCs w:val="21"/>
              </w:rPr>
              <w:t>111</w:t>
            </w:r>
          </w:p>
        </w:tc>
        <w:tc>
          <w:tcPr>
            <w:tcW w:w="3687" w:type="dxa"/>
            <w:vAlign w:val="center"/>
          </w:tcPr>
          <w:p w14:paraId="12A25649">
            <w:pPr>
              <w:rPr>
                <w:szCs w:val="21"/>
              </w:rPr>
            </w:pPr>
            <w:r>
              <w:rPr>
                <w:szCs w:val="21"/>
              </w:rPr>
              <w:t>易燃液体,类别2</w:t>
            </w:r>
          </w:p>
          <w:p w14:paraId="66DA735E">
            <w:pPr>
              <w:rPr>
                <w:szCs w:val="21"/>
              </w:rPr>
            </w:pPr>
            <w:r>
              <w:rPr>
                <w:szCs w:val="21"/>
              </w:rPr>
              <w:t>严重眼损伤/眼刺激,类别2</w:t>
            </w:r>
          </w:p>
          <w:p w14:paraId="3A356BCB">
            <w:pPr>
              <w:rPr>
                <w:szCs w:val="21"/>
              </w:rPr>
            </w:pPr>
            <w:r>
              <w:rPr>
                <w:szCs w:val="21"/>
              </w:rPr>
              <w:t>特异性靶器官毒性-一次接触,类别3(麻醉效应)</w:t>
            </w:r>
          </w:p>
        </w:tc>
        <w:tc>
          <w:tcPr>
            <w:tcW w:w="1200" w:type="dxa"/>
          </w:tcPr>
          <w:p w14:paraId="3AA60C79">
            <w:pPr>
              <w:spacing w:before="171" w:line="187" w:lineRule="auto"/>
              <w:ind w:left="673"/>
              <w:rPr>
                <w:spacing w:val="-1"/>
                <w:szCs w:val="21"/>
              </w:rPr>
            </w:pPr>
            <w:r>
              <w:rPr>
                <w:spacing w:val="-1"/>
                <w:szCs w:val="21"/>
              </w:rPr>
              <w:t>23.7</w:t>
            </w:r>
          </w:p>
        </w:tc>
        <w:tc>
          <w:tcPr>
            <w:tcW w:w="975" w:type="dxa"/>
            <w:vAlign w:val="center"/>
          </w:tcPr>
          <w:p w14:paraId="6F7D013A">
            <w:pPr>
              <w:autoSpaceDE w:val="0"/>
              <w:autoSpaceDN w:val="0"/>
              <w:adjustRightInd w:val="0"/>
              <w:ind w:left="-140" w:leftChars="-50" w:right="-140" w:rightChars="-50"/>
              <w:jc w:val="center"/>
              <w:rPr>
                <w:szCs w:val="21"/>
              </w:rPr>
            </w:pPr>
            <w:r>
              <w:rPr>
                <w:szCs w:val="21"/>
              </w:rPr>
              <w:t>甲</w:t>
            </w:r>
          </w:p>
        </w:tc>
      </w:tr>
      <w:tr w14:paraId="2AB6A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2A3678A3">
            <w:pPr>
              <w:spacing w:before="171" w:line="187" w:lineRule="auto"/>
              <w:ind w:left="175"/>
              <w:rPr>
                <w:spacing w:val="-3"/>
                <w:szCs w:val="21"/>
              </w:rPr>
            </w:pPr>
            <w:r>
              <w:rPr>
                <w:spacing w:val="-3"/>
                <w:szCs w:val="21"/>
              </w:rPr>
              <w:t>89</w:t>
            </w:r>
          </w:p>
        </w:tc>
        <w:tc>
          <w:tcPr>
            <w:tcW w:w="1020" w:type="dxa"/>
            <w:vAlign w:val="center"/>
          </w:tcPr>
          <w:p w14:paraId="5B9C41D0">
            <w:pPr>
              <w:autoSpaceDE w:val="0"/>
              <w:autoSpaceDN w:val="0"/>
              <w:adjustRightInd w:val="0"/>
              <w:ind w:left="-140" w:leftChars="-50" w:right="-140" w:rightChars="-50"/>
              <w:jc w:val="center"/>
              <w:rPr>
                <w:szCs w:val="21"/>
              </w:rPr>
            </w:pPr>
            <w:r>
              <w:rPr>
                <w:szCs w:val="21"/>
              </w:rPr>
              <w:t>马来酸酐</w:t>
            </w:r>
          </w:p>
        </w:tc>
        <w:tc>
          <w:tcPr>
            <w:tcW w:w="1025" w:type="dxa"/>
            <w:vAlign w:val="center"/>
          </w:tcPr>
          <w:p w14:paraId="27CCEB42">
            <w:pPr>
              <w:ind w:left="-140" w:leftChars="-50" w:right="-140" w:rightChars="-50"/>
              <w:jc w:val="center"/>
              <w:rPr>
                <w:szCs w:val="21"/>
              </w:rPr>
            </w:pPr>
            <w:r>
              <w:rPr>
                <w:szCs w:val="21"/>
              </w:rPr>
              <w:t>1565</w:t>
            </w:r>
          </w:p>
        </w:tc>
        <w:tc>
          <w:tcPr>
            <w:tcW w:w="3687" w:type="dxa"/>
            <w:vAlign w:val="center"/>
          </w:tcPr>
          <w:p w14:paraId="753B4F52">
            <w:pPr>
              <w:rPr>
                <w:szCs w:val="21"/>
              </w:rPr>
            </w:pPr>
            <w:r>
              <w:rPr>
                <w:szCs w:val="21"/>
              </w:rPr>
              <w:t>皮肤腐蚀/刺激,类别1B</w:t>
            </w:r>
          </w:p>
          <w:p w14:paraId="4E31353C">
            <w:pPr>
              <w:rPr>
                <w:szCs w:val="21"/>
              </w:rPr>
            </w:pPr>
            <w:r>
              <w:rPr>
                <w:szCs w:val="21"/>
              </w:rPr>
              <w:t>严重眼损伤/眼刺激,类别1</w:t>
            </w:r>
          </w:p>
          <w:p w14:paraId="4C680D55">
            <w:pPr>
              <w:rPr>
                <w:szCs w:val="21"/>
              </w:rPr>
            </w:pPr>
            <w:r>
              <w:rPr>
                <w:szCs w:val="21"/>
              </w:rPr>
              <w:t>呼吸道致敏物,类别1</w:t>
            </w:r>
          </w:p>
          <w:p w14:paraId="0EA43E58">
            <w:pPr>
              <w:rPr>
                <w:szCs w:val="21"/>
              </w:rPr>
            </w:pPr>
            <w:r>
              <w:rPr>
                <w:szCs w:val="21"/>
              </w:rPr>
              <w:t>皮肤致敏物,类别1</w:t>
            </w:r>
          </w:p>
        </w:tc>
        <w:tc>
          <w:tcPr>
            <w:tcW w:w="1200" w:type="dxa"/>
          </w:tcPr>
          <w:p w14:paraId="515330C2">
            <w:pPr>
              <w:spacing w:before="171" w:line="187" w:lineRule="auto"/>
              <w:ind w:left="673"/>
              <w:rPr>
                <w:spacing w:val="-1"/>
                <w:szCs w:val="21"/>
              </w:rPr>
            </w:pPr>
            <w:r>
              <w:rPr>
                <w:spacing w:val="-1"/>
                <w:szCs w:val="21"/>
              </w:rPr>
              <w:t>3</w:t>
            </w:r>
          </w:p>
        </w:tc>
        <w:tc>
          <w:tcPr>
            <w:tcW w:w="975" w:type="dxa"/>
            <w:vAlign w:val="center"/>
          </w:tcPr>
          <w:p w14:paraId="4714AB21">
            <w:pPr>
              <w:autoSpaceDE w:val="0"/>
              <w:autoSpaceDN w:val="0"/>
              <w:adjustRightInd w:val="0"/>
              <w:ind w:left="-140" w:leftChars="-50" w:right="-140" w:rightChars="-50"/>
              <w:jc w:val="center"/>
              <w:rPr>
                <w:szCs w:val="21"/>
              </w:rPr>
            </w:pPr>
            <w:r>
              <w:rPr>
                <w:szCs w:val="21"/>
              </w:rPr>
              <w:t>丙</w:t>
            </w:r>
          </w:p>
        </w:tc>
      </w:tr>
      <w:tr w14:paraId="01690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5BFE2B8">
            <w:pPr>
              <w:spacing w:before="171" w:line="187" w:lineRule="auto"/>
              <w:ind w:left="175"/>
              <w:rPr>
                <w:spacing w:val="-3"/>
                <w:szCs w:val="21"/>
              </w:rPr>
            </w:pPr>
            <w:r>
              <w:rPr>
                <w:spacing w:val="-3"/>
                <w:szCs w:val="21"/>
              </w:rPr>
              <w:t>90</w:t>
            </w:r>
          </w:p>
        </w:tc>
        <w:tc>
          <w:tcPr>
            <w:tcW w:w="1020" w:type="dxa"/>
            <w:vAlign w:val="center"/>
          </w:tcPr>
          <w:p w14:paraId="099D5A38">
            <w:pPr>
              <w:autoSpaceDE w:val="0"/>
              <w:autoSpaceDN w:val="0"/>
              <w:adjustRightInd w:val="0"/>
              <w:ind w:left="-140" w:leftChars="-50" w:right="-140" w:rightChars="-50"/>
              <w:jc w:val="center"/>
              <w:rPr>
                <w:szCs w:val="21"/>
              </w:rPr>
            </w:pPr>
            <w:r>
              <w:rPr>
                <w:szCs w:val="21"/>
              </w:rPr>
              <w:t>盐酸</w:t>
            </w:r>
          </w:p>
        </w:tc>
        <w:tc>
          <w:tcPr>
            <w:tcW w:w="1025" w:type="dxa"/>
            <w:vAlign w:val="center"/>
          </w:tcPr>
          <w:p w14:paraId="78E2725D">
            <w:pPr>
              <w:ind w:left="-140" w:leftChars="-50" w:right="-140" w:rightChars="-50"/>
              <w:jc w:val="center"/>
              <w:rPr>
                <w:szCs w:val="21"/>
              </w:rPr>
            </w:pPr>
            <w:r>
              <w:rPr>
                <w:szCs w:val="21"/>
              </w:rPr>
              <w:t>2507</w:t>
            </w:r>
          </w:p>
        </w:tc>
        <w:tc>
          <w:tcPr>
            <w:tcW w:w="3687" w:type="dxa"/>
            <w:vAlign w:val="center"/>
          </w:tcPr>
          <w:p w14:paraId="23529644">
            <w:pPr>
              <w:rPr>
                <w:szCs w:val="21"/>
              </w:rPr>
            </w:pPr>
            <w:r>
              <w:rPr>
                <w:szCs w:val="21"/>
              </w:rPr>
              <w:t>皮肤腐蚀/刺激,类别1B</w:t>
            </w:r>
          </w:p>
          <w:p w14:paraId="1CBCEFE6">
            <w:pPr>
              <w:rPr>
                <w:szCs w:val="21"/>
              </w:rPr>
            </w:pPr>
            <w:r>
              <w:rPr>
                <w:szCs w:val="21"/>
              </w:rPr>
              <w:t>严重眼损伤/眼刺激,类别1</w:t>
            </w:r>
          </w:p>
          <w:p w14:paraId="7E5C879C">
            <w:pPr>
              <w:rPr>
                <w:szCs w:val="21"/>
              </w:rPr>
            </w:pPr>
            <w:r>
              <w:rPr>
                <w:szCs w:val="21"/>
              </w:rPr>
              <w:t>特异性靶器官毒性-一次接触,类别3(呼吸道刺激)</w:t>
            </w:r>
          </w:p>
          <w:p w14:paraId="27FB6986">
            <w:pPr>
              <w:rPr>
                <w:szCs w:val="21"/>
              </w:rPr>
            </w:pPr>
            <w:r>
              <w:rPr>
                <w:szCs w:val="21"/>
              </w:rPr>
              <w:t>危害水生环境-急性危害,类别2</w:t>
            </w:r>
          </w:p>
        </w:tc>
        <w:tc>
          <w:tcPr>
            <w:tcW w:w="1200" w:type="dxa"/>
          </w:tcPr>
          <w:p w14:paraId="63939B28">
            <w:pPr>
              <w:spacing w:before="171" w:line="187" w:lineRule="auto"/>
              <w:ind w:left="673"/>
              <w:rPr>
                <w:spacing w:val="-1"/>
                <w:szCs w:val="21"/>
              </w:rPr>
            </w:pPr>
            <w:r>
              <w:rPr>
                <w:spacing w:val="-1"/>
                <w:szCs w:val="21"/>
              </w:rPr>
              <w:t>103.5</w:t>
            </w:r>
          </w:p>
        </w:tc>
        <w:tc>
          <w:tcPr>
            <w:tcW w:w="975" w:type="dxa"/>
            <w:vAlign w:val="center"/>
          </w:tcPr>
          <w:p w14:paraId="2E97583C">
            <w:pPr>
              <w:autoSpaceDE w:val="0"/>
              <w:autoSpaceDN w:val="0"/>
              <w:adjustRightInd w:val="0"/>
              <w:ind w:left="-140" w:leftChars="-50" w:right="-140" w:rightChars="-50"/>
              <w:jc w:val="center"/>
              <w:rPr>
                <w:szCs w:val="21"/>
              </w:rPr>
            </w:pPr>
            <w:r>
              <w:rPr>
                <w:szCs w:val="21"/>
              </w:rPr>
              <w:t>戊</w:t>
            </w:r>
          </w:p>
        </w:tc>
      </w:tr>
      <w:tr w14:paraId="77579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5C98E040">
            <w:pPr>
              <w:spacing w:before="171" w:line="187" w:lineRule="auto"/>
              <w:ind w:left="175"/>
              <w:rPr>
                <w:spacing w:val="-3"/>
                <w:szCs w:val="21"/>
              </w:rPr>
            </w:pPr>
            <w:r>
              <w:rPr>
                <w:spacing w:val="-3"/>
                <w:szCs w:val="21"/>
              </w:rPr>
              <w:t>91</w:t>
            </w:r>
          </w:p>
        </w:tc>
        <w:tc>
          <w:tcPr>
            <w:tcW w:w="1020" w:type="dxa"/>
            <w:vAlign w:val="center"/>
          </w:tcPr>
          <w:p w14:paraId="44F8CDE9">
            <w:pPr>
              <w:ind w:left="-140" w:leftChars="-50" w:right="-140" w:rightChars="-50"/>
              <w:jc w:val="center"/>
              <w:rPr>
                <w:szCs w:val="21"/>
              </w:rPr>
            </w:pPr>
            <w:r>
              <w:rPr>
                <w:szCs w:val="21"/>
              </w:rPr>
              <w:t>硫酸</w:t>
            </w:r>
          </w:p>
        </w:tc>
        <w:tc>
          <w:tcPr>
            <w:tcW w:w="1025" w:type="dxa"/>
            <w:vAlign w:val="center"/>
          </w:tcPr>
          <w:p w14:paraId="64EBABE0">
            <w:pPr>
              <w:ind w:left="-140" w:leftChars="-50" w:right="-140" w:rightChars="-50"/>
              <w:jc w:val="center"/>
              <w:rPr>
                <w:szCs w:val="21"/>
              </w:rPr>
            </w:pPr>
            <w:r>
              <w:rPr>
                <w:szCs w:val="21"/>
              </w:rPr>
              <w:t>1302</w:t>
            </w:r>
          </w:p>
        </w:tc>
        <w:tc>
          <w:tcPr>
            <w:tcW w:w="3687" w:type="dxa"/>
            <w:vAlign w:val="center"/>
          </w:tcPr>
          <w:p w14:paraId="103BD2B6">
            <w:pPr>
              <w:rPr>
                <w:szCs w:val="21"/>
              </w:rPr>
            </w:pPr>
            <w:r>
              <w:rPr>
                <w:szCs w:val="21"/>
              </w:rPr>
              <w:t>皮肤腐蚀/刺激,类别1A</w:t>
            </w:r>
          </w:p>
          <w:p w14:paraId="6A22EEB3">
            <w:pPr>
              <w:rPr>
                <w:szCs w:val="21"/>
              </w:rPr>
            </w:pPr>
            <w:r>
              <w:rPr>
                <w:szCs w:val="21"/>
              </w:rPr>
              <w:t>严重眼损伤/眼刺激,类别1</w:t>
            </w:r>
          </w:p>
        </w:tc>
        <w:tc>
          <w:tcPr>
            <w:tcW w:w="1200" w:type="dxa"/>
          </w:tcPr>
          <w:p w14:paraId="1C5EC12F">
            <w:pPr>
              <w:spacing w:before="171" w:line="187" w:lineRule="auto"/>
              <w:ind w:left="673"/>
              <w:rPr>
                <w:spacing w:val="-1"/>
                <w:szCs w:val="21"/>
              </w:rPr>
            </w:pPr>
            <w:r>
              <w:rPr>
                <w:spacing w:val="-1"/>
                <w:szCs w:val="21"/>
              </w:rPr>
              <w:t>33.1</w:t>
            </w:r>
          </w:p>
        </w:tc>
        <w:tc>
          <w:tcPr>
            <w:tcW w:w="975" w:type="dxa"/>
            <w:vAlign w:val="center"/>
          </w:tcPr>
          <w:p w14:paraId="190121CB">
            <w:pPr>
              <w:autoSpaceDE w:val="0"/>
              <w:autoSpaceDN w:val="0"/>
              <w:adjustRightInd w:val="0"/>
              <w:ind w:left="-140" w:leftChars="-50" w:right="-140" w:rightChars="-50"/>
              <w:jc w:val="center"/>
              <w:rPr>
                <w:szCs w:val="21"/>
              </w:rPr>
            </w:pPr>
            <w:r>
              <w:rPr>
                <w:szCs w:val="21"/>
              </w:rPr>
              <w:t>戊</w:t>
            </w:r>
          </w:p>
        </w:tc>
      </w:tr>
      <w:tr w14:paraId="52881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71780074">
            <w:pPr>
              <w:spacing w:before="171" w:line="187" w:lineRule="auto"/>
              <w:ind w:left="175"/>
              <w:rPr>
                <w:spacing w:val="-3"/>
                <w:szCs w:val="21"/>
              </w:rPr>
            </w:pPr>
            <w:r>
              <w:rPr>
                <w:spacing w:val="-3"/>
                <w:szCs w:val="21"/>
              </w:rPr>
              <w:t>92</w:t>
            </w:r>
          </w:p>
        </w:tc>
        <w:tc>
          <w:tcPr>
            <w:tcW w:w="1020" w:type="dxa"/>
            <w:vAlign w:val="center"/>
          </w:tcPr>
          <w:p w14:paraId="7B0AEA0F">
            <w:pPr>
              <w:ind w:left="-140" w:leftChars="-50" w:right="-140" w:rightChars="-50"/>
              <w:jc w:val="center"/>
              <w:rPr>
                <w:szCs w:val="21"/>
              </w:rPr>
            </w:pPr>
            <w:r>
              <w:rPr>
                <w:szCs w:val="21"/>
              </w:rPr>
              <w:t>氢氧化钠</w:t>
            </w:r>
          </w:p>
        </w:tc>
        <w:tc>
          <w:tcPr>
            <w:tcW w:w="1025" w:type="dxa"/>
            <w:vAlign w:val="center"/>
          </w:tcPr>
          <w:p w14:paraId="5FD84C10">
            <w:pPr>
              <w:ind w:left="-140" w:leftChars="-50" w:right="-140" w:rightChars="-50"/>
              <w:jc w:val="center"/>
              <w:rPr>
                <w:szCs w:val="21"/>
              </w:rPr>
            </w:pPr>
            <w:r>
              <w:rPr>
                <w:szCs w:val="21"/>
              </w:rPr>
              <w:t>1669</w:t>
            </w:r>
          </w:p>
        </w:tc>
        <w:tc>
          <w:tcPr>
            <w:tcW w:w="3687" w:type="dxa"/>
            <w:vAlign w:val="center"/>
          </w:tcPr>
          <w:p w14:paraId="6036EE2E">
            <w:pPr>
              <w:rPr>
                <w:szCs w:val="21"/>
              </w:rPr>
            </w:pPr>
            <w:r>
              <w:rPr>
                <w:szCs w:val="21"/>
              </w:rPr>
              <w:t>皮肤腐蚀/刺激,类别1A</w:t>
            </w:r>
          </w:p>
          <w:p w14:paraId="1DA9D8E4">
            <w:pPr>
              <w:rPr>
                <w:spacing w:val="-7"/>
                <w:szCs w:val="21"/>
              </w:rPr>
            </w:pPr>
            <w:r>
              <w:rPr>
                <w:szCs w:val="21"/>
              </w:rPr>
              <w:t>严重眼损伤/眼刺激,类别1</w:t>
            </w:r>
          </w:p>
        </w:tc>
        <w:tc>
          <w:tcPr>
            <w:tcW w:w="1200" w:type="dxa"/>
          </w:tcPr>
          <w:p w14:paraId="4F5143AD">
            <w:pPr>
              <w:spacing w:before="171" w:line="187" w:lineRule="auto"/>
              <w:ind w:left="673"/>
              <w:rPr>
                <w:spacing w:val="-1"/>
                <w:szCs w:val="21"/>
              </w:rPr>
            </w:pPr>
            <w:r>
              <w:rPr>
                <w:spacing w:val="-1"/>
                <w:szCs w:val="21"/>
              </w:rPr>
              <w:t>80</w:t>
            </w:r>
          </w:p>
        </w:tc>
        <w:tc>
          <w:tcPr>
            <w:tcW w:w="975" w:type="dxa"/>
            <w:vAlign w:val="center"/>
          </w:tcPr>
          <w:p w14:paraId="50ADEB76">
            <w:pPr>
              <w:autoSpaceDE w:val="0"/>
              <w:autoSpaceDN w:val="0"/>
              <w:adjustRightInd w:val="0"/>
              <w:ind w:left="-140" w:leftChars="-50" w:right="-140" w:rightChars="-50"/>
              <w:jc w:val="center"/>
              <w:rPr>
                <w:spacing w:val="-7"/>
                <w:szCs w:val="21"/>
              </w:rPr>
            </w:pPr>
            <w:r>
              <w:rPr>
                <w:szCs w:val="21"/>
              </w:rPr>
              <w:t>戊</w:t>
            </w:r>
          </w:p>
        </w:tc>
      </w:tr>
      <w:tr w14:paraId="47CDD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337C0BC0">
            <w:pPr>
              <w:spacing w:before="171" w:line="187" w:lineRule="auto"/>
              <w:ind w:left="175"/>
              <w:rPr>
                <w:spacing w:val="-3"/>
                <w:szCs w:val="21"/>
              </w:rPr>
            </w:pPr>
            <w:r>
              <w:rPr>
                <w:spacing w:val="-3"/>
                <w:szCs w:val="21"/>
              </w:rPr>
              <w:t>93</w:t>
            </w:r>
          </w:p>
        </w:tc>
        <w:tc>
          <w:tcPr>
            <w:tcW w:w="1020" w:type="dxa"/>
            <w:vAlign w:val="center"/>
          </w:tcPr>
          <w:p w14:paraId="02CC9F6E">
            <w:pPr>
              <w:ind w:left="-140" w:leftChars="-50" w:right="-140" w:rightChars="-50"/>
              <w:jc w:val="center"/>
              <w:rPr>
                <w:szCs w:val="21"/>
              </w:rPr>
            </w:pPr>
            <w:r>
              <w:rPr>
                <w:szCs w:val="21"/>
              </w:rPr>
              <w:t>过氧化氢溶液</w:t>
            </w:r>
          </w:p>
        </w:tc>
        <w:tc>
          <w:tcPr>
            <w:tcW w:w="1025" w:type="dxa"/>
            <w:vAlign w:val="center"/>
          </w:tcPr>
          <w:p w14:paraId="789168EB">
            <w:pPr>
              <w:ind w:left="-140" w:leftChars="-50" w:right="-140" w:rightChars="-50"/>
              <w:jc w:val="center"/>
              <w:rPr>
                <w:szCs w:val="21"/>
              </w:rPr>
            </w:pPr>
            <w:r>
              <w:rPr>
                <w:szCs w:val="21"/>
              </w:rPr>
              <w:t>903</w:t>
            </w:r>
          </w:p>
        </w:tc>
        <w:tc>
          <w:tcPr>
            <w:tcW w:w="3687" w:type="dxa"/>
            <w:vAlign w:val="center"/>
          </w:tcPr>
          <w:p w14:paraId="5C99D146">
            <w:pPr>
              <w:rPr>
                <w:szCs w:val="21"/>
              </w:rPr>
            </w:pPr>
            <w:r>
              <w:rPr>
                <w:szCs w:val="21"/>
              </w:rPr>
              <w:t>氧化性液体,类别2</w:t>
            </w:r>
          </w:p>
          <w:p w14:paraId="6D01960C">
            <w:pPr>
              <w:rPr>
                <w:szCs w:val="21"/>
              </w:rPr>
            </w:pPr>
            <w:r>
              <w:rPr>
                <w:szCs w:val="21"/>
              </w:rPr>
              <w:t>皮肤腐蚀/刺激,类别1A</w:t>
            </w:r>
          </w:p>
          <w:p w14:paraId="102643DB">
            <w:pPr>
              <w:rPr>
                <w:szCs w:val="21"/>
              </w:rPr>
            </w:pPr>
            <w:r>
              <w:rPr>
                <w:szCs w:val="21"/>
              </w:rPr>
              <w:t>严重眼损伤/眼刺激,类别1</w:t>
            </w:r>
          </w:p>
          <w:p w14:paraId="183E2B8A">
            <w:pPr>
              <w:rPr>
                <w:spacing w:val="-7"/>
                <w:szCs w:val="21"/>
              </w:rPr>
            </w:pPr>
            <w:r>
              <w:rPr>
                <w:szCs w:val="21"/>
              </w:rPr>
              <w:t>特异性靶器官毒性-一次接触,类别3(呼吸道刺激)</w:t>
            </w:r>
          </w:p>
        </w:tc>
        <w:tc>
          <w:tcPr>
            <w:tcW w:w="1200" w:type="dxa"/>
          </w:tcPr>
          <w:p w14:paraId="79EE11B8">
            <w:pPr>
              <w:spacing w:before="171" w:line="187" w:lineRule="auto"/>
              <w:ind w:left="673"/>
              <w:rPr>
                <w:spacing w:val="-1"/>
                <w:szCs w:val="21"/>
              </w:rPr>
            </w:pPr>
            <w:r>
              <w:rPr>
                <w:spacing w:val="-1"/>
                <w:szCs w:val="21"/>
              </w:rPr>
              <w:t>4</w:t>
            </w:r>
          </w:p>
        </w:tc>
        <w:tc>
          <w:tcPr>
            <w:tcW w:w="975" w:type="dxa"/>
            <w:vAlign w:val="center"/>
          </w:tcPr>
          <w:p w14:paraId="03A57FCF">
            <w:pPr>
              <w:autoSpaceDE w:val="0"/>
              <w:autoSpaceDN w:val="0"/>
              <w:adjustRightInd w:val="0"/>
              <w:ind w:left="-140" w:leftChars="-50" w:right="-140" w:rightChars="-50"/>
              <w:jc w:val="center"/>
              <w:rPr>
                <w:spacing w:val="-7"/>
                <w:szCs w:val="21"/>
              </w:rPr>
            </w:pPr>
            <w:r>
              <w:rPr>
                <w:szCs w:val="21"/>
              </w:rPr>
              <w:t>乙</w:t>
            </w:r>
          </w:p>
        </w:tc>
      </w:tr>
      <w:tr w14:paraId="6E9DF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8CEC3F4">
            <w:pPr>
              <w:spacing w:before="171" w:line="187" w:lineRule="auto"/>
              <w:ind w:left="175"/>
              <w:rPr>
                <w:spacing w:val="-3"/>
                <w:szCs w:val="21"/>
              </w:rPr>
            </w:pPr>
            <w:r>
              <w:rPr>
                <w:spacing w:val="-3"/>
                <w:szCs w:val="21"/>
              </w:rPr>
              <w:t>94</w:t>
            </w:r>
          </w:p>
        </w:tc>
        <w:tc>
          <w:tcPr>
            <w:tcW w:w="1020" w:type="dxa"/>
            <w:vAlign w:val="center"/>
          </w:tcPr>
          <w:p w14:paraId="3888C64C">
            <w:pPr>
              <w:ind w:left="-140" w:leftChars="-50" w:right="-140" w:rightChars="-50"/>
              <w:jc w:val="center"/>
              <w:rPr>
                <w:szCs w:val="21"/>
              </w:rPr>
            </w:pPr>
            <w:r>
              <w:rPr>
                <w:szCs w:val="21"/>
              </w:rPr>
              <w:t>硫脲</w:t>
            </w:r>
          </w:p>
        </w:tc>
        <w:tc>
          <w:tcPr>
            <w:tcW w:w="1025" w:type="dxa"/>
            <w:vAlign w:val="center"/>
          </w:tcPr>
          <w:p w14:paraId="01FFBEBF">
            <w:pPr>
              <w:ind w:left="-140" w:leftChars="-50" w:right="-140" w:rightChars="-50"/>
              <w:jc w:val="center"/>
              <w:rPr>
                <w:szCs w:val="21"/>
              </w:rPr>
            </w:pPr>
            <w:r>
              <w:rPr>
                <w:szCs w:val="21"/>
              </w:rPr>
              <w:t>1291</w:t>
            </w:r>
          </w:p>
        </w:tc>
        <w:tc>
          <w:tcPr>
            <w:tcW w:w="3687" w:type="dxa"/>
            <w:vAlign w:val="center"/>
          </w:tcPr>
          <w:p w14:paraId="46FE58C8">
            <w:pPr>
              <w:rPr>
                <w:szCs w:val="21"/>
              </w:rPr>
            </w:pPr>
            <w:r>
              <w:rPr>
                <w:szCs w:val="21"/>
              </w:rPr>
              <w:t>生殖毒性,类别2</w:t>
            </w:r>
          </w:p>
          <w:p w14:paraId="168087A0">
            <w:pPr>
              <w:rPr>
                <w:szCs w:val="21"/>
              </w:rPr>
            </w:pPr>
            <w:r>
              <w:rPr>
                <w:szCs w:val="21"/>
              </w:rPr>
              <w:t>危害水生环境-急性危害,类别2</w:t>
            </w:r>
          </w:p>
          <w:p w14:paraId="250BB238">
            <w:pPr>
              <w:rPr>
                <w:spacing w:val="-7"/>
                <w:szCs w:val="21"/>
              </w:rPr>
            </w:pPr>
            <w:r>
              <w:rPr>
                <w:szCs w:val="21"/>
              </w:rPr>
              <w:t>危害水生环境-长期危害,类别2</w:t>
            </w:r>
          </w:p>
        </w:tc>
        <w:tc>
          <w:tcPr>
            <w:tcW w:w="1200" w:type="dxa"/>
          </w:tcPr>
          <w:p w14:paraId="6C9CD2F4">
            <w:pPr>
              <w:spacing w:before="171" w:line="187" w:lineRule="auto"/>
              <w:ind w:left="673"/>
              <w:rPr>
                <w:spacing w:val="-1"/>
                <w:szCs w:val="21"/>
              </w:rPr>
            </w:pPr>
            <w:r>
              <w:rPr>
                <w:spacing w:val="-1"/>
                <w:szCs w:val="21"/>
              </w:rPr>
              <w:t>0.25</w:t>
            </w:r>
          </w:p>
        </w:tc>
        <w:tc>
          <w:tcPr>
            <w:tcW w:w="975" w:type="dxa"/>
            <w:vAlign w:val="center"/>
          </w:tcPr>
          <w:p w14:paraId="0B8BD8CF">
            <w:pPr>
              <w:autoSpaceDE w:val="0"/>
              <w:autoSpaceDN w:val="0"/>
              <w:adjustRightInd w:val="0"/>
              <w:ind w:left="-140" w:leftChars="-50" w:right="-140" w:rightChars="-50"/>
              <w:jc w:val="center"/>
              <w:rPr>
                <w:spacing w:val="-7"/>
                <w:szCs w:val="21"/>
              </w:rPr>
            </w:pPr>
            <w:r>
              <w:rPr>
                <w:szCs w:val="21"/>
              </w:rPr>
              <w:t>丙</w:t>
            </w:r>
          </w:p>
        </w:tc>
      </w:tr>
      <w:tr w14:paraId="57B0B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58" w:type="dxa"/>
          </w:tcPr>
          <w:p w14:paraId="60187B2C">
            <w:pPr>
              <w:spacing w:before="171" w:line="187" w:lineRule="auto"/>
              <w:ind w:left="175"/>
              <w:rPr>
                <w:spacing w:val="-3"/>
                <w:szCs w:val="21"/>
              </w:rPr>
            </w:pPr>
            <w:r>
              <w:rPr>
                <w:spacing w:val="-3"/>
                <w:szCs w:val="21"/>
              </w:rPr>
              <w:t>95</w:t>
            </w:r>
          </w:p>
        </w:tc>
        <w:tc>
          <w:tcPr>
            <w:tcW w:w="1020" w:type="dxa"/>
            <w:vAlign w:val="center"/>
          </w:tcPr>
          <w:p w14:paraId="021180A1">
            <w:pPr>
              <w:ind w:left="-140" w:leftChars="-50" w:right="-140" w:rightChars="-50"/>
              <w:jc w:val="center"/>
              <w:rPr>
                <w:szCs w:val="21"/>
              </w:rPr>
            </w:pPr>
            <w:r>
              <w:rPr>
                <w:szCs w:val="21"/>
              </w:rPr>
              <w:t>次氯酸钠溶液</w:t>
            </w:r>
          </w:p>
        </w:tc>
        <w:tc>
          <w:tcPr>
            <w:tcW w:w="1025" w:type="dxa"/>
            <w:vAlign w:val="center"/>
          </w:tcPr>
          <w:p w14:paraId="524EA0F3">
            <w:pPr>
              <w:ind w:left="-140" w:leftChars="-50" w:right="-140" w:rightChars="-50"/>
              <w:jc w:val="center"/>
              <w:rPr>
                <w:szCs w:val="21"/>
              </w:rPr>
            </w:pPr>
            <w:r>
              <w:rPr>
                <w:szCs w:val="21"/>
              </w:rPr>
              <w:t>166</w:t>
            </w:r>
          </w:p>
        </w:tc>
        <w:tc>
          <w:tcPr>
            <w:tcW w:w="3687" w:type="dxa"/>
            <w:vAlign w:val="center"/>
          </w:tcPr>
          <w:p w14:paraId="164615C6">
            <w:pPr>
              <w:rPr>
                <w:szCs w:val="21"/>
              </w:rPr>
            </w:pPr>
            <w:r>
              <w:rPr>
                <w:szCs w:val="21"/>
              </w:rPr>
              <w:t>皮肤腐蚀/刺激,类别1B</w:t>
            </w:r>
          </w:p>
          <w:p w14:paraId="21EDD6D6">
            <w:pPr>
              <w:rPr>
                <w:szCs w:val="21"/>
              </w:rPr>
            </w:pPr>
            <w:r>
              <w:rPr>
                <w:szCs w:val="21"/>
              </w:rPr>
              <w:t>严重眼损伤/眼刺激,类别1</w:t>
            </w:r>
          </w:p>
          <w:p w14:paraId="5E4552AA">
            <w:pPr>
              <w:rPr>
                <w:szCs w:val="21"/>
              </w:rPr>
            </w:pPr>
            <w:r>
              <w:rPr>
                <w:szCs w:val="21"/>
              </w:rPr>
              <w:t>危害水生环境-急性危害,类别1</w:t>
            </w:r>
          </w:p>
          <w:p w14:paraId="6B907E44">
            <w:pPr>
              <w:rPr>
                <w:spacing w:val="-7"/>
                <w:szCs w:val="21"/>
              </w:rPr>
            </w:pPr>
            <w:r>
              <w:rPr>
                <w:szCs w:val="21"/>
              </w:rPr>
              <w:t>危害水生环境-长期危害,类别1</w:t>
            </w:r>
          </w:p>
        </w:tc>
        <w:tc>
          <w:tcPr>
            <w:tcW w:w="1200" w:type="dxa"/>
          </w:tcPr>
          <w:p w14:paraId="20047E79">
            <w:pPr>
              <w:spacing w:before="171" w:line="187" w:lineRule="auto"/>
              <w:ind w:left="673"/>
              <w:rPr>
                <w:spacing w:val="-1"/>
                <w:szCs w:val="21"/>
              </w:rPr>
            </w:pPr>
            <w:r>
              <w:rPr>
                <w:spacing w:val="-1"/>
                <w:szCs w:val="21"/>
              </w:rPr>
              <w:t>1</w:t>
            </w:r>
          </w:p>
        </w:tc>
        <w:tc>
          <w:tcPr>
            <w:tcW w:w="975" w:type="dxa"/>
            <w:vAlign w:val="center"/>
          </w:tcPr>
          <w:p w14:paraId="5D508CED">
            <w:pPr>
              <w:autoSpaceDE w:val="0"/>
              <w:autoSpaceDN w:val="0"/>
              <w:adjustRightInd w:val="0"/>
              <w:ind w:left="-140" w:leftChars="-50" w:right="-140" w:rightChars="-50"/>
              <w:jc w:val="center"/>
              <w:rPr>
                <w:spacing w:val="-7"/>
                <w:szCs w:val="21"/>
              </w:rPr>
            </w:pPr>
            <w:r>
              <w:rPr>
                <w:szCs w:val="21"/>
              </w:rPr>
              <w:t>戊</w:t>
            </w:r>
          </w:p>
        </w:tc>
      </w:tr>
      <w:bookmarkEnd w:id="141"/>
    </w:tbl>
    <w:p w14:paraId="466077CD">
      <w:pPr>
        <w:spacing w:before="238" w:line="219" w:lineRule="auto"/>
        <w:ind w:left="683"/>
        <w:rPr>
          <w:rFonts w:eastAsiaTheme="minorEastAsia"/>
          <w:b/>
          <w:sz w:val="24"/>
          <w:szCs w:val="24"/>
        </w:rPr>
      </w:pPr>
      <w:r>
        <w:rPr>
          <w:rFonts w:eastAsiaTheme="minorEastAsia"/>
          <w:b/>
          <w:sz w:val="24"/>
          <w:szCs w:val="24"/>
        </w:rPr>
        <w:t>（2）重点监管的危险化学品辨识</w:t>
      </w:r>
    </w:p>
    <w:p w14:paraId="2D3B8857">
      <w:pPr>
        <w:widowControl/>
        <w:spacing w:line="360" w:lineRule="auto"/>
        <w:ind w:firstLine="480" w:firstLineChars="200"/>
        <w:jc w:val="left"/>
        <w:rPr>
          <w:sz w:val="24"/>
        </w:rPr>
      </w:pPr>
      <w:r>
        <w:rPr>
          <w:sz w:val="24"/>
        </w:rPr>
        <w:t>对照《国家安全监管总局首批重点监管的危险化学品安全措施和应急处置原则的通知》(安监总厅管三〔2011〕142号)《国家安全监管总局关于公布第二批重点监管危险化学品目录的通知》(安监总管三〔2013〕12号)，化工园区四至范围内已入驻的德邦化工、恒诚制药、水卫士环保科技、国瑞药业四家化工企业、块二正在建设的三家化工为企业淮南锦德生物科技有限公司、安徽森吉制药有限公司和安徽山河药用辅料股份有限公司。</w:t>
      </w:r>
    </w:p>
    <w:p w14:paraId="64D66D9E">
      <w:pPr>
        <w:widowControl/>
        <w:spacing w:line="360" w:lineRule="auto"/>
        <w:jc w:val="left"/>
        <w:rPr>
          <w:sz w:val="24"/>
        </w:rPr>
      </w:pPr>
      <w:r>
        <w:rPr>
          <w:sz w:val="24"/>
        </w:rPr>
        <w:t>涉及的重点监管的危险化学品如表7.1-2。</w:t>
      </w:r>
    </w:p>
    <w:p w14:paraId="14F731F7">
      <w:pPr>
        <w:spacing w:before="62" w:line="212" w:lineRule="auto"/>
        <w:ind w:left="2093"/>
        <w:rPr>
          <w:sz w:val="24"/>
          <w:szCs w:val="24"/>
        </w:rPr>
      </w:pPr>
      <w:r>
        <w:rPr>
          <w:spacing w:val="-4"/>
          <w:sz w:val="24"/>
          <w:szCs w:val="24"/>
        </w:rPr>
        <w:t>表7</w:t>
      </w:r>
      <w:r>
        <w:rPr>
          <w:rFonts w:eastAsia="Times New Roman"/>
          <w:spacing w:val="-4"/>
          <w:sz w:val="24"/>
          <w:szCs w:val="24"/>
        </w:rPr>
        <w:t>.1-2</w:t>
      </w:r>
      <w:r>
        <w:rPr>
          <w:spacing w:val="-2"/>
          <w:sz w:val="24"/>
          <w:szCs w:val="24"/>
        </w:rPr>
        <w:t>化工园区重点监管的危险化学品辨识表</w:t>
      </w:r>
    </w:p>
    <w:tbl>
      <w:tblPr>
        <w:tblStyle w:val="58"/>
        <w:tblW w:w="84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166"/>
        <w:gridCol w:w="1406"/>
        <w:gridCol w:w="1917"/>
        <w:gridCol w:w="825"/>
        <w:gridCol w:w="2438"/>
      </w:tblGrid>
      <w:tr w14:paraId="323FF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69AA64C0">
            <w:pPr>
              <w:spacing w:before="156" w:line="222" w:lineRule="auto"/>
              <w:ind w:left="146"/>
              <w:rPr>
                <w:szCs w:val="21"/>
              </w:rPr>
            </w:pPr>
            <w:r>
              <w:rPr>
                <w:spacing w:val="-3"/>
                <w:szCs w:val="21"/>
              </w:rPr>
              <w:t>序</w:t>
            </w:r>
            <w:r>
              <w:rPr>
                <w:spacing w:val="-2"/>
                <w:szCs w:val="21"/>
              </w:rPr>
              <w:t>号</w:t>
            </w:r>
          </w:p>
        </w:tc>
        <w:tc>
          <w:tcPr>
            <w:tcW w:w="1166" w:type="dxa"/>
          </w:tcPr>
          <w:p w14:paraId="64065729">
            <w:pPr>
              <w:spacing w:before="157" w:line="221" w:lineRule="auto"/>
              <w:ind w:left="163"/>
              <w:rPr>
                <w:szCs w:val="21"/>
              </w:rPr>
            </w:pPr>
            <w:r>
              <w:rPr>
                <w:spacing w:val="-1"/>
                <w:szCs w:val="21"/>
              </w:rPr>
              <w:t>物质名</w:t>
            </w:r>
            <w:r>
              <w:rPr>
                <w:szCs w:val="21"/>
              </w:rPr>
              <w:t>称</w:t>
            </w:r>
          </w:p>
        </w:tc>
        <w:tc>
          <w:tcPr>
            <w:tcW w:w="1406" w:type="dxa"/>
          </w:tcPr>
          <w:p w14:paraId="685CA643">
            <w:pPr>
              <w:spacing w:before="157" w:line="234" w:lineRule="auto"/>
              <w:ind w:left="111"/>
              <w:rPr>
                <w:szCs w:val="21"/>
              </w:rPr>
            </w:pPr>
            <w:r>
              <w:rPr>
                <w:spacing w:val="8"/>
                <w:szCs w:val="21"/>
              </w:rPr>
              <w:t>最大储量(</w:t>
            </w:r>
            <w:r>
              <w:rPr>
                <w:rFonts w:eastAsia="Times New Roman"/>
                <w:b/>
                <w:bCs/>
                <w:szCs w:val="21"/>
              </w:rPr>
              <w:t>t</w:t>
            </w:r>
            <w:r>
              <w:rPr>
                <w:spacing w:val="8"/>
                <w:szCs w:val="21"/>
              </w:rPr>
              <w:t>)</w:t>
            </w:r>
          </w:p>
        </w:tc>
        <w:tc>
          <w:tcPr>
            <w:tcW w:w="1917" w:type="dxa"/>
          </w:tcPr>
          <w:p w14:paraId="0F381878">
            <w:pPr>
              <w:spacing w:before="156" w:line="221" w:lineRule="auto"/>
              <w:ind w:left="419"/>
              <w:rPr>
                <w:szCs w:val="21"/>
              </w:rPr>
            </w:pPr>
            <w:r>
              <w:rPr>
                <w:spacing w:val="-1"/>
                <w:szCs w:val="21"/>
              </w:rPr>
              <w:t>主要危</w:t>
            </w:r>
            <w:r>
              <w:rPr>
                <w:szCs w:val="21"/>
              </w:rPr>
              <w:t>险特性</w:t>
            </w:r>
          </w:p>
        </w:tc>
        <w:tc>
          <w:tcPr>
            <w:tcW w:w="3263" w:type="dxa"/>
            <w:gridSpan w:val="2"/>
          </w:tcPr>
          <w:p w14:paraId="3E60C453">
            <w:pPr>
              <w:spacing w:before="156" w:line="221" w:lineRule="auto"/>
              <w:ind w:left="967"/>
              <w:rPr>
                <w:szCs w:val="21"/>
              </w:rPr>
            </w:pPr>
            <w:r>
              <w:rPr>
                <w:spacing w:val="1"/>
                <w:szCs w:val="21"/>
              </w:rPr>
              <w:t>主要储</w:t>
            </w:r>
            <w:r>
              <w:rPr>
                <w:szCs w:val="21"/>
              </w:rPr>
              <w:t>存 (存在) 场所</w:t>
            </w:r>
          </w:p>
        </w:tc>
      </w:tr>
      <w:tr w14:paraId="2EF86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460" w:type="dxa"/>
            <w:gridSpan w:val="6"/>
          </w:tcPr>
          <w:p w14:paraId="71D12B5A">
            <w:pPr>
              <w:spacing w:before="121" w:line="221" w:lineRule="auto"/>
              <w:ind w:left="4288"/>
              <w:rPr>
                <w:szCs w:val="21"/>
              </w:rPr>
            </w:pPr>
            <w:r>
              <w:rPr>
                <w:spacing w:val="-1"/>
                <w:szCs w:val="21"/>
              </w:rPr>
              <w:t>德邦化工</w:t>
            </w:r>
          </w:p>
        </w:tc>
      </w:tr>
      <w:tr w14:paraId="4F0A2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Pr>
          <w:p w14:paraId="615FC2EC">
            <w:pPr>
              <w:spacing w:before="187" w:line="187" w:lineRule="auto"/>
              <w:ind w:left="166"/>
              <w:rPr>
                <w:rFonts w:eastAsia="Times New Roman"/>
                <w:szCs w:val="21"/>
              </w:rPr>
            </w:pPr>
            <w:r>
              <w:rPr>
                <w:rFonts w:eastAsia="Times New Roman"/>
                <w:szCs w:val="21"/>
              </w:rPr>
              <w:t>1</w:t>
            </w:r>
          </w:p>
        </w:tc>
        <w:tc>
          <w:tcPr>
            <w:tcW w:w="1166" w:type="dxa"/>
          </w:tcPr>
          <w:p w14:paraId="4E658EE7">
            <w:pPr>
              <w:spacing w:before="153" w:line="221" w:lineRule="auto"/>
              <w:ind w:left="402"/>
              <w:rPr>
                <w:szCs w:val="21"/>
              </w:rPr>
            </w:pPr>
            <w:r>
              <w:rPr>
                <w:spacing w:val="-9"/>
                <w:szCs w:val="21"/>
              </w:rPr>
              <w:t>甲</w:t>
            </w:r>
            <w:r>
              <w:rPr>
                <w:spacing w:val="-8"/>
                <w:szCs w:val="21"/>
              </w:rPr>
              <w:t>醇</w:t>
            </w:r>
          </w:p>
        </w:tc>
        <w:tc>
          <w:tcPr>
            <w:tcW w:w="1406" w:type="dxa"/>
          </w:tcPr>
          <w:p w14:paraId="2F873008">
            <w:pPr>
              <w:spacing w:before="187" w:line="187" w:lineRule="auto"/>
              <w:ind w:left="549"/>
              <w:rPr>
                <w:rFonts w:eastAsia="Times New Roman"/>
                <w:szCs w:val="21"/>
              </w:rPr>
            </w:pPr>
            <w:r>
              <w:rPr>
                <w:rFonts w:eastAsia="Times New Roman"/>
                <w:spacing w:val="-2"/>
                <w:szCs w:val="21"/>
              </w:rPr>
              <w:t>66</w:t>
            </w:r>
            <w:r>
              <w:rPr>
                <w:rFonts w:eastAsia="Times New Roman"/>
                <w:spacing w:val="-1"/>
                <w:szCs w:val="21"/>
              </w:rPr>
              <w:t>6</w:t>
            </w:r>
          </w:p>
        </w:tc>
        <w:tc>
          <w:tcPr>
            <w:tcW w:w="1917" w:type="dxa"/>
          </w:tcPr>
          <w:p w14:paraId="1D69375A">
            <w:pPr>
              <w:spacing w:before="153" w:line="219" w:lineRule="auto"/>
              <w:rPr>
                <w:szCs w:val="21"/>
              </w:rPr>
            </w:pPr>
            <w:r>
              <w:rPr>
                <w:spacing w:val="-4"/>
                <w:szCs w:val="21"/>
              </w:rPr>
              <w:t>易燃</w:t>
            </w:r>
            <w:r>
              <w:rPr>
                <w:spacing w:val="-2"/>
                <w:szCs w:val="21"/>
              </w:rPr>
              <w:t>、易爆、有毒</w:t>
            </w:r>
          </w:p>
        </w:tc>
        <w:tc>
          <w:tcPr>
            <w:tcW w:w="3263" w:type="dxa"/>
            <w:gridSpan w:val="2"/>
          </w:tcPr>
          <w:p w14:paraId="58E74F3E">
            <w:pPr>
              <w:spacing w:before="159" w:line="279" w:lineRule="exact"/>
              <w:rPr>
                <w:szCs w:val="21"/>
              </w:rPr>
            </w:pPr>
            <w:r>
              <w:rPr>
                <w:rFonts w:eastAsia="Times New Roman"/>
                <w:spacing w:val="-4"/>
                <w:position w:val="1"/>
                <w:szCs w:val="21"/>
              </w:rPr>
              <w:t>2</w:t>
            </w:r>
            <w:r>
              <w:rPr>
                <w:spacing w:val="-4"/>
                <w:position w:val="1"/>
                <w:szCs w:val="21"/>
              </w:rPr>
              <w:t>台</w:t>
            </w:r>
            <w:r>
              <w:rPr>
                <w:rFonts w:eastAsia="Times New Roman"/>
                <w:spacing w:val="-4"/>
                <w:position w:val="1"/>
                <w:szCs w:val="21"/>
              </w:rPr>
              <w:t>30</w:t>
            </w:r>
            <w:r>
              <w:rPr>
                <w:rFonts w:eastAsia="Times New Roman"/>
                <w:spacing w:val="-3"/>
                <w:position w:val="1"/>
                <w:szCs w:val="21"/>
              </w:rPr>
              <w:t>0</w:t>
            </w:r>
            <w:r>
              <w:rPr>
                <w:rFonts w:eastAsia="Times New Roman"/>
                <w:spacing w:val="-2"/>
                <w:position w:val="1"/>
                <w:szCs w:val="21"/>
              </w:rPr>
              <w:t>m</w:t>
            </w:r>
            <w:r>
              <w:rPr>
                <w:rFonts w:eastAsia="Times New Roman"/>
                <w:spacing w:val="-2"/>
                <w:position w:val="10"/>
                <w:sz w:val="13"/>
                <w:szCs w:val="13"/>
              </w:rPr>
              <w:t xml:space="preserve">3 </w:t>
            </w:r>
            <w:r>
              <w:rPr>
                <w:spacing w:val="-2"/>
                <w:position w:val="1"/>
                <w:szCs w:val="21"/>
              </w:rPr>
              <w:t>固定顶甲醇储罐</w:t>
            </w:r>
          </w:p>
        </w:tc>
      </w:tr>
      <w:tr w14:paraId="5372F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Pr>
          <w:p w14:paraId="2043AF47">
            <w:pPr>
              <w:spacing w:before="187" w:line="187" w:lineRule="auto"/>
              <w:ind w:left="145"/>
              <w:rPr>
                <w:rFonts w:eastAsia="Times New Roman"/>
                <w:szCs w:val="21"/>
              </w:rPr>
            </w:pPr>
            <w:r>
              <w:rPr>
                <w:rFonts w:eastAsia="Times New Roman"/>
                <w:szCs w:val="21"/>
              </w:rPr>
              <w:t>2</w:t>
            </w:r>
          </w:p>
        </w:tc>
        <w:tc>
          <w:tcPr>
            <w:tcW w:w="1166" w:type="dxa"/>
          </w:tcPr>
          <w:p w14:paraId="0AE61D65">
            <w:pPr>
              <w:spacing w:before="151" w:line="219" w:lineRule="auto"/>
              <w:ind w:left="375"/>
              <w:rPr>
                <w:szCs w:val="21"/>
              </w:rPr>
            </w:pPr>
            <w:r>
              <w:rPr>
                <w:spacing w:val="-2"/>
                <w:szCs w:val="21"/>
              </w:rPr>
              <w:t>氢</w:t>
            </w:r>
            <w:r>
              <w:rPr>
                <w:spacing w:val="-1"/>
                <w:szCs w:val="21"/>
              </w:rPr>
              <w:t>气</w:t>
            </w:r>
          </w:p>
        </w:tc>
        <w:tc>
          <w:tcPr>
            <w:tcW w:w="1406" w:type="dxa"/>
          </w:tcPr>
          <w:p w14:paraId="1AB36B69">
            <w:pPr>
              <w:spacing w:before="187" w:line="187" w:lineRule="auto"/>
              <w:ind w:left="469"/>
              <w:rPr>
                <w:rFonts w:eastAsia="Times New Roman"/>
                <w:szCs w:val="21"/>
              </w:rPr>
            </w:pPr>
            <w:r>
              <w:rPr>
                <w:rFonts w:eastAsia="Times New Roman"/>
                <w:spacing w:val="-1"/>
                <w:szCs w:val="21"/>
              </w:rPr>
              <w:t>0.00</w:t>
            </w:r>
            <w:r>
              <w:rPr>
                <w:rFonts w:eastAsia="Times New Roman"/>
                <w:szCs w:val="21"/>
              </w:rPr>
              <w:t>6</w:t>
            </w:r>
          </w:p>
        </w:tc>
        <w:tc>
          <w:tcPr>
            <w:tcW w:w="1917" w:type="dxa"/>
          </w:tcPr>
          <w:p w14:paraId="44762326">
            <w:pPr>
              <w:spacing w:before="151" w:line="219" w:lineRule="auto"/>
              <w:rPr>
                <w:szCs w:val="21"/>
              </w:rPr>
            </w:pPr>
            <w:r>
              <w:rPr>
                <w:spacing w:val="-6"/>
                <w:szCs w:val="21"/>
              </w:rPr>
              <w:t>易</w:t>
            </w:r>
            <w:r>
              <w:rPr>
                <w:spacing w:val="-4"/>
                <w:szCs w:val="21"/>
              </w:rPr>
              <w:t>燃</w:t>
            </w:r>
            <w:r>
              <w:rPr>
                <w:spacing w:val="-3"/>
                <w:szCs w:val="21"/>
              </w:rPr>
              <w:t>、易爆</w:t>
            </w:r>
          </w:p>
        </w:tc>
        <w:tc>
          <w:tcPr>
            <w:tcW w:w="3263" w:type="dxa"/>
            <w:gridSpan w:val="2"/>
          </w:tcPr>
          <w:p w14:paraId="47F2E756">
            <w:pPr>
              <w:spacing w:before="172" w:line="219" w:lineRule="auto"/>
              <w:rPr>
                <w:szCs w:val="21"/>
              </w:rPr>
            </w:pPr>
            <w:r>
              <w:rPr>
                <w:spacing w:val="-1"/>
                <w:szCs w:val="21"/>
              </w:rPr>
              <w:t>膜提氢装</w:t>
            </w:r>
            <w:r>
              <w:rPr>
                <w:szCs w:val="21"/>
              </w:rPr>
              <w:t>置</w:t>
            </w:r>
          </w:p>
        </w:tc>
      </w:tr>
      <w:tr w14:paraId="191E3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708" w:type="dxa"/>
            <w:tcBorders>
              <w:bottom w:val="single" w:color="000000" w:sz="2" w:space="0"/>
              <w:right w:val="single" w:color="000000" w:sz="2" w:space="0"/>
            </w:tcBorders>
          </w:tcPr>
          <w:p w14:paraId="6E188B2F">
            <w:pPr>
              <w:spacing w:line="259" w:lineRule="auto"/>
            </w:pPr>
          </w:p>
          <w:p w14:paraId="7EB07645">
            <w:pPr>
              <w:spacing w:before="60" w:line="187" w:lineRule="auto"/>
              <w:ind w:left="150"/>
              <w:rPr>
                <w:rFonts w:eastAsia="Times New Roman"/>
                <w:szCs w:val="21"/>
              </w:rPr>
            </w:pPr>
            <w:r>
              <w:rPr>
                <w:rFonts w:eastAsia="Times New Roman"/>
                <w:szCs w:val="21"/>
              </w:rPr>
              <w:t>3</w:t>
            </w:r>
          </w:p>
        </w:tc>
        <w:tc>
          <w:tcPr>
            <w:tcW w:w="1166" w:type="dxa"/>
            <w:tcBorders>
              <w:left w:val="single" w:color="000000" w:sz="2" w:space="0"/>
              <w:bottom w:val="single" w:color="000000" w:sz="2" w:space="0"/>
              <w:right w:val="single" w:color="000000" w:sz="2" w:space="0"/>
            </w:tcBorders>
          </w:tcPr>
          <w:p w14:paraId="2619623B">
            <w:pPr>
              <w:spacing w:before="288" w:line="218" w:lineRule="auto"/>
              <w:ind w:left="480"/>
              <w:rPr>
                <w:szCs w:val="21"/>
              </w:rPr>
            </w:pPr>
            <w:r>
              <w:rPr>
                <w:szCs w:val="21"/>
              </w:rPr>
              <w:t>氨</w:t>
            </w:r>
          </w:p>
        </w:tc>
        <w:tc>
          <w:tcPr>
            <w:tcW w:w="1406" w:type="dxa"/>
            <w:tcBorders>
              <w:left w:val="single" w:color="000000" w:sz="2" w:space="0"/>
              <w:bottom w:val="single" w:color="000000" w:sz="2" w:space="0"/>
              <w:right w:val="single" w:color="000000" w:sz="2" w:space="0"/>
            </w:tcBorders>
          </w:tcPr>
          <w:p w14:paraId="2B9F91DF">
            <w:pPr>
              <w:spacing w:line="259" w:lineRule="auto"/>
            </w:pPr>
          </w:p>
          <w:p w14:paraId="48B698FA">
            <w:pPr>
              <w:spacing w:before="60" w:line="187" w:lineRule="auto"/>
              <w:ind w:left="524"/>
              <w:rPr>
                <w:rFonts w:eastAsia="Times New Roman"/>
                <w:szCs w:val="21"/>
              </w:rPr>
            </w:pPr>
            <w:r>
              <w:rPr>
                <w:rFonts w:eastAsia="Times New Roman"/>
                <w:spacing w:val="-2"/>
                <w:szCs w:val="21"/>
              </w:rPr>
              <w:t>59</w:t>
            </w:r>
            <w:r>
              <w:rPr>
                <w:rFonts w:eastAsia="Times New Roman"/>
                <w:spacing w:val="-1"/>
                <w:szCs w:val="21"/>
              </w:rPr>
              <w:t>.2</w:t>
            </w:r>
          </w:p>
        </w:tc>
        <w:tc>
          <w:tcPr>
            <w:tcW w:w="1917" w:type="dxa"/>
            <w:tcBorders>
              <w:left w:val="single" w:color="000000" w:sz="2" w:space="0"/>
              <w:bottom w:val="single" w:color="000000" w:sz="2" w:space="0"/>
            </w:tcBorders>
          </w:tcPr>
          <w:p w14:paraId="162951FB">
            <w:pPr>
              <w:spacing w:before="287" w:line="219" w:lineRule="auto"/>
              <w:rPr>
                <w:szCs w:val="21"/>
              </w:rPr>
            </w:pPr>
            <w:r>
              <w:rPr>
                <w:spacing w:val="-4"/>
                <w:szCs w:val="21"/>
              </w:rPr>
              <w:t>易燃</w:t>
            </w:r>
            <w:r>
              <w:rPr>
                <w:spacing w:val="-2"/>
                <w:szCs w:val="21"/>
              </w:rPr>
              <w:t>、易爆、有毒</w:t>
            </w:r>
          </w:p>
        </w:tc>
        <w:tc>
          <w:tcPr>
            <w:tcW w:w="825" w:type="dxa"/>
          </w:tcPr>
          <w:p w14:paraId="4C1F8686">
            <w:pPr>
              <w:spacing w:before="31" w:line="217" w:lineRule="auto"/>
              <w:rPr>
                <w:szCs w:val="21"/>
              </w:rPr>
            </w:pPr>
            <w:r>
              <w:rPr>
                <w:spacing w:val="-2"/>
                <w:szCs w:val="21"/>
              </w:rPr>
              <w:t>整</w:t>
            </w:r>
            <w:r>
              <w:rPr>
                <w:spacing w:val="-1"/>
                <w:szCs w:val="21"/>
              </w:rPr>
              <w:t>改后</w:t>
            </w:r>
          </w:p>
        </w:tc>
        <w:tc>
          <w:tcPr>
            <w:tcW w:w="2438" w:type="dxa"/>
          </w:tcPr>
          <w:p w14:paraId="0DB15080">
            <w:pPr>
              <w:spacing w:before="17" w:line="229" w:lineRule="auto"/>
              <w:rPr>
                <w:szCs w:val="21"/>
              </w:rPr>
            </w:pPr>
            <w:r>
              <w:rPr>
                <w:rFonts w:eastAsia="Times New Roman"/>
                <w:spacing w:val="-4"/>
                <w:szCs w:val="21"/>
              </w:rPr>
              <w:t>4</w:t>
            </w:r>
            <w:r>
              <w:rPr>
                <w:spacing w:val="-4"/>
                <w:szCs w:val="21"/>
              </w:rPr>
              <w:t>台</w:t>
            </w:r>
            <w:r>
              <w:rPr>
                <w:rFonts w:eastAsia="Times New Roman"/>
                <w:spacing w:val="-4"/>
                <w:szCs w:val="21"/>
              </w:rPr>
              <w:t>16</w:t>
            </w:r>
            <w:r>
              <w:rPr>
                <w:rFonts w:eastAsia="Times New Roman"/>
                <w:spacing w:val="-2"/>
                <w:szCs w:val="21"/>
              </w:rPr>
              <w:t>m</w:t>
            </w:r>
            <w:r>
              <w:rPr>
                <w:rFonts w:eastAsia="Times New Roman"/>
                <w:spacing w:val="-3"/>
                <w:position w:val="9"/>
                <w:sz w:val="13"/>
                <w:szCs w:val="13"/>
              </w:rPr>
              <w:t>3</w:t>
            </w:r>
            <w:r>
              <w:rPr>
                <w:spacing w:val="-2"/>
                <w:szCs w:val="21"/>
              </w:rPr>
              <w:t>全压式液氨储罐</w:t>
            </w:r>
          </w:p>
        </w:tc>
      </w:tr>
      <w:tr w14:paraId="5547F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460" w:type="dxa"/>
            <w:gridSpan w:val="6"/>
          </w:tcPr>
          <w:p w14:paraId="05C40260">
            <w:pPr>
              <w:spacing w:before="123" w:line="221" w:lineRule="auto"/>
              <w:ind w:left="4308"/>
              <w:rPr>
                <w:szCs w:val="21"/>
              </w:rPr>
            </w:pPr>
            <w:r>
              <w:rPr>
                <w:spacing w:val="-7"/>
                <w:szCs w:val="21"/>
              </w:rPr>
              <w:t>国</w:t>
            </w:r>
            <w:r>
              <w:rPr>
                <w:spacing w:val="-4"/>
                <w:szCs w:val="21"/>
              </w:rPr>
              <w:t>瑞药业</w:t>
            </w:r>
          </w:p>
        </w:tc>
      </w:tr>
      <w:tr w14:paraId="71564F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708" w:type="dxa"/>
          </w:tcPr>
          <w:p w14:paraId="2056046B">
            <w:pPr>
              <w:spacing w:before="185" w:line="187" w:lineRule="auto"/>
              <w:ind w:left="144"/>
              <w:rPr>
                <w:rFonts w:eastAsia="Times New Roman"/>
                <w:szCs w:val="21"/>
              </w:rPr>
            </w:pPr>
            <w:r>
              <w:rPr>
                <w:rFonts w:eastAsia="Times New Roman"/>
                <w:szCs w:val="21"/>
              </w:rPr>
              <w:t>4</w:t>
            </w:r>
          </w:p>
        </w:tc>
        <w:tc>
          <w:tcPr>
            <w:tcW w:w="1166" w:type="dxa"/>
          </w:tcPr>
          <w:p w14:paraId="24C1C43C">
            <w:pPr>
              <w:spacing w:before="151" w:line="221" w:lineRule="auto"/>
              <w:ind w:left="166"/>
              <w:rPr>
                <w:szCs w:val="21"/>
              </w:rPr>
            </w:pPr>
            <w:r>
              <w:rPr>
                <w:spacing w:val="-2"/>
                <w:szCs w:val="21"/>
              </w:rPr>
              <w:t>三</w:t>
            </w:r>
            <w:r>
              <w:rPr>
                <w:spacing w:val="-1"/>
                <w:szCs w:val="21"/>
              </w:rPr>
              <w:t>氯甲烷</w:t>
            </w:r>
          </w:p>
        </w:tc>
        <w:tc>
          <w:tcPr>
            <w:tcW w:w="1406" w:type="dxa"/>
          </w:tcPr>
          <w:p w14:paraId="5E00BC6D">
            <w:pPr>
              <w:spacing w:before="185" w:line="187" w:lineRule="auto"/>
              <w:ind w:left="415"/>
              <w:rPr>
                <w:rFonts w:eastAsia="Times New Roman"/>
                <w:szCs w:val="21"/>
              </w:rPr>
            </w:pPr>
            <w:r>
              <w:rPr>
                <w:rFonts w:eastAsia="Times New Roman"/>
                <w:spacing w:val="-1"/>
                <w:szCs w:val="21"/>
              </w:rPr>
              <w:t>0.00</w:t>
            </w:r>
            <w:r>
              <w:rPr>
                <w:rFonts w:eastAsia="Times New Roman"/>
                <w:szCs w:val="21"/>
              </w:rPr>
              <w:t>45</w:t>
            </w:r>
          </w:p>
        </w:tc>
        <w:tc>
          <w:tcPr>
            <w:tcW w:w="1917" w:type="dxa"/>
          </w:tcPr>
          <w:p w14:paraId="66D18B23">
            <w:pPr>
              <w:spacing w:before="151" w:line="221" w:lineRule="auto"/>
              <w:ind w:left="840"/>
              <w:rPr>
                <w:szCs w:val="21"/>
              </w:rPr>
            </w:pPr>
            <w:r>
              <w:rPr>
                <w:spacing w:val="-2"/>
                <w:szCs w:val="21"/>
              </w:rPr>
              <w:t>有毒</w:t>
            </w:r>
          </w:p>
        </w:tc>
        <w:tc>
          <w:tcPr>
            <w:tcW w:w="3263" w:type="dxa"/>
            <w:gridSpan w:val="2"/>
          </w:tcPr>
          <w:p w14:paraId="1655B48A">
            <w:pPr>
              <w:spacing w:before="172"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1DF28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708" w:type="dxa"/>
          </w:tcPr>
          <w:p w14:paraId="76C19CBB">
            <w:pPr>
              <w:spacing w:before="189" w:line="184" w:lineRule="auto"/>
              <w:ind w:left="151"/>
              <w:rPr>
                <w:rFonts w:eastAsia="Times New Roman"/>
                <w:szCs w:val="21"/>
              </w:rPr>
            </w:pPr>
            <w:r>
              <w:rPr>
                <w:rFonts w:eastAsia="Times New Roman"/>
                <w:szCs w:val="21"/>
              </w:rPr>
              <w:t>5</w:t>
            </w:r>
          </w:p>
        </w:tc>
        <w:tc>
          <w:tcPr>
            <w:tcW w:w="1166" w:type="dxa"/>
          </w:tcPr>
          <w:p w14:paraId="0122FD3E">
            <w:pPr>
              <w:spacing w:before="152" w:line="221" w:lineRule="auto"/>
              <w:ind w:left="166"/>
              <w:rPr>
                <w:szCs w:val="21"/>
              </w:rPr>
            </w:pPr>
            <w:r>
              <w:rPr>
                <w:spacing w:val="-2"/>
                <w:szCs w:val="21"/>
              </w:rPr>
              <w:t>三</w:t>
            </w:r>
            <w:r>
              <w:rPr>
                <w:spacing w:val="-1"/>
                <w:szCs w:val="21"/>
              </w:rPr>
              <w:t>氯化磷</w:t>
            </w:r>
          </w:p>
        </w:tc>
        <w:tc>
          <w:tcPr>
            <w:tcW w:w="1406" w:type="dxa"/>
          </w:tcPr>
          <w:p w14:paraId="7A4E3DE9">
            <w:pPr>
              <w:spacing w:before="186" w:line="187" w:lineRule="auto"/>
              <w:ind w:left="362"/>
              <w:rPr>
                <w:rFonts w:eastAsia="Times New Roman"/>
                <w:szCs w:val="21"/>
              </w:rPr>
            </w:pPr>
            <w:r>
              <w:rPr>
                <w:rFonts w:eastAsia="Times New Roman"/>
                <w:spacing w:val="-1"/>
                <w:szCs w:val="21"/>
              </w:rPr>
              <w:t>0.001</w:t>
            </w:r>
            <w:r>
              <w:rPr>
                <w:rFonts w:eastAsia="Times New Roman"/>
                <w:szCs w:val="21"/>
              </w:rPr>
              <w:t>57</w:t>
            </w:r>
          </w:p>
        </w:tc>
        <w:tc>
          <w:tcPr>
            <w:tcW w:w="1917" w:type="dxa"/>
          </w:tcPr>
          <w:p w14:paraId="29BD8812">
            <w:pPr>
              <w:spacing w:before="152" w:line="221" w:lineRule="auto"/>
              <w:ind w:left="840"/>
              <w:rPr>
                <w:szCs w:val="21"/>
              </w:rPr>
            </w:pPr>
            <w:r>
              <w:rPr>
                <w:spacing w:val="-2"/>
                <w:szCs w:val="21"/>
              </w:rPr>
              <w:t>剧毒</w:t>
            </w:r>
          </w:p>
        </w:tc>
        <w:tc>
          <w:tcPr>
            <w:tcW w:w="3263" w:type="dxa"/>
            <w:gridSpan w:val="2"/>
          </w:tcPr>
          <w:p w14:paraId="2FDD31B8">
            <w:pPr>
              <w:spacing w:before="171"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剧毒库</w:t>
            </w:r>
          </w:p>
        </w:tc>
      </w:tr>
      <w:tr w14:paraId="1B014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Pr>
          <w:p w14:paraId="141792B2">
            <w:pPr>
              <w:spacing w:before="189" w:line="187" w:lineRule="auto"/>
              <w:ind w:left="150"/>
              <w:rPr>
                <w:rFonts w:eastAsia="Times New Roman"/>
                <w:szCs w:val="21"/>
              </w:rPr>
            </w:pPr>
            <w:r>
              <w:rPr>
                <w:rFonts w:eastAsia="Times New Roman"/>
                <w:szCs w:val="21"/>
              </w:rPr>
              <w:t>6</w:t>
            </w:r>
          </w:p>
        </w:tc>
        <w:tc>
          <w:tcPr>
            <w:tcW w:w="1166" w:type="dxa"/>
          </w:tcPr>
          <w:p w14:paraId="171450D8">
            <w:pPr>
              <w:spacing w:before="153" w:line="225" w:lineRule="auto"/>
              <w:ind w:left="392"/>
              <w:rPr>
                <w:szCs w:val="21"/>
              </w:rPr>
            </w:pPr>
            <w:r>
              <w:rPr>
                <w:spacing w:val="-7"/>
                <w:szCs w:val="21"/>
              </w:rPr>
              <w:t>乙</w:t>
            </w:r>
            <w:r>
              <w:rPr>
                <w:spacing w:val="-5"/>
                <w:szCs w:val="21"/>
              </w:rPr>
              <w:t>醚</w:t>
            </w:r>
          </w:p>
        </w:tc>
        <w:tc>
          <w:tcPr>
            <w:tcW w:w="1406" w:type="dxa"/>
          </w:tcPr>
          <w:p w14:paraId="10BAE3A5">
            <w:pPr>
              <w:spacing w:before="189" w:line="187" w:lineRule="auto"/>
              <w:ind w:left="415"/>
              <w:rPr>
                <w:rFonts w:eastAsia="Times New Roman"/>
                <w:szCs w:val="21"/>
              </w:rPr>
            </w:pPr>
            <w:r>
              <w:rPr>
                <w:rFonts w:eastAsia="Times New Roman"/>
                <w:spacing w:val="-1"/>
                <w:szCs w:val="21"/>
              </w:rPr>
              <w:t>0.01</w:t>
            </w:r>
            <w:r>
              <w:rPr>
                <w:rFonts w:eastAsia="Times New Roman"/>
                <w:szCs w:val="21"/>
              </w:rPr>
              <w:t>65</w:t>
            </w:r>
          </w:p>
        </w:tc>
        <w:tc>
          <w:tcPr>
            <w:tcW w:w="1917" w:type="dxa"/>
          </w:tcPr>
          <w:p w14:paraId="16F77ED1">
            <w:pPr>
              <w:spacing w:before="153" w:line="219" w:lineRule="auto"/>
              <w:ind w:left="224"/>
              <w:rPr>
                <w:szCs w:val="21"/>
              </w:rPr>
            </w:pPr>
            <w:r>
              <w:rPr>
                <w:spacing w:val="-4"/>
                <w:szCs w:val="21"/>
              </w:rPr>
              <w:t>易燃</w:t>
            </w:r>
            <w:r>
              <w:rPr>
                <w:spacing w:val="-2"/>
                <w:szCs w:val="21"/>
              </w:rPr>
              <w:t>、易爆、有毒</w:t>
            </w:r>
          </w:p>
        </w:tc>
        <w:tc>
          <w:tcPr>
            <w:tcW w:w="3263" w:type="dxa"/>
            <w:gridSpan w:val="2"/>
          </w:tcPr>
          <w:p w14:paraId="0693467F">
            <w:pPr>
              <w:spacing w:before="174"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69F55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Pr>
          <w:p w14:paraId="5F1BE8F2">
            <w:pPr>
              <w:spacing w:before="190" w:line="184" w:lineRule="auto"/>
              <w:ind w:left="149"/>
              <w:rPr>
                <w:rFonts w:eastAsia="Times New Roman"/>
                <w:szCs w:val="21"/>
              </w:rPr>
            </w:pPr>
            <w:r>
              <w:rPr>
                <w:rFonts w:eastAsia="Times New Roman"/>
                <w:szCs w:val="21"/>
              </w:rPr>
              <w:t>7</w:t>
            </w:r>
          </w:p>
        </w:tc>
        <w:tc>
          <w:tcPr>
            <w:tcW w:w="1166" w:type="dxa"/>
          </w:tcPr>
          <w:p w14:paraId="5BA17929">
            <w:pPr>
              <w:spacing w:before="154" w:line="221" w:lineRule="auto"/>
              <w:ind w:left="402"/>
              <w:rPr>
                <w:szCs w:val="21"/>
              </w:rPr>
            </w:pPr>
            <w:r>
              <w:rPr>
                <w:spacing w:val="-9"/>
                <w:szCs w:val="21"/>
              </w:rPr>
              <w:t>甲</w:t>
            </w:r>
            <w:r>
              <w:rPr>
                <w:spacing w:val="-8"/>
                <w:szCs w:val="21"/>
              </w:rPr>
              <w:t>醇</w:t>
            </w:r>
          </w:p>
        </w:tc>
        <w:tc>
          <w:tcPr>
            <w:tcW w:w="1406" w:type="dxa"/>
          </w:tcPr>
          <w:p w14:paraId="44E91099">
            <w:pPr>
              <w:spacing w:before="187" w:line="187" w:lineRule="auto"/>
              <w:ind w:left="469"/>
              <w:rPr>
                <w:rFonts w:eastAsia="Times New Roman"/>
                <w:szCs w:val="21"/>
              </w:rPr>
            </w:pPr>
            <w:r>
              <w:rPr>
                <w:rFonts w:eastAsia="Times New Roman"/>
                <w:spacing w:val="-1"/>
                <w:szCs w:val="21"/>
              </w:rPr>
              <w:t>0.02</w:t>
            </w:r>
            <w:r>
              <w:rPr>
                <w:rFonts w:eastAsia="Times New Roman"/>
                <w:szCs w:val="21"/>
              </w:rPr>
              <w:t>5</w:t>
            </w:r>
          </w:p>
        </w:tc>
        <w:tc>
          <w:tcPr>
            <w:tcW w:w="1917" w:type="dxa"/>
          </w:tcPr>
          <w:p w14:paraId="05A1975D">
            <w:pPr>
              <w:spacing w:before="154" w:line="219" w:lineRule="auto"/>
              <w:ind w:left="224"/>
              <w:rPr>
                <w:szCs w:val="21"/>
              </w:rPr>
            </w:pPr>
            <w:r>
              <w:rPr>
                <w:spacing w:val="-4"/>
                <w:szCs w:val="21"/>
              </w:rPr>
              <w:t>易燃</w:t>
            </w:r>
            <w:r>
              <w:rPr>
                <w:spacing w:val="-2"/>
                <w:szCs w:val="21"/>
              </w:rPr>
              <w:t>、易爆、有毒</w:t>
            </w:r>
          </w:p>
        </w:tc>
        <w:tc>
          <w:tcPr>
            <w:tcW w:w="3263" w:type="dxa"/>
            <w:gridSpan w:val="2"/>
          </w:tcPr>
          <w:p w14:paraId="1DDF9347">
            <w:pPr>
              <w:spacing w:before="176" w:line="213" w:lineRule="auto"/>
              <w:rPr>
                <w:szCs w:val="21"/>
              </w:rPr>
            </w:pPr>
            <w:r>
              <w:rPr>
                <w:rFonts w:eastAsia="Times New Roman"/>
                <w:spacing w:val="-1"/>
                <w:szCs w:val="21"/>
              </w:rPr>
              <w:t>25</w:t>
            </w:r>
            <w:r>
              <w:rPr>
                <w:rFonts w:eastAsia="Times New Roman"/>
                <w:szCs w:val="21"/>
              </w:rPr>
              <w:t>kg</w:t>
            </w:r>
            <w:r>
              <w:rPr>
                <w:szCs w:val="21"/>
              </w:rPr>
              <w:t>桶装，危险品库</w:t>
            </w:r>
          </w:p>
        </w:tc>
      </w:tr>
      <w:tr w14:paraId="726A2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708" w:type="dxa"/>
          </w:tcPr>
          <w:p w14:paraId="1108877F">
            <w:pPr>
              <w:spacing w:before="187" w:line="187" w:lineRule="auto"/>
              <w:ind w:left="154"/>
              <w:rPr>
                <w:rFonts w:eastAsia="Times New Roman"/>
                <w:szCs w:val="21"/>
              </w:rPr>
            </w:pPr>
            <w:r>
              <w:rPr>
                <w:rFonts w:eastAsia="Times New Roman"/>
                <w:szCs w:val="21"/>
              </w:rPr>
              <w:t>8</w:t>
            </w:r>
          </w:p>
        </w:tc>
        <w:tc>
          <w:tcPr>
            <w:tcW w:w="1166" w:type="dxa"/>
          </w:tcPr>
          <w:p w14:paraId="5B62C1C7">
            <w:pPr>
              <w:spacing w:before="154" w:line="219" w:lineRule="auto"/>
              <w:ind w:left="375"/>
              <w:rPr>
                <w:szCs w:val="21"/>
              </w:rPr>
            </w:pPr>
            <w:r>
              <w:rPr>
                <w:spacing w:val="-2"/>
                <w:szCs w:val="21"/>
              </w:rPr>
              <w:t>氢</w:t>
            </w:r>
            <w:r>
              <w:rPr>
                <w:spacing w:val="-1"/>
                <w:szCs w:val="21"/>
              </w:rPr>
              <w:t>气</w:t>
            </w:r>
          </w:p>
        </w:tc>
        <w:tc>
          <w:tcPr>
            <w:tcW w:w="1406" w:type="dxa"/>
          </w:tcPr>
          <w:p w14:paraId="45B2A282">
            <w:pPr>
              <w:spacing w:before="187" w:line="187" w:lineRule="auto"/>
              <w:ind w:left="415"/>
              <w:rPr>
                <w:rFonts w:eastAsia="Times New Roman"/>
                <w:szCs w:val="21"/>
              </w:rPr>
            </w:pPr>
            <w:r>
              <w:rPr>
                <w:rFonts w:eastAsia="Times New Roman"/>
                <w:spacing w:val="-1"/>
                <w:szCs w:val="21"/>
              </w:rPr>
              <w:t>0.00</w:t>
            </w:r>
            <w:r>
              <w:rPr>
                <w:rFonts w:eastAsia="Times New Roman"/>
                <w:szCs w:val="21"/>
              </w:rPr>
              <w:t>01</w:t>
            </w:r>
          </w:p>
        </w:tc>
        <w:tc>
          <w:tcPr>
            <w:tcW w:w="1917" w:type="dxa"/>
          </w:tcPr>
          <w:p w14:paraId="1ECB28CA">
            <w:pPr>
              <w:spacing w:before="154" w:line="219" w:lineRule="auto"/>
              <w:ind w:left="539"/>
              <w:rPr>
                <w:szCs w:val="21"/>
              </w:rPr>
            </w:pPr>
            <w:r>
              <w:rPr>
                <w:spacing w:val="-6"/>
                <w:szCs w:val="21"/>
              </w:rPr>
              <w:t>易</w:t>
            </w:r>
            <w:r>
              <w:rPr>
                <w:spacing w:val="-4"/>
                <w:szCs w:val="21"/>
              </w:rPr>
              <w:t>燃</w:t>
            </w:r>
            <w:r>
              <w:rPr>
                <w:spacing w:val="-3"/>
                <w:szCs w:val="21"/>
              </w:rPr>
              <w:t>、易爆</w:t>
            </w:r>
          </w:p>
        </w:tc>
        <w:tc>
          <w:tcPr>
            <w:tcW w:w="3263" w:type="dxa"/>
            <w:gridSpan w:val="2"/>
          </w:tcPr>
          <w:p w14:paraId="114A1E7F">
            <w:pPr>
              <w:spacing w:before="173" w:line="219" w:lineRule="auto"/>
              <w:rPr>
                <w:szCs w:val="21"/>
              </w:rPr>
            </w:pPr>
            <w:r>
              <w:rPr>
                <w:spacing w:val="-1"/>
                <w:szCs w:val="21"/>
              </w:rPr>
              <w:t>氢氧发生器</w:t>
            </w:r>
          </w:p>
        </w:tc>
      </w:tr>
      <w:tr w14:paraId="438A0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485926F1">
            <w:pPr>
              <w:spacing w:before="190" w:line="187" w:lineRule="auto"/>
              <w:ind w:left="149"/>
              <w:rPr>
                <w:rFonts w:eastAsia="Times New Roman"/>
                <w:szCs w:val="21"/>
              </w:rPr>
            </w:pPr>
            <w:r>
              <w:rPr>
                <w:rFonts w:eastAsia="Times New Roman"/>
                <w:szCs w:val="21"/>
              </w:rPr>
              <w:t>9</w:t>
            </w:r>
          </w:p>
        </w:tc>
        <w:tc>
          <w:tcPr>
            <w:tcW w:w="1166" w:type="dxa"/>
          </w:tcPr>
          <w:p w14:paraId="68B0A82A">
            <w:pPr>
              <w:spacing w:before="154" w:line="222" w:lineRule="auto"/>
              <w:ind w:left="183"/>
              <w:rPr>
                <w:szCs w:val="21"/>
              </w:rPr>
            </w:pPr>
            <w:r>
              <w:rPr>
                <w:spacing w:val="-7"/>
                <w:szCs w:val="21"/>
              </w:rPr>
              <w:t>乙</w:t>
            </w:r>
            <w:r>
              <w:rPr>
                <w:spacing w:val="-5"/>
                <w:szCs w:val="21"/>
              </w:rPr>
              <w:t>酸乙酯</w:t>
            </w:r>
          </w:p>
        </w:tc>
        <w:tc>
          <w:tcPr>
            <w:tcW w:w="1406" w:type="dxa"/>
          </w:tcPr>
          <w:p w14:paraId="63DBD0F6">
            <w:pPr>
              <w:spacing w:before="190" w:line="187" w:lineRule="auto"/>
              <w:ind w:left="521"/>
              <w:rPr>
                <w:rFonts w:eastAsia="Times New Roman"/>
                <w:szCs w:val="21"/>
              </w:rPr>
            </w:pPr>
            <w:r>
              <w:rPr>
                <w:rFonts w:eastAsia="Times New Roman"/>
                <w:spacing w:val="-1"/>
                <w:szCs w:val="21"/>
              </w:rPr>
              <w:t>0.17</w:t>
            </w:r>
          </w:p>
        </w:tc>
        <w:tc>
          <w:tcPr>
            <w:tcW w:w="1917" w:type="dxa"/>
          </w:tcPr>
          <w:p w14:paraId="636DD69F">
            <w:pPr>
              <w:spacing w:before="154" w:line="219" w:lineRule="auto"/>
              <w:ind w:left="224"/>
              <w:rPr>
                <w:szCs w:val="21"/>
              </w:rPr>
            </w:pPr>
            <w:r>
              <w:rPr>
                <w:spacing w:val="-4"/>
                <w:szCs w:val="21"/>
              </w:rPr>
              <w:t>易燃</w:t>
            </w:r>
            <w:r>
              <w:rPr>
                <w:spacing w:val="-2"/>
                <w:szCs w:val="21"/>
              </w:rPr>
              <w:t>、易爆、有毒</w:t>
            </w:r>
          </w:p>
        </w:tc>
        <w:tc>
          <w:tcPr>
            <w:tcW w:w="3263" w:type="dxa"/>
            <w:gridSpan w:val="2"/>
          </w:tcPr>
          <w:p w14:paraId="7A951751">
            <w:pPr>
              <w:spacing w:before="175" w:line="221" w:lineRule="auto"/>
              <w:rPr>
                <w:szCs w:val="21"/>
              </w:rPr>
            </w:pPr>
            <w:r>
              <w:rPr>
                <w:rFonts w:eastAsia="Times New Roman"/>
                <w:spacing w:val="-1"/>
                <w:szCs w:val="21"/>
              </w:rPr>
              <w:t>2</w:t>
            </w:r>
            <w:r>
              <w:rPr>
                <w:rFonts w:eastAsia="Times New Roman"/>
                <w:szCs w:val="21"/>
              </w:rPr>
              <w:t>00L</w:t>
            </w:r>
            <w:r>
              <w:rPr>
                <w:szCs w:val="21"/>
              </w:rPr>
              <w:t>桶装，危险品库</w:t>
            </w:r>
          </w:p>
        </w:tc>
      </w:tr>
      <w:tr w14:paraId="5F364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3E7D0516">
            <w:pPr>
              <w:spacing w:before="186" w:line="187" w:lineRule="auto"/>
              <w:ind w:left="166"/>
              <w:rPr>
                <w:rFonts w:eastAsia="Times New Roman"/>
                <w:szCs w:val="21"/>
              </w:rPr>
            </w:pPr>
            <w:r>
              <w:rPr>
                <w:rFonts w:eastAsia="Times New Roman"/>
                <w:spacing w:val="-6"/>
                <w:szCs w:val="21"/>
              </w:rPr>
              <w:t>10</w:t>
            </w:r>
          </w:p>
        </w:tc>
        <w:tc>
          <w:tcPr>
            <w:tcW w:w="1166" w:type="dxa"/>
          </w:tcPr>
          <w:p w14:paraId="1CD0575D">
            <w:pPr>
              <w:spacing w:before="152" w:line="220" w:lineRule="auto"/>
              <w:ind w:left="274"/>
              <w:rPr>
                <w:spacing w:val="-7"/>
                <w:szCs w:val="21"/>
              </w:rPr>
            </w:pPr>
            <w:r>
              <w:rPr>
                <w:spacing w:val="-2"/>
                <w:szCs w:val="21"/>
              </w:rPr>
              <w:t>天然气</w:t>
            </w:r>
          </w:p>
        </w:tc>
        <w:tc>
          <w:tcPr>
            <w:tcW w:w="1406" w:type="dxa"/>
          </w:tcPr>
          <w:p w14:paraId="5D70E715">
            <w:pPr>
              <w:spacing w:before="186" w:line="187" w:lineRule="auto"/>
              <w:ind w:left="416"/>
              <w:rPr>
                <w:rFonts w:eastAsia="Times New Roman"/>
                <w:spacing w:val="-1"/>
                <w:szCs w:val="21"/>
              </w:rPr>
            </w:pPr>
            <w:r>
              <w:rPr>
                <w:rFonts w:eastAsia="Times New Roman"/>
                <w:spacing w:val="-1"/>
                <w:szCs w:val="21"/>
              </w:rPr>
              <w:t>0.00</w:t>
            </w:r>
            <w:r>
              <w:rPr>
                <w:rFonts w:eastAsia="Times New Roman"/>
                <w:szCs w:val="21"/>
              </w:rPr>
              <w:t>01</w:t>
            </w:r>
          </w:p>
        </w:tc>
        <w:tc>
          <w:tcPr>
            <w:tcW w:w="1917" w:type="dxa"/>
          </w:tcPr>
          <w:p w14:paraId="740EF7EE">
            <w:pPr>
              <w:spacing w:before="152" w:line="219" w:lineRule="auto"/>
              <w:ind w:left="540"/>
              <w:rPr>
                <w:spacing w:val="-4"/>
                <w:szCs w:val="21"/>
              </w:rPr>
            </w:pPr>
            <w:r>
              <w:rPr>
                <w:spacing w:val="-6"/>
                <w:szCs w:val="21"/>
              </w:rPr>
              <w:t>易</w:t>
            </w:r>
            <w:r>
              <w:rPr>
                <w:spacing w:val="-4"/>
                <w:szCs w:val="21"/>
              </w:rPr>
              <w:t>燃</w:t>
            </w:r>
            <w:r>
              <w:rPr>
                <w:spacing w:val="-3"/>
                <w:szCs w:val="21"/>
              </w:rPr>
              <w:t>、易爆</w:t>
            </w:r>
          </w:p>
        </w:tc>
        <w:tc>
          <w:tcPr>
            <w:tcW w:w="3263" w:type="dxa"/>
            <w:gridSpan w:val="2"/>
          </w:tcPr>
          <w:p w14:paraId="3F4FB507">
            <w:pPr>
              <w:spacing w:before="172" w:line="219" w:lineRule="auto"/>
              <w:rPr>
                <w:rFonts w:eastAsia="Times New Roman"/>
                <w:spacing w:val="-1"/>
                <w:szCs w:val="21"/>
              </w:rPr>
            </w:pPr>
            <w:r>
              <w:rPr>
                <w:spacing w:val="-1"/>
                <w:szCs w:val="21"/>
              </w:rPr>
              <w:t>燃气锅炉</w:t>
            </w:r>
          </w:p>
        </w:tc>
      </w:tr>
      <w:tr w14:paraId="779F7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0CAED23B">
            <w:pPr>
              <w:spacing w:before="187" w:line="187" w:lineRule="auto"/>
              <w:ind w:left="166"/>
              <w:rPr>
                <w:rFonts w:eastAsia="Times New Roman"/>
                <w:szCs w:val="21"/>
              </w:rPr>
            </w:pPr>
            <w:r>
              <w:rPr>
                <w:rFonts w:eastAsia="Times New Roman"/>
                <w:spacing w:val="-6"/>
                <w:szCs w:val="21"/>
              </w:rPr>
              <w:t>11</w:t>
            </w:r>
          </w:p>
        </w:tc>
        <w:tc>
          <w:tcPr>
            <w:tcW w:w="1166" w:type="dxa"/>
          </w:tcPr>
          <w:p w14:paraId="3700EECD">
            <w:pPr>
              <w:spacing w:before="151" w:line="220" w:lineRule="auto"/>
              <w:ind w:left="403"/>
              <w:rPr>
                <w:spacing w:val="-7"/>
                <w:szCs w:val="21"/>
              </w:rPr>
            </w:pPr>
            <w:r>
              <w:rPr>
                <w:spacing w:val="-9"/>
                <w:szCs w:val="21"/>
              </w:rPr>
              <w:t>甲</w:t>
            </w:r>
            <w:r>
              <w:rPr>
                <w:spacing w:val="-8"/>
                <w:szCs w:val="21"/>
              </w:rPr>
              <w:t>苯</w:t>
            </w:r>
          </w:p>
        </w:tc>
        <w:tc>
          <w:tcPr>
            <w:tcW w:w="1406" w:type="dxa"/>
          </w:tcPr>
          <w:p w14:paraId="4581D7E7">
            <w:pPr>
              <w:spacing w:before="187" w:line="187" w:lineRule="auto"/>
              <w:ind w:left="522"/>
              <w:rPr>
                <w:rFonts w:eastAsia="Times New Roman"/>
                <w:spacing w:val="-1"/>
                <w:szCs w:val="21"/>
              </w:rPr>
            </w:pPr>
            <w:r>
              <w:rPr>
                <w:rFonts w:eastAsia="Times New Roman"/>
                <w:spacing w:val="-1"/>
                <w:szCs w:val="21"/>
              </w:rPr>
              <w:t>0.47</w:t>
            </w:r>
          </w:p>
        </w:tc>
        <w:tc>
          <w:tcPr>
            <w:tcW w:w="1917" w:type="dxa"/>
          </w:tcPr>
          <w:p w14:paraId="6075B9FF">
            <w:pPr>
              <w:spacing w:before="151" w:line="219" w:lineRule="auto"/>
              <w:ind w:left="225"/>
              <w:rPr>
                <w:spacing w:val="-4"/>
                <w:szCs w:val="21"/>
              </w:rPr>
            </w:pPr>
            <w:r>
              <w:rPr>
                <w:spacing w:val="-4"/>
                <w:szCs w:val="21"/>
              </w:rPr>
              <w:t>易燃</w:t>
            </w:r>
            <w:r>
              <w:rPr>
                <w:spacing w:val="-2"/>
                <w:szCs w:val="21"/>
              </w:rPr>
              <w:t>、易爆、有毒</w:t>
            </w:r>
          </w:p>
        </w:tc>
        <w:tc>
          <w:tcPr>
            <w:tcW w:w="3263" w:type="dxa"/>
            <w:gridSpan w:val="2"/>
          </w:tcPr>
          <w:p w14:paraId="7532F204">
            <w:pPr>
              <w:spacing w:line="213" w:lineRule="auto"/>
              <w:rPr>
                <w:rFonts w:eastAsia="Times New Roman"/>
                <w:spacing w:val="-1"/>
                <w:szCs w:val="21"/>
              </w:rPr>
            </w:pPr>
            <w:r>
              <w:rPr>
                <w:rFonts w:eastAsia="Times New Roman"/>
                <w:spacing w:val="-1"/>
                <w:szCs w:val="21"/>
              </w:rPr>
              <w:t>25</w:t>
            </w:r>
            <w:r>
              <w:rPr>
                <w:rFonts w:eastAsia="Times New Roman"/>
                <w:szCs w:val="21"/>
              </w:rPr>
              <w:t>kg</w:t>
            </w:r>
            <w:r>
              <w:rPr>
                <w:szCs w:val="21"/>
              </w:rPr>
              <w:t>桶装，易制毒库</w:t>
            </w:r>
          </w:p>
        </w:tc>
      </w:tr>
      <w:tr w14:paraId="1C89F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0515BEEC">
            <w:pPr>
              <w:spacing w:before="186" w:line="187" w:lineRule="auto"/>
              <w:ind w:left="166"/>
              <w:rPr>
                <w:rFonts w:eastAsia="Times New Roman"/>
                <w:szCs w:val="21"/>
              </w:rPr>
            </w:pPr>
            <w:r>
              <w:rPr>
                <w:rFonts w:eastAsia="Times New Roman"/>
                <w:spacing w:val="-6"/>
                <w:szCs w:val="21"/>
              </w:rPr>
              <w:t>12</w:t>
            </w:r>
          </w:p>
        </w:tc>
        <w:tc>
          <w:tcPr>
            <w:tcW w:w="1166" w:type="dxa"/>
          </w:tcPr>
          <w:p w14:paraId="70434C51">
            <w:pPr>
              <w:spacing w:before="152" w:line="221" w:lineRule="auto"/>
              <w:ind w:left="393"/>
              <w:rPr>
                <w:spacing w:val="-7"/>
                <w:szCs w:val="21"/>
              </w:rPr>
            </w:pPr>
            <w:r>
              <w:rPr>
                <w:spacing w:val="-7"/>
                <w:szCs w:val="21"/>
              </w:rPr>
              <w:t>乙</w:t>
            </w:r>
            <w:r>
              <w:rPr>
                <w:spacing w:val="-5"/>
                <w:szCs w:val="21"/>
              </w:rPr>
              <w:t>炔</w:t>
            </w:r>
          </w:p>
        </w:tc>
        <w:tc>
          <w:tcPr>
            <w:tcW w:w="1406" w:type="dxa"/>
          </w:tcPr>
          <w:p w14:paraId="58FBE9A7">
            <w:pPr>
              <w:spacing w:before="186" w:line="187" w:lineRule="auto"/>
              <w:ind w:left="522"/>
              <w:rPr>
                <w:rFonts w:eastAsia="Times New Roman"/>
                <w:spacing w:val="-1"/>
                <w:szCs w:val="21"/>
              </w:rPr>
            </w:pPr>
            <w:r>
              <w:rPr>
                <w:rFonts w:eastAsia="Times New Roman"/>
                <w:spacing w:val="-1"/>
                <w:szCs w:val="21"/>
              </w:rPr>
              <w:t>0.02</w:t>
            </w:r>
          </w:p>
        </w:tc>
        <w:tc>
          <w:tcPr>
            <w:tcW w:w="1917" w:type="dxa"/>
          </w:tcPr>
          <w:p w14:paraId="2EC574B9">
            <w:pPr>
              <w:spacing w:before="152" w:line="219" w:lineRule="auto"/>
              <w:ind w:left="540"/>
              <w:rPr>
                <w:spacing w:val="-4"/>
                <w:szCs w:val="21"/>
              </w:rPr>
            </w:pPr>
            <w:r>
              <w:rPr>
                <w:spacing w:val="-6"/>
                <w:szCs w:val="21"/>
              </w:rPr>
              <w:t>易</w:t>
            </w:r>
            <w:r>
              <w:rPr>
                <w:spacing w:val="-4"/>
                <w:szCs w:val="21"/>
              </w:rPr>
              <w:t>燃</w:t>
            </w:r>
            <w:r>
              <w:rPr>
                <w:spacing w:val="-3"/>
                <w:szCs w:val="21"/>
              </w:rPr>
              <w:t>、易爆</w:t>
            </w:r>
          </w:p>
        </w:tc>
        <w:tc>
          <w:tcPr>
            <w:tcW w:w="3263" w:type="dxa"/>
            <w:gridSpan w:val="2"/>
          </w:tcPr>
          <w:p w14:paraId="45CA8D61">
            <w:pPr>
              <w:spacing w:line="220" w:lineRule="auto"/>
              <w:rPr>
                <w:rFonts w:eastAsia="Times New Roman"/>
                <w:spacing w:val="-1"/>
                <w:szCs w:val="21"/>
              </w:rPr>
            </w:pPr>
            <w:r>
              <w:rPr>
                <w:rFonts w:eastAsia="Times New Roman"/>
                <w:spacing w:val="-1"/>
                <w:szCs w:val="21"/>
              </w:rPr>
              <w:t>4</w:t>
            </w:r>
            <w:r>
              <w:rPr>
                <w:rFonts w:eastAsia="Times New Roman"/>
                <w:szCs w:val="21"/>
              </w:rPr>
              <w:t>0L</w:t>
            </w:r>
            <w:r>
              <w:rPr>
                <w:szCs w:val="21"/>
              </w:rPr>
              <w:t>气瓶，气瓶库</w:t>
            </w:r>
          </w:p>
        </w:tc>
      </w:tr>
      <w:tr w14:paraId="4FBAE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64C33B4E">
            <w:pPr>
              <w:spacing w:before="190" w:line="187" w:lineRule="auto"/>
              <w:ind w:left="166"/>
              <w:rPr>
                <w:rFonts w:eastAsia="Times New Roman"/>
                <w:szCs w:val="21"/>
              </w:rPr>
            </w:pPr>
            <w:r>
              <w:rPr>
                <w:rFonts w:eastAsia="Times New Roman"/>
                <w:spacing w:val="-6"/>
                <w:szCs w:val="21"/>
              </w:rPr>
              <w:t>13</w:t>
            </w:r>
          </w:p>
        </w:tc>
        <w:tc>
          <w:tcPr>
            <w:tcW w:w="1166" w:type="dxa"/>
          </w:tcPr>
          <w:p w14:paraId="5116FE38">
            <w:pPr>
              <w:spacing w:before="156" w:line="220" w:lineRule="auto"/>
              <w:ind w:left="378"/>
              <w:rPr>
                <w:spacing w:val="-7"/>
                <w:szCs w:val="21"/>
              </w:rPr>
            </w:pPr>
            <w:r>
              <w:rPr>
                <w:spacing w:val="-3"/>
                <w:szCs w:val="21"/>
              </w:rPr>
              <w:t>苯</w:t>
            </w:r>
            <w:r>
              <w:rPr>
                <w:spacing w:val="-2"/>
                <w:szCs w:val="21"/>
              </w:rPr>
              <w:t>酚</w:t>
            </w:r>
          </w:p>
        </w:tc>
        <w:tc>
          <w:tcPr>
            <w:tcW w:w="1406" w:type="dxa"/>
          </w:tcPr>
          <w:p w14:paraId="12FAFA92">
            <w:pPr>
              <w:spacing w:before="190" w:line="187" w:lineRule="auto"/>
              <w:ind w:left="522"/>
              <w:rPr>
                <w:rFonts w:eastAsia="Times New Roman"/>
                <w:spacing w:val="-1"/>
                <w:szCs w:val="21"/>
              </w:rPr>
            </w:pPr>
            <w:r>
              <w:rPr>
                <w:rFonts w:eastAsia="Times New Roman"/>
                <w:spacing w:val="-1"/>
                <w:szCs w:val="21"/>
              </w:rPr>
              <w:t>0.24</w:t>
            </w:r>
          </w:p>
        </w:tc>
        <w:tc>
          <w:tcPr>
            <w:tcW w:w="1917" w:type="dxa"/>
          </w:tcPr>
          <w:p w14:paraId="1843B90D">
            <w:pPr>
              <w:spacing w:before="156" w:line="219" w:lineRule="auto"/>
              <w:ind w:left="225"/>
              <w:rPr>
                <w:spacing w:val="-4"/>
                <w:szCs w:val="21"/>
              </w:rPr>
            </w:pPr>
            <w:r>
              <w:rPr>
                <w:spacing w:val="-4"/>
                <w:szCs w:val="21"/>
              </w:rPr>
              <w:t>易燃</w:t>
            </w:r>
            <w:r>
              <w:rPr>
                <w:spacing w:val="-2"/>
                <w:szCs w:val="21"/>
              </w:rPr>
              <w:t>、易爆、有毒</w:t>
            </w:r>
          </w:p>
        </w:tc>
        <w:tc>
          <w:tcPr>
            <w:tcW w:w="3263" w:type="dxa"/>
            <w:gridSpan w:val="2"/>
          </w:tcPr>
          <w:p w14:paraId="4E71ADBC">
            <w:pPr>
              <w:spacing w:line="213" w:lineRule="auto"/>
              <w:rPr>
                <w:rFonts w:eastAsia="Times New Roman"/>
                <w:spacing w:val="-1"/>
                <w:szCs w:val="21"/>
              </w:rPr>
            </w:pPr>
            <w:r>
              <w:rPr>
                <w:rFonts w:eastAsia="Times New Roman"/>
                <w:spacing w:val="-1"/>
                <w:szCs w:val="21"/>
              </w:rPr>
              <w:t>25</w:t>
            </w:r>
            <w:r>
              <w:rPr>
                <w:rFonts w:eastAsia="Times New Roman"/>
                <w:szCs w:val="21"/>
              </w:rPr>
              <w:t>kg</w:t>
            </w:r>
            <w:r>
              <w:rPr>
                <w:szCs w:val="21"/>
              </w:rPr>
              <w:t>桶装，危险品库</w:t>
            </w:r>
          </w:p>
        </w:tc>
      </w:tr>
      <w:tr w14:paraId="40B4B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6"/>
          </w:tcPr>
          <w:p w14:paraId="431771E0">
            <w:pPr>
              <w:spacing w:before="176" w:line="213" w:lineRule="auto"/>
              <w:ind w:left="1047"/>
              <w:jc w:val="center"/>
              <w:rPr>
                <w:rFonts w:eastAsia="Times New Roman"/>
                <w:spacing w:val="-1"/>
                <w:szCs w:val="21"/>
              </w:rPr>
            </w:pPr>
            <w:r>
              <w:t>安徽山河药用辅料股份有限公司</w:t>
            </w:r>
          </w:p>
        </w:tc>
      </w:tr>
      <w:tr w14:paraId="68978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17B9D3A5">
            <w:pPr>
              <w:spacing w:before="190" w:line="187" w:lineRule="auto"/>
              <w:ind w:left="166"/>
              <w:rPr>
                <w:spacing w:val="-6"/>
                <w:szCs w:val="21"/>
              </w:rPr>
            </w:pPr>
            <w:r>
              <w:rPr>
                <w:spacing w:val="-6"/>
                <w:szCs w:val="21"/>
              </w:rPr>
              <w:t>14</w:t>
            </w:r>
          </w:p>
        </w:tc>
        <w:tc>
          <w:tcPr>
            <w:tcW w:w="1166" w:type="dxa"/>
          </w:tcPr>
          <w:p w14:paraId="29B0FE9D">
            <w:pPr>
              <w:spacing w:before="156" w:line="220" w:lineRule="auto"/>
              <w:rPr>
                <w:spacing w:val="-3"/>
                <w:szCs w:val="21"/>
              </w:rPr>
            </w:pPr>
            <w:r>
              <w:rPr>
                <w:spacing w:val="-3"/>
                <w:szCs w:val="21"/>
              </w:rPr>
              <w:t>氯甲烷</w:t>
            </w:r>
          </w:p>
        </w:tc>
        <w:tc>
          <w:tcPr>
            <w:tcW w:w="1406" w:type="dxa"/>
          </w:tcPr>
          <w:p w14:paraId="009ABB4A">
            <w:pPr>
              <w:spacing w:before="171" w:line="187" w:lineRule="auto"/>
              <w:rPr>
                <w:rFonts w:eastAsia="Times New Roman"/>
                <w:spacing w:val="-1"/>
                <w:szCs w:val="21"/>
              </w:rPr>
            </w:pPr>
            <w:r>
              <w:rPr>
                <w:spacing w:val="-1"/>
                <w:szCs w:val="21"/>
              </w:rPr>
              <w:t>110.4</w:t>
            </w:r>
          </w:p>
        </w:tc>
        <w:tc>
          <w:tcPr>
            <w:tcW w:w="1917" w:type="dxa"/>
          </w:tcPr>
          <w:p w14:paraId="1DFDBEFA">
            <w:pPr>
              <w:spacing w:before="156" w:line="219" w:lineRule="auto"/>
              <w:ind w:left="225"/>
              <w:rPr>
                <w:spacing w:val="-4"/>
                <w:szCs w:val="21"/>
              </w:rPr>
            </w:pPr>
            <w:r>
              <w:rPr>
                <w:szCs w:val="21"/>
              </w:rPr>
              <w:t>易燃气体</w:t>
            </w:r>
          </w:p>
        </w:tc>
        <w:tc>
          <w:tcPr>
            <w:tcW w:w="3263" w:type="dxa"/>
            <w:gridSpan w:val="2"/>
          </w:tcPr>
          <w:p w14:paraId="21A6B839">
            <w:pPr>
              <w:spacing w:before="176" w:line="213" w:lineRule="auto"/>
              <w:rPr>
                <w:rFonts w:eastAsia="Times New Roman"/>
                <w:spacing w:val="-1"/>
                <w:szCs w:val="21"/>
              </w:rPr>
            </w:pPr>
            <w:r>
              <w:rPr>
                <w:szCs w:val="21"/>
              </w:rPr>
              <w:t>罐区</w:t>
            </w:r>
          </w:p>
        </w:tc>
      </w:tr>
      <w:tr w14:paraId="65440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0760CC46">
            <w:pPr>
              <w:spacing w:before="190" w:line="187" w:lineRule="auto"/>
              <w:ind w:left="166"/>
              <w:rPr>
                <w:spacing w:val="-6"/>
                <w:szCs w:val="21"/>
              </w:rPr>
            </w:pPr>
            <w:r>
              <w:rPr>
                <w:spacing w:val="-6"/>
                <w:szCs w:val="21"/>
              </w:rPr>
              <w:t>15</w:t>
            </w:r>
          </w:p>
        </w:tc>
        <w:tc>
          <w:tcPr>
            <w:tcW w:w="1166" w:type="dxa"/>
          </w:tcPr>
          <w:p w14:paraId="5CC53B8F">
            <w:pPr>
              <w:spacing w:before="156" w:line="220" w:lineRule="auto"/>
              <w:rPr>
                <w:spacing w:val="-3"/>
                <w:szCs w:val="21"/>
              </w:rPr>
            </w:pPr>
            <w:r>
              <w:rPr>
                <w:spacing w:val="-3"/>
                <w:szCs w:val="21"/>
              </w:rPr>
              <w:t>环氧丙烷</w:t>
            </w:r>
          </w:p>
        </w:tc>
        <w:tc>
          <w:tcPr>
            <w:tcW w:w="1406" w:type="dxa"/>
          </w:tcPr>
          <w:p w14:paraId="7F23D1AB">
            <w:pPr>
              <w:spacing w:before="171" w:line="187" w:lineRule="auto"/>
              <w:rPr>
                <w:rFonts w:eastAsia="Times New Roman"/>
                <w:spacing w:val="-1"/>
                <w:szCs w:val="21"/>
              </w:rPr>
            </w:pPr>
            <w:r>
              <w:rPr>
                <w:spacing w:val="-1"/>
                <w:szCs w:val="21"/>
              </w:rPr>
              <w:t>41.5</w:t>
            </w:r>
          </w:p>
        </w:tc>
        <w:tc>
          <w:tcPr>
            <w:tcW w:w="1917" w:type="dxa"/>
          </w:tcPr>
          <w:p w14:paraId="57EAE657">
            <w:pPr>
              <w:spacing w:before="156" w:line="219" w:lineRule="auto"/>
              <w:ind w:left="225"/>
              <w:rPr>
                <w:spacing w:val="-4"/>
                <w:szCs w:val="21"/>
              </w:rPr>
            </w:pPr>
            <w:r>
              <w:rPr>
                <w:szCs w:val="21"/>
              </w:rPr>
              <w:t>易燃液体</w:t>
            </w:r>
          </w:p>
        </w:tc>
        <w:tc>
          <w:tcPr>
            <w:tcW w:w="3263" w:type="dxa"/>
            <w:gridSpan w:val="2"/>
          </w:tcPr>
          <w:p w14:paraId="32600BC9">
            <w:pPr>
              <w:spacing w:before="176" w:line="213" w:lineRule="auto"/>
              <w:rPr>
                <w:rFonts w:eastAsia="Times New Roman"/>
                <w:spacing w:val="-1"/>
                <w:szCs w:val="21"/>
              </w:rPr>
            </w:pPr>
            <w:r>
              <w:rPr>
                <w:szCs w:val="21"/>
              </w:rPr>
              <w:t>罐区</w:t>
            </w:r>
          </w:p>
        </w:tc>
      </w:tr>
      <w:tr w14:paraId="3666F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34390017">
            <w:pPr>
              <w:spacing w:before="190" w:line="187" w:lineRule="auto"/>
              <w:ind w:left="166"/>
              <w:rPr>
                <w:spacing w:val="-6"/>
                <w:szCs w:val="21"/>
              </w:rPr>
            </w:pPr>
            <w:r>
              <w:rPr>
                <w:spacing w:val="-6"/>
                <w:szCs w:val="21"/>
              </w:rPr>
              <w:t>16</w:t>
            </w:r>
          </w:p>
        </w:tc>
        <w:tc>
          <w:tcPr>
            <w:tcW w:w="1166" w:type="dxa"/>
          </w:tcPr>
          <w:p w14:paraId="4324B46F">
            <w:pPr>
              <w:spacing w:before="156" w:line="220" w:lineRule="auto"/>
              <w:rPr>
                <w:spacing w:val="-3"/>
                <w:szCs w:val="21"/>
              </w:rPr>
            </w:pPr>
            <w:r>
              <w:rPr>
                <w:spacing w:val="-3"/>
                <w:szCs w:val="21"/>
              </w:rPr>
              <w:t>甲苯</w:t>
            </w:r>
          </w:p>
        </w:tc>
        <w:tc>
          <w:tcPr>
            <w:tcW w:w="1406" w:type="dxa"/>
          </w:tcPr>
          <w:p w14:paraId="33240B60">
            <w:pPr>
              <w:spacing w:before="171" w:line="187" w:lineRule="auto"/>
              <w:rPr>
                <w:rFonts w:eastAsia="Times New Roman"/>
                <w:spacing w:val="-1"/>
                <w:szCs w:val="21"/>
              </w:rPr>
            </w:pPr>
            <w:r>
              <w:rPr>
                <w:spacing w:val="-1"/>
                <w:szCs w:val="21"/>
              </w:rPr>
              <w:t>26.1</w:t>
            </w:r>
          </w:p>
        </w:tc>
        <w:tc>
          <w:tcPr>
            <w:tcW w:w="1917" w:type="dxa"/>
          </w:tcPr>
          <w:p w14:paraId="126E4150">
            <w:pPr>
              <w:spacing w:before="156" w:line="219" w:lineRule="auto"/>
              <w:ind w:left="225"/>
              <w:rPr>
                <w:spacing w:val="-4"/>
                <w:szCs w:val="21"/>
              </w:rPr>
            </w:pPr>
            <w:r>
              <w:rPr>
                <w:szCs w:val="21"/>
              </w:rPr>
              <w:t>易燃液体</w:t>
            </w:r>
          </w:p>
        </w:tc>
        <w:tc>
          <w:tcPr>
            <w:tcW w:w="3263" w:type="dxa"/>
            <w:gridSpan w:val="2"/>
          </w:tcPr>
          <w:p w14:paraId="7643AC2D">
            <w:pPr>
              <w:spacing w:before="176" w:line="213" w:lineRule="auto"/>
              <w:rPr>
                <w:rFonts w:eastAsia="Times New Roman"/>
                <w:spacing w:val="-1"/>
                <w:szCs w:val="21"/>
              </w:rPr>
            </w:pPr>
            <w:r>
              <w:rPr>
                <w:szCs w:val="21"/>
              </w:rPr>
              <w:t>罐区</w:t>
            </w:r>
          </w:p>
        </w:tc>
      </w:tr>
      <w:tr w14:paraId="74636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6"/>
          </w:tcPr>
          <w:p w14:paraId="4B2DBDE7">
            <w:pPr>
              <w:spacing w:before="176" w:line="213" w:lineRule="auto"/>
              <w:ind w:left="1047"/>
              <w:jc w:val="center"/>
              <w:rPr>
                <w:rFonts w:eastAsia="Times New Roman"/>
                <w:spacing w:val="-1"/>
                <w:szCs w:val="21"/>
              </w:rPr>
            </w:pPr>
            <w:r>
              <w:rPr>
                <w:szCs w:val="21"/>
              </w:rPr>
              <w:t>淮南锦德生物科技有限公司</w:t>
            </w:r>
          </w:p>
        </w:tc>
      </w:tr>
      <w:tr w14:paraId="110A3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550E97BC">
            <w:pPr>
              <w:spacing w:before="156" w:line="220" w:lineRule="auto"/>
              <w:rPr>
                <w:spacing w:val="-3"/>
                <w:szCs w:val="21"/>
              </w:rPr>
            </w:pPr>
            <w:r>
              <w:rPr>
                <w:spacing w:val="-3"/>
                <w:szCs w:val="21"/>
              </w:rPr>
              <w:t>17</w:t>
            </w:r>
          </w:p>
        </w:tc>
        <w:tc>
          <w:tcPr>
            <w:tcW w:w="1166" w:type="dxa"/>
          </w:tcPr>
          <w:p w14:paraId="423E43E3">
            <w:pPr>
              <w:spacing w:before="156" w:line="220" w:lineRule="auto"/>
              <w:rPr>
                <w:spacing w:val="-3"/>
                <w:szCs w:val="21"/>
              </w:rPr>
            </w:pPr>
            <w:r>
              <w:rPr>
                <w:spacing w:val="-3"/>
                <w:szCs w:val="21"/>
              </w:rPr>
              <w:t>氯苯</w:t>
            </w:r>
          </w:p>
        </w:tc>
        <w:tc>
          <w:tcPr>
            <w:tcW w:w="1406" w:type="dxa"/>
          </w:tcPr>
          <w:p w14:paraId="494DAE7D">
            <w:pPr>
              <w:spacing w:before="156" w:line="220" w:lineRule="auto"/>
              <w:rPr>
                <w:spacing w:val="-3"/>
                <w:szCs w:val="21"/>
              </w:rPr>
            </w:pPr>
            <w:r>
              <w:rPr>
                <w:spacing w:val="-3"/>
                <w:szCs w:val="21"/>
              </w:rPr>
              <w:t>630</w:t>
            </w:r>
          </w:p>
        </w:tc>
        <w:tc>
          <w:tcPr>
            <w:tcW w:w="1917" w:type="dxa"/>
          </w:tcPr>
          <w:p w14:paraId="0E05D6FF">
            <w:pPr>
              <w:spacing w:before="156" w:line="220" w:lineRule="auto"/>
              <w:rPr>
                <w:spacing w:val="-3"/>
                <w:szCs w:val="21"/>
              </w:rPr>
            </w:pPr>
            <w:r>
              <w:rPr>
                <w:szCs w:val="21"/>
              </w:rPr>
              <w:t>易燃液体</w:t>
            </w:r>
          </w:p>
        </w:tc>
        <w:tc>
          <w:tcPr>
            <w:tcW w:w="3263" w:type="dxa"/>
            <w:gridSpan w:val="2"/>
          </w:tcPr>
          <w:p w14:paraId="133A97F6">
            <w:pPr>
              <w:widowControl/>
              <w:jc w:val="left"/>
              <w:rPr>
                <w:spacing w:val="-3"/>
                <w:szCs w:val="21"/>
              </w:rPr>
            </w:pPr>
            <w:r>
              <w:rPr>
                <w:kern w:val="0"/>
                <w:sz w:val="20"/>
              </w:rPr>
              <w:t>甲类储罐区</w:t>
            </w:r>
          </w:p>
        </w:tc>
      </w:tr>
      <w:tr w14:paraId="541D0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6B9B4182">
            <w:pPr>
              <w:spacing w:before="156" w:line="220" w:lineRule="auto"/>
              <w:rPr>
                <w:spacing w:val="-3"/>
                <w:szCs w:val="21"/>
              </w:rPr>
            </w:pPr>
            <w:r>
              <w:rPr>
                <w:spacing w:val="-3"/>
                <w:szCs w:val="21"/>
              </w:rPr>
              <w:t>18</w:t>
            </w:r>
          </w:p>
        </w:tc>
        <w:tc>
          <w:tcPr>
            <w:tcW w:w="1166" w:type="dxa"/>
          </w:tcPr>
          <w:p w14:paraId="242EC7A2">
            <w:pPr>
              <w:spacing w:before="156" w:line="220" w:lineRule="auto"/>
              <w:rPr>
                <w:spacing w:val="-3"/>
                <w:szCs w:val="21"/>
              </w:rPr>
            </w:pPr>
            <w:r>
              <w:rPr>
                <w:spacing w:val="-3"/>
                <w:szCs w:val="21"/>
              </w:rPr>
              <w:t>三氯化磷</w:t>
            </w:r>
          </w:p>
        </w:tc>
        <w:tc>
          <w:tcPr>
            <w:tcW w:w="1406" w:type="dxa"/>
          </w:tcPr>
          <w:p w14:paraId="5153F152">
            <w:pPr>
              <w:spacing w:before="156" w:line="220" w:lineRule="auto"/>
              <w:rPr>
                <w:spacing w:val="-3"/>
                <w:szCs w:val="21"/>
              </w:rPr>
            </w:pPr>
            <w:r>
              <w:rPr>
                <w:spacing w:val="-3"/>
                <w:szCs w:val="21"/>
              </w:rPr>
              <w:t>200</w:t>
            </w:r>
          </w:p>
        </w:tc>
        <w:tc>
          <w:tcPr>
            <w:tcW w:w="1917" w:type="dxa"/>
          </w:tcPr>
          <w:p w14:paraId="1B9162E3">
            <w:pPr>
              <w:widowControl/>
              <w:jc w:val="left"/>
              <w:rPr>
                <w:spacing w:val="-3"/>
                <w:szCs w:val="21"/>
              </w:rPr>
            </w:pPr>
            <w:r>
              <w:rPr>
                <w:kern w:val="0"/>
                <w:sz w:val="20"/>
              </w:rPr>
              <w:t>毒性、腐蚀</w:t>
            </w:r>
          </w:p>
        </w:tc>
        <w:tc>
          <w:tcPr>
            <w:tcW w:w="3263" w:type="dxa"/>
            <w:gridSpan w:val="2"/>
          </w:tcPr>
          <w:p w14:paraId="2ACD7915">
            <w:pPr>
              <w:widowControl/>
              <w:jc w:val="left"/>
              <w:rPr>
                <w:spacing w:val="-3"/>
                <w:szCs w:val="21"/>
              </w:rPr>
            </w:pPr>
            <w:r>
              <w:rPr>
                <w:kern w:val="0"/>
                <w:sz w:val="20"/>
              </w:rPr>
              <w:t>甲类储罐区</w:t>
            </w:r>
          </w:p>
        </w:tc>
      </w:tr>
      <w:tr w14:paraId="12758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79373AD2">
            <w:pPr>
              <w:spacing w:before="156" w:line="220" w:lineRule="auto"/>
              <w:rPr>
                <w:spacing w:val="-3"/>
                <w:szCs w:val="21"/>
              </w:rPr>
            </w:pPr>
            <w:r>
              <w:rPr>
                <w:spacing w:val="-3"/>
                <w:szCs w:val="21"/>
              </w:rPr>
              <w:t>19</w:t>
            </w:r>
          </w:p>
        </w:tc>
        <w:tc>
          <w:tcPr>
            <w:tcW w:w="1166" w:type="dxa"/>
          </w:tcPr>
          <w:p w14:paraId="40FDCAB5">
            <w:pPr>
              <w:spacing w:before="156" w:line="220" w:lineRule="auto"/>
              <w:rPr>
                <w:spacing w:val="-3"/>
                <w:szCs w:val="21"/>
              </w:rPr>
            </w:pPr>
            <w:r>
              <w:rPr>
                <w:spacing w:val="-3"/>
                <w:szCs w:val="21"/>
              </w:rPr>
              <w:t>甲醇</w:t>
            </w:r>
          </w:p>
        </w:tc>
        <w:tc>
          <w:tcPr>
            <w:tcW w:w="1406" w:type="dxa"/>
          </w:tcPr>
          <w:p w14:paraId="28E85006">
            <w:pPr>
              <w:spacing w:before="156" w:line="220" w:lineRule="auto"/>
              <w:rPr>
                <w:spacing w:val="-3"/>
                <w:szCs w:val="21"/>
              </w:rPr>
            </w:pPr>
            <w:r>
              <w:rPr>
                <w:spacing w:val="-3"/>
                <w:szCs w:val="21"/>
              </w:rPr>
              <w:t>50</w:t>
            </w:r>
          </w:p>
        </w:tc>
        <w:tc>
          <w:tcPr>
            <w:tcW w:w="1917" w:type="dxa"/>
          </w:tcPr>
          <w:p w14:paraId="15B7838F">
            <w:pPr>
              <w:widowControl/>
              <w:jc w:val="left"/>
              <w:rPr>
                <w:spacing w:val="-3"/>
                <w:szCs w:val="21"/>
              </w:rPr>
            </w:pPr>
            <w:r>
              <w:rPr>
                <w:kern w:val="0"/>
                <w:sz w:val="20"/>
              </w:rPr>
              <w:t>易燃、毒性</w:t>
            </w:r>
          </w:p>
        </w:tc>
        <w:tc>
          <w:tcPr>
            <w:tcW w:w="3263" w:type="dxa"/>
            <w:gridSpan w:val="2"/>
          </w:tcPr>
          <w:p w14:paraId="1D726F55">
            <w:pPr>
              <w:widowControl/>
              <w:jc w:val="left"/>
              <w:rPr>
                <w:spacing w:val="-3"/>
                <w:szCs w:val="21"/>
              </w:rPr>
            </w:pPr>
            <w:r>
              <w:rPr>
                <w:kern w:val="0"/>
                <w:sz w:val="20"/>
              </w:rPr>
              <w:t>甲类储罐区</w:t>
            </w:r>
          </w:p>
        </w:tc>
      </w:tr>
      <w:tr w14:paraId="78278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26CBC0FF">
            <w:pPr>
              <w:spacing w:before="156" w:line="220" w:lineRule="auto"/>
              <w:rPr>
                <w:spacing w:val="-3"/>
                <w:szCs w:val="21"/>
              </w:rPr>
            </w:pPr>
            <w:r>
              <w:rPr>
                <w:spacing w:val="-3"/>
                <w:szCs w:val="21"/>
              </w:rPr>
              <w:t>20</w:t>
            </w:r>
          </w:p>
        </w:tc>
        <w:tc>
          <w:tcPr>
            <w:tcW w:w="1166" w:type="dxa"/>
          </w:tcPr>
          <w:p w14:paraId="4716C4EC">
            <w:pPr>
              <w:spacing w:before="156" w:line="220" w:lineRule="auto"/>
              <w:rPr>
                <w:spacing w:val="-3"/>
                <w:szCs w:val="21"/>
              </w:rPr>
            </w:pPr>
            <w:r>
              <w:rPr>
                <w:spacing w:val="-3"/>
                <w:szCs w:val="21"/>
              </w:rPr>
              <w:t>甲苯</w:t>
            </w:r>
          </w:p>
        </w:tc>
        <w:tc>
          <w:tcPr>
            <w:tcW w:w="1406" w:type="dxa"/>
          </w:tcPr>
          <w:p w14:paraId="27B2FCF4">
            <w:pPr>
              <w:spacing w:before="156" w:line="220" w:lineRule="auto"/>
              <w:rPr>
                <w:spacing w:val="-3"/>
                <w:szCs w:val="21"/>
              </w:rPr>
            </w:pPr>
            <w:r>
              <w:rPr>
                <w:spacing w:val="-3"/>
                <w:szCs w:val="21"/>
              </w:rPr>
              <w:t>50</w:t>
            </w:r>
          </w:p>
        </w:tc>
        <w:tc>
          <w:tcPr>
            <w:tcW w:w="1917" w:type="dxa"/>
          </w:tcPr>
          <w:p w14:paraId="49DE2883">
            <w:pPr>
              <w:widowControl/>
              <w:jc w:val="left"/>
              <w:rPr>
                <w:spacing w:val="-3"/>
                <w:szCs w:val="21"/>
              </w:rPr>
            </w:pPr>
            <w:r>
              <w:rPr>
                <w:kern w:val="0"/>
                <w:sz w:val="20"/>
              </w:rPr>
              <w:t>易燃、腐蚀</w:t>
            </w:r>
          </w:p>
        </w:tc>
        <w:tc>
          <w:tcPr>
            <w:tcW w:w="3263" w:type="dxa"/>
            <w:gridSpan w:val="2"/>
          </w:tcPr>
          <w:p w14:paraId="19574360">
            <w:pPr>
              <w:widowControl/>
              <w:jc w:val="left"/>
              <w:rPr>
                <w:spacing w:val="-3"/>
                <w:szCs w:val="21"/>
              </w:rPr>
            </w:pPr>
            <w:r>
              <w:rPr>
                <w:kern w:val="0"/>
                <w:sz w:val="20"/>
              </w:rPr>
              <w:t>甲类储罐区</w:t>
            </w:r>
          </w:p>
        </w:tc>
      </w:tr>
      <w:tr w14:paraId="3D2252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6"/>
          </w:tcPr>
          <w:p w14:paraId="4A25C8D8">
            <w:pPr>
              <w:spacing w:before="176" w:line="213" w:lineRule="auto"/>
              <w:ind w:left="1047"/>
              <w:jc w:val="center"/>
              <w:rPr>
                <w:rFonts w:eastAsia="Times New Roman"/>
                <w:spacing w:val="-1"/>
                <w:szCs w:val="21"/>
              </w:rPr>
            </w:pPr>
            <w:r>
              <w:rPr>
                <w:szCs w:val="21"/>
              </w:rPr>
              <w:t>安徽森吉制药有限公司</w:t>
            </w:r>
          </w:p>
        </w:tc>
      </w:tr>
      <w:tr w14:paraId="3180F4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49A27414">
            <w:pPr>
              <w:spacing w:before="190" w:line="187" w:lineRule="auto"/>
              <w:ind w:left="166"/>
              <w:rPr>
                <w:spacing w:val="-6"/>
                <w:szCs w:val="21"/>
              </w:rPr>
            </w:pPr>
            <w:r>
              <w:rPr>
                <w:spacing w:val="-6"/>
                <w:szCs w:val="21"/>
              </w:rPr>
              <w:t>21</w:t>
            </w:r>
          </w:p>
        </w:tc>
        <w:tc>
          <w:tcPr>
            <w:tcW w:w="1166" w:type="dxa"/>
            <w:vAlign w:val="center"/>
          </w:tcPr>
          <w:p w14:paraId="0C34C047">
            <w:pPr>
              <w:jc w:val="center"/>
              <w:rPr>
                <w:kern w:val="0"/>
                <w:szCs w:val="21"/>
              </w:rPr>
            </w:pPr>
            <w:r>
              <w:rPr>
                <w:rStyle w:val="60"/>
                <w:rFonts w:ascii="Times New Roman" w:hAnsi="Times New Roman"/>
                <w:kern w:val="0"/>
                <w:sz w:val="21"/>
                <w:szCs w:val="21"/>
              </w:rPr>
              <w:t>乙酸乙酯</w:t>
            </w:r>
          </w:p>
        </w:tc>
        <w:tc>
          <w:tcPr>
            <w:tcW w:w="1406" w:type="dxa"/>
          </w:tcPr>
          <w:p w14:paraId="53C913CF">
            <w:pPr>
              <w:spacing w:before="190" w:line="187" w:lineRule="auto"/>
              <w:ind w:left="522"/>
              <w:rPr>
                <w:spacing w:val="-1"/>
                <w:szCs w:val="21"/>
              </w:rPr>
            </w:pPr>
            <w:r>
              <w:rPr>
                <w:spacing w:val="-1"/>
                <w:szCs w:val="21"/>
              </w:rPr>
              <w:t>45</w:t>
            </w:r>
          </w:p>
        </w:tc>
        <w:tc>
          <w:tcPr>
            <w:tcW w:w="1917" w:type="dxa"/>
          </w:tcPr>
          <w:p w14:paraId="2FE7FA2F">
            <w:pPr>
              <w:spacing w:before="156" w:line="219" w:lineRule="auto"/>
              <w:ind w:left="225"/>
              <w:rPr>
                <w:spacing w:val="-4"/>
                <w:szCs w:val="21"/>
              </w:rPr>
            </w:pPr>
            <w:r>
              <w:rPr>
                <w:szCs w:val="21"/>
              </w:rPr>
              <w:t>易燃液体</w:t>
            </w:r>
          </w:p>
        </w:tc>
        <w:tc>
          <w:tcPr>
            <w:tcW w:w="3263" w:type="dxa"/>
            <w:gridSpan w:val="2"/>
          </w:tcPr>
          <w:p w14:paraId="68E33B6B">
            <w:pPr>
              <w:spacing w:before="176" w:line="213" w:lineRule="auto"/>
              <w:rPr>
                <w:rFonts w:eastAsia="Times New Roman"/>
                <w:spacing w:val="-1"/>
                <w:szCs w:val="21"/>
              </w:rPr>
            </w:pPr>
            <w:r>
              <w:rPr>
                <w:rStyle w:val="59"/>
                <w:rFonts w:ascii="Times New Roman" w:hAnsi="Times New Roman"/>
                <w:sz w:val="21"/>
                <w:szCs w:val="21"/>
              </w:rPr>
              <w:t>罐区</w:t>
            </w:r>
          </w:p>
        </w:tc>
      </w:tr>
      <w:tr w14:paraId="13FFF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02E1F52C">
            <w:pPr>
              <w:spacing w:before="190" w:line="187" w:lineRule="auto"/>
              <w:ind w:left="166"/>
              <w:rPr>
                <w:spacing w:val="-6"/>
                <w:szCs w:val="21"/>
              </w:rPr>
            </w:pPr>
            <w:r>
              <w:rPr>
                <w:spacing w:val="-6"/>
                <w:szCs w:val="21"/>
              </w:rPr>
              <w:t>22</w:t>
            </w:r>
          </w:p>
        </w:tc>
        <w:tc>
          <w:tcPr>
            <w:tcW w:w="1166" w:type="dxa"/>
            <w:vAlign w:val="center"/>
          </w:tcPr>
          <w:p w14:paraId="5360BDE0">
            <w:pPr>
              <w:jc w:val="center"/>
              <w:rPr>
                <w:kern w:val="0"/>
                <w:szCs w:val="21"/>
              </w:rPr>
            </w:pPr>
            <w:r>
              <w:rPr>
                <w:rStyle w:val="60"/>
                <w:rFonts w:ascii="Times New Roman" w:hAnsi="Times New Roman"/>
                <w:kern w:val="0"/>
                <w:sz w:val="21"/>
                <w:szCs w:val="21"/>
              </w:rPr>
              <w:t>甲醇</w:t>
            </w:r>
          </w:p>
        </w:tc>
        <w:tc>
          <w:tcPr>
            <w:tcW w:w="1406" w:type="dxa"/>
          </w:tcPr>
          <w:p w14:paraId="3EA551AB">
            <w:pPr>
              <w:spacing w:before="190" w:line="187" w:lineRule="auto"/>
              <w:ind w:left="522"/>
              <w:rPr>
                <w:spacing w:val="-1"/>
                <w:szCs w:val="21"/>
              </w:rPr>
            </w:pPr>
            <w:r>
              <w:rPr>
                <w:spacing w:val="-1"/>
                <w:szCs w:val="21"/>
              </w:rPr>
              <w:t>39.6</w:t>
            </w:r>
          </w:p>
        </w:tc>
        <w:tc>
          <w:tcPr>
            <w:tcW w:w="1917" w:type="dxa"/>
          </w:tcPr>
          <w:p w14:paraId="1A4A7CA1">
            <w:pPr>
              <w:spacing w:before="156" w:line="219" w:lineRule="auto"/>
              <w:ind w:left="225"/>
              <w:rPr>
                <w:spacing w:val="-4"/>
                <w:szCs w:val="21"/>
              </w:rPr>
            </w:pPr>
            <w:r>
              <w:rPr>
                <w:szCs w:val="21"/>
              </w:rPr>
              <w:t>易燃液体</w:t>
            </w:r>
          </w:p>
        </w:tc>
        <w:tc>
          <w:tcPr>
            <w:tcW w:w="3263" w:type="dxa"/>
            <w:gridSpan w:val="2"/>
          </w:tcPr>
          <w:p w14:paraId="7C98E337">
            <w:pPr>
              <w:spacing w:before="176" w:line="213" w:lineRule="auto"/>
              <w:rPr>
                <w:rFonts w:eastAsia="Times New Roman"/>
                <w:spacing w:val="-1"/>
                <w:szCs w:val="21"/>
              </w:rPr>
            </w:pPr>
            <w:r>
              <w:rPr>
                <w:rStyle w:val="59"/>
                <w:rFonts w:ascii="Times New Roman" w:hAnsi="Times New Roman"/>
                <w:sz w:val="21"/>
                <w:szCs w:val="21"/>
              </w:rPr>
              <w:t>罐区</w:t>
            </w:r>
          </w:p>
        </w:tc>
      </w:tr>
      <w:tr w14:paraId="7BAC6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1946D566">
            <w:pPr>
              <w:spacing w:before="190" w:line="187" w:lineRule="auto"/>
              <w:ind w:left="166"/>
              <w:rPr>
                <w:spacing w:val="-6"/>
                <w:szCs w:val="21"/>
              </w:rPr>
            </w:pPr>
            <w:r>
              <w:rPr>
                <w:spacing w:val="-6"/>
                <w:szCs w:val="21"/>
              </w:rPr>
              <w:t>23</w:t>
            </w:r>
          </w:p>
        </w:tc>
        <w:tc>
          <w:tcPr>
            <w:tcW w:w="1166" w:type="dxa"/>
            <w:vAlign w:val="center"/>
          </w:tcPr>
          <w:p w14:paraId="475EC540">
            <w:pPr>
              <w:jc w:val="center"/>
              <w:rPr>
                <w:kern w:val="0"/>
                <w:szCs w:val="21"/>
              </w:rPr>
            </w:pPr>
            <w:r>
              <w:rPr>
                <w:rStyle w:val="60"/>
                <w:rFonts w:ascii="Times New Roman" w:hAnsi="Times New Roman"/>
                <w:kern w:val="0"/>
                <w:sz w:val="21"/>
                <w:szCs w:val="21"/>
              </w:rPr>
              <w:t>甲苯</w:t>
            </w:r>
          </w:p>
        </w:tc>
        <w:tc>
          <w:tcPr>
            <w:tcW w:w="1406" w:type="dxa"/>
          </w:tcPr>
          <w:p w14:paraId="29624AEA">
            <w:pPr>
              <w:spacing w:before="190" w:line="187" w:lineRule="auto"/>
              <w:ind w:left="522"/>
              <w:rPr>
                <w:spacing w:val="-1"/>
                <w:szCs w:val="21"/>
              </w:rPr>
            </w:pPr>
            <w:r>
              <w:rPr>
                <w:spacing w:val="-1"/>
                <w:szCs w:val="21"/>
              </w:rPr>
              <w:t>43.6</w:t>
            </w:r>
          </w:p>
        </w:tc>
        <w:tc>
          <w:tcPr>
            <w:tcW w:w="1917" w:type="dxa"/>
          </w:tcPr>
          <w:p w14:paraId="2138190A">
            <w:pPr>
              <w:spacing w:before="156" w:line="219" w:lineRule="auto"/>
              <w:ind w:left="225"/>
              <w:rPr>
                <w:spacing w:val="-4"/>
                <w:szCs w:val="21"/>
              </w:rPr>
            </w:pPr>
            <w:r>
              <w:rPr>
                <w:szCs w:val="21"/>
              </w:rPr>
              <w:t>易燃液体</w:t>
            </w:r>
          </w:p>
        </w:tc>
        <w:tc>
          <w:tcPr>
            <w:tcW w:w="3263" w:type="dxa"/>
            <w:gridSpan w:val="2"/>
          </w:tcPr>
          <w:p w14:paraId="33A3EA3B">
            <w:pPr>
              <w:spacing w:before="176" w:line="213" w:lineRule="auto"/>
              <w:rPr>
                <w:rFonts w:eastAsia="Times New Roman"/>
                <w:spacing w:val="-1"/>
                <w:szCs w:val="21"/>
              </w:rPr>
            </w:pPr>
            <w:r>
              <w:rPr>
                <w:rStyle w:val="59"/>
                <w:rFonts w:ascii="Times New Roman" w:hAnsi="Times New Roman"/>
                <w:sz w:val="21"/>
                <w:szCs w:val="21"/>
              </w:rPr>
              <w:t>罐区</w:t>
            </w:r>
          </w:p>
        </w:tc>
      </w:tr>
      <w:tr w14:paraId="0D329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Pr>
          <w:p w14:paraId="5D005804">
            <w:pPr>
              <w:spacing w:before="190" w:line="187" w:lineRule="auto"/>
              <w:ind w:left="166"/>
              <w:rPr>
                <w:spacing w:val="-6"/>
                <w:szCs w:val="21"/>
              </w:rPr>
            </w:pPr>
            <w:r>
              <w:rPr>
                <w:spacing w:val="-6"/>
                <w:szCs w:val="21"/>
              </w:rPr>
              <w:t>24</w:t>
            </w:r>
          </w:p>
        </w:tc>
        <w:tc>
          <w:tcPr>
            <w:tcW w:w="1166" w:type="dxa"/>
            <w:vAlign w:val="center"/>
          </w:tcPr>
          <w:p w14:paraId="71BB627C">
            <w:pPr>
              <w:jc w:val="center"/>
              <w:rPr>
                <w:kern w:val="0"/>
                <w:szCs w:val="21"/>
              </w:rPr>
            </w:pPr>
            <w:r>
              <w:rPr>
                <w:rStyle w:val="60"/>
                <w:rFonts w:ascii="Times New Roman" w:hAnsi="Times New Roman"/>
                <w:kern w:val="0"/>
                <w:sz w:val="21"/>
                <w:szCs w:val="21"/>
              </w:rPr>
              <w:t>氢气</w:t>
            </w:r>
          </w:p>
        </w:tc>
        <w:tc>
          <w:tcPr>
            <w:tcW w:w="1406" w:type="dxa"/>
          </w:tcPr>
          <w:p w14:paraId="58778D4B">
            <w:pPr>
              <w:spacing w:before="190" w:line="187" w:lineRule="auto"/>
              <w:ind w:left="522"/>
              <w:rPr>
                <w:spacing w:val="-1"/>
                <w:szCs w:val="21"/>
              </w:rPr>
            </w:pPr>
            <w:r>
              <w:rPr>
                <w:spacing w:val="-1"/>
                <w:szCs w:val="21"/>
              </w:rPr>
              <w:t>0.12</w:t>
            </w:r>
          </w:p>
        </w:tc>
        <w:tc>
          <w:tcPr>
            <w:tcW w:w="1917" w:type="dxa"/>
          </w:tcPr>
          <w:p w14:paraId="4349E68E">
            <w:pPr>
              <w:spacing w:before="156" w:line="219" w:lineRule="auto"/>
              <w:ind w:left="225"/>
              <w:rPr>
                <w:spacing w:val="-4"/>
                <w:szCs w:val="21"/>
              </w:rPr>
            </w:pPr>
            <w:r>
              <w:rPr>
                <w:szCs w:val="21"/>
              </w:rPr>
              <w:t>易燃气体</w:t>
            </w:r>
          </w:p>
        </w:tc>
        <w:tc>
          <w:tcPr>
            <w:tcW w:w="3263" w:type="dxa"/>
            <w:gridSpan w:val="2"/>
          </w:tcPr>
          <w:p w14:paraId="6A2087D6">
            <w:pPr>
              <w:spacing w:before="176" w:line="213" w:lineRule="auto"/>
              <w:rPr>
                <w:rFonts w:eastAsia="Times New Roman"/>
                <w:spacing w:val="-1"/>
                <w:szCs w:val="21"/>
              </w:rPr>
            </w:pPr>
            <w:r>
              <w:rPr>
                <w:rStyle w:val="59"/>
                <w:rFonts w:ascii="Times New Roman" w:hAnsi="Times New Roman"/>
                <w:sz w:val="21"/>
                <w:szCs w:val="21"/>
              </w:rPr>
              <w:t>钢瓶、危险品库三</w:t>
            </w:r>
          </w:p>
        </w:tc>
      </w:tr>
    </w:tbl>
    <w:p w14:paraId="7958B3E9">
      <w:pPr>
        <w:spacing w:before="238" w:line="219" w:lineRule="auto"/>
        <w:ind w:left="683"/>
        <w:rPr>
          <w:rFonts w:eastAsiaTheme="minorEastAsia"/>
          <w:b/>
          <w:sz w:val="24"/>
          <w:szCs w:val="24"/>
        </w:rPr>
      </w:pPr>
      <w:r>
        <w:rPr>
          <w:rFonts w:eastAsiaTheme="minorEastAsia"/>
          <w:b/>
          <w:sz w:val="24"/>
          <w:szCs w:val="24"/>
        </w:rPr>
        <w:t>（3）易制爆化学品辨识</w:t>
      </w:r>
    </w:p>
    <w:p w14:paraId="48D46283">
      <w:pPr>
        <w:widowControl/>
        <w:spacing w:line="360" w:lineRule="auto"/>
        <w:ind w:firstLine="480" w:firstLineChars="200"/>
        <w:jc w:val="left"/>
        <w:rPr>
          <w:sz w:val="24"/>
        </w:rPr>
      </w:pPr>
      <w:r>
        <w:rPr>
          <w:sz w:val="24"/>
        </w:rPr>
        <w:t>对照《易制爆危险化学品名录(2017年版)》(公安部公告)，化工园区四至范围内已入驻的德邦化工、恒诚制药、水卫士环保科技、国瑞药业四家化工企业，块二正在建设的三家化工为企业淮南锦德生物科技有限公司、安徽森吉制药有限公司和安徽山河药用辅料股份有限公司，涉及的易制爆的危险化学品如表7.1-3。</w:t>
      </w:r>
    </w:p>
    <w:p w14:paraId="0507B67C">
      <w:pPr>
        <w:spacing w:before="63" w:line="214" w:lineRule="auto"/>
        <w:ind w:left="2333"/>
        <w:rPr>
          <w:sz w:val="24"/>
          <w:szCs w:val="24"/>
        </w:rPr>
      </w:pPr>
      <w:r>
        <w:rPr>
          <w:spacing w:val="-4"/>
          <w:sz w:val="24"/>
          <w:szCs w:val="24"/>
        </w:rPr>
        <w:t>表7</w:t>
      </w:r>
      <w:r>
        <w:rPr>
          <w:rFonts w:eastAsia="Times New Roman"/>
          <w:spacing w:val="-4"/>
          <w:sz w:val="24"/>
          <w:szCs w:val="24"/>
        </w:rPr>
        <w:t>.1-3</w:t>
      </w:r>
      <w:r>
        <w:rPr>
          <w:spacing w:val="-4"/>
          <w:sz w:val="24"/>
          <w:szCs w:val="24"/>
        </w:rPr>
        <w:t>、</w:t>
      </w:r>
      <w:r>
        <w:rPr>
          <w:spacing w:val="-3"/>
          <w:sz w:val="24"/>
          <w:szCs w:val="24"/>
        </w:rPr>
        <w:t>化工园区</w:t>
      </w:r>
      <w:r>
        <w:rPr>
          <w:spacing w:val="-2"/>
          <w:sz w:val="24"/>
          <w:szCs w:val="24"/>
        </w:rPr>
        <w:t>易制爆危险化学品辨识表</w:t>
      </w:r>
    </w:p>
    <w:tbl>
      <w:tblPr>
        <w:tblStyle w:val="58"/>
        <w:tblW w:w="863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5"/>
        <w:gridCol w:w="1151"/>
        <w:gridCol w:w="39"/>
        <w:gridCol w:w="1367"/>
        <w:gridCol w:w="68"/>
        <w:gridCol w:w="1956"/>
        <w:gridCol w:w="70"/>
        <w:gridCol w:w="3262"/>
      </w:tblGrid>
      <w:tr w14:paraId="3DF4C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tcPr>
          <w:p w14:paraId="7DF9B30A">
            <w:pPr>
              <w:spacing w:before="154" w:line="222" w:lineRule="auto"/>
              <w:ind w:left="146"/>
              <w:rPr>
                <w:szCs w:val="21"/>
              </w:rPr>
            </w:pPr>
            <w:r>
              <w:rPr>
                <w:spacing w:val="-2"/>
                <w:szCs w:val="21"/>
              </w:rPr>
              <w:t>序</w:t>
            </w:r>
            <w:r>
              <w:rPr>
                <w:spacing w:val="-1"/>
                <w:szCs w:val="21"/>
              </w:rPr>
              <w:t>号</w:t>
            </w:r>
          </w:p>
        </w:tc>
        <w:tc>
          <w:tcPr>
            <w:tcW w:w="1166" w:type="dxa"/>
            <w:gridSpan w:val="2"/>
          </w:tcPr>
          <w:p w14:paraId="3A98E3CB">
            <w:pPr>
              <w:spacing w:before="154" w:line="221" w:lineRule="auto"/>
              <w:ind w:left="164"/>
              <w:rPr>
                <w:szCs w:val="21"/>
              </w:rPr>
            </w:pPr>
            <w:r>
              <w:rPr>
                <w:spacing w:val="-1"/>
                <w:szCs w:val="21"/>
              </w:rPr>
              <w:t>物质名</w:t>
            </w:r>
            <w:r>
              <w:rPr>
                <w:szCs w:val="21"/>
              </w:rPr>
              <w:t>称</w:t>
            </w:r>
          </w:p>
        </w:tc>
        <w:tc>
          <w:tcPr>
            <w:tcW w:w="1406" w:type="dxa"/>
            <w:gridSpan w:val="2"/>
          </w:tcPr>
          <w:p w14:paraId="5E391A0A">
            <w:pPr>
              <w:spacing w:before="154" w:line="234" w:lineRule="auto"/>
              <w:ind w:left="112"/>
              <w:rPr>
                <w:szCs w:val="21"/>
              </w:rPr>
            </w:pPr>
            <w:r>
              <w:rPr>
                <w:spacing w:val="8"/>
                <w:szCs w:val="21"/>
              </w:rPr>
              <w:t>最大储量(</w:t>
            </w:r>
            <w:r>
              <w:rPr>
                <w:rFonts w:eastAsia="Times New Roman"/>
                <w:b/>
                <w:bCs/>
                <w:szCs w:val="21"/>
              </w:rPr>
              <w:t>t</w:t>
            </w:r>
            <w:r>
              <w:rPr>
                <w:spacing w:val="8"/>
                <w:szCs w:val="21"/>
              </w:rPr>
              <w:t>)</w:t>
            </w:r>
          </w:p>
        </w:tc>
        <w:tc>
          <w:tcPr>
            <w:tcW w:w="2094" w:type="dxa"/>
            <w:gridSpan w:val="3"/>
          </w:tcPr>
          <w:p w14:paraId="347E1B53">
            <w:pPr>
              <w:spacing w:before="153" w:line="221" w:lineRule="auto"/>
              <w:ind w:left="420"/>
              <w:rPr>
                <w:szCs w:val="21"/>
              </w:rPr>
            </w:pPr>
            <w:r>
              <w:rPr>
                <w:spacing w:val="-1"/>
                <w:szCs w:val="21"/>
              </w:rPr>
              <w:t>主要危</w:t>
            </w:r>
            <w:r>
              <w:rPr>
                <w:szCs w:val="21"/>
              </w:rPr>
              <w:t>险特性</w:t>
            </w:r>
          </w:p>
        </w:tc>
        <w:tc>
          <w:tcPr>
            <w:tcW w:w="3262" w:type="dxa"/>
          </w:tcPr>
          <w:p w14:paraId="1E58A627">
            <w:pPr>
              <w:spacing w:before="153" w:line="221" w:lineRule="auto"/>
              <w:ind w:left="968"/>
              <w:rPr>
                <w:szCs w:val="21"/>
              </w:rPr>
            </w:pPr>
            <w:r>
              <w:rPr>
                <w:spacing w:val="1"/>
                <w:szCs w:val="21"/>
              </w:rPr>
              <w:t>主要储</w:t>
            </w:r>
            <w:r>
              <w:rPr>
                <w:szCs w:val="21"/>
              </w:rPr>
              <w:t>存(存在)场所</w:t>
            </w:r>
          </w:p>
        </w:tc>
      </w:tr>
      <w:tr w14:paraId="16742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35" w:type="dxa"/>
            <w:gridSpan w:val="9"/>
          </w:tcPr>
          <w:p w14:paraId="18EAE0EB">
            <w:pPr>
              <w:spacing w:before="121" w:line="221" w:lineRule="auto"/>
              <w:ind w:left="4288"/>
              <w:rPr>
                <w:szCs w:val="21"/>
              </w:rPr>
            </w:pPr>
            <w:r>
              <w:rPr>
                <w:spacing w:val="-1"/>
                <w:szCs w:val="21"/>
              </w:rPr>
              <w:t>德邦化工</w:t>
            </w:r>
          </w:p>
        </w:tc>
      </w:tr>
      <w:tr w14:paraId="2D0C5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07" w:type="dxa"/>
          </w:tcPr>
          <w:p w14:paraId="21261A6E">
            <w:pPr>
              <w:spacing w:before="187" w:line="187" w:lineRule="auto"/>
              <w:ind w:left="166"/>
              <w:rPr>
                <w:rFonts w:eastAsia="Times New Roman"/>
                <w:szCs w:val="21"/>
              </w:rPr>
            </w:pPr>
            <w:r>
              <w:rPr>
                <w:rFonts w:eastAsia="Times New Roman"/>
                <w:szCs w:val="21"/>
              </w:rPr>
              <w:t>1</w:t>
            </w:r>
          </w:p>
        </w:tc>
        <w:tc>
          <w:tcPr>
            <w:tcW w:w="1166" w:type="dxa"/>
            <w:gridSpan w:val="2"/>
          </w:tcPr>
          <w:p w14:paraId="34CCC411">
            <w:pPr>
              <w:spacing w:before="151" w:line="220" w:lineRule="auto"/>
              <w:ind w:left="375"/>
              <w:rPr>
                <w:szCs w:val="21"/>
              </w:rPr>
            </w:pPr>
            <w:r>
              <w:rPr>
                <w:spacing w:val="-2"/>
                <w:szCs w:val="21"/>
              </w:rPr>
              <w:t>硫</w:t>
            </w:r>
            <w:r>
              <w:rPr>
                <w:spacing w:val="-1"/>
                <w:szCs w:val="21"/>
              </w:rPr>
              <w:t>磺</w:t>
            </w:r>
          </w:p>
        </w:tc>
        <w:tc>
          <w:tcPr>
            <w:tcW w:w="1406" w:type="dxa"/>
            <w:gridSpan w:val="2"/>
          </w:tcPr>
          <w:p w14:paraId="2B906512">
            <w:pPr>
              <w:spacing w:before="187" w:line="187" w:lineRule="auto"/>
              <w:ind w:left="546"/>
              <w:rPr>
                <w:rFonts w:eastAsia="Times New Roman"/>
                <w:szCs w:val="21"/>
              </w:rPr>
            </w:pPr>
            <w:r>
              <w:rPr>
                <w:rFonts w:eastAsia="Times New Roman"/>
                <w:spacing w:val="-1"/>
                <w:szCs w:val="21"/>
              </w:rPr>
              <w:t>20</w:t>
            </w:r>
            <w:r>
              <w:rPr>
                <w:rFonts w:eastAsia="Times New Roman"/>
                <w:szCs w:val="21"/>
              </w:rPr>
              <w:t>0</w:t>
            </w:r>
          </w:p>
        </w:tc>
        <w:tc>
          <w:tcPr>
            <w:tcW w:w="2094" w:type="dxa"/>
            <w:gridSpan w:val="3"/>
          </w:tcPr>
          <w:p w14:paraId="67D50DF1">
            <w:pPr>
              <w:spacing w:before="151" w:line="219" w:lineRule="auto"/>
              <w:ind w:left="225"/>
              <w:rPr>
                <w:szCs w:val="21"/>
              </w:rPr>
            </w:pPr>
            <w:r>
              <w:rPr>
                <w:spacing w:val="-4"/>
                <w:szCs w:val="21"/>
              </w:rPr>
              <w:t>易燃</w:t>
            </w:r>
            <w:r>
              <w:rPr>
                <w:spacing w:val="-2"/>
                <w:szCs w:val="21"/>
              </w:rPr>
              <w:t>、易爆、有毒</w:t>
            </w:r>
          </w:p>
        </w:tc>
        <w:tc>
          <w:tcPr>
            <w:tcW w:w="3262" w:type="dxa"/>
          </w:tcPr>
          <w:p w14:paraId="286D057C">
            <w:pPr>
              <w:spacing w:before="173" w:line="220" w:lineRule="auto"/>
              <w:rPr>
                <w:szCs w:val="21"/>
              </w:rPr>
            </w:pPr>
            <w:r>
              <w:rPr>
                <w:spacing w:val="-20"/>
                <w:szCs w:val="21"/>
              </w:rPr>
              <w:t>袋</w:t>
            </w:r>
            <w:r>
              <w:rPr>
                <w:spacing w:val="-15"/>
                <w:szCs w:val="21"/>
              </w:rPr>
              <w:t>装，硫磺库</w:t>
            </w:r>
          </w:p>
        </w:tc>
      </w:tr>
      <w:tr w14:paraId="1C4D3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8635" w:type="dxa"/>
            <w:gridSpan w:val="9"/>
          </w:tcPr>
          <w:p w14:paraId="69F87587">
            <w:pPr>
              <w:spacing w:before="124" w:line="221" w:lineRule="auto"/>
              <w:ind w:left="4308"/>
              <w:rPr>
                <w:szCs w:val="21"/>
              </w:rPr>
            </w:pPr>
            <w:r>
              <w:rPr>
                <w:spacing w:val="-7"/>
                <w:szCs w:val="21"/>
              </w:rPr>
              <w:t>国</w:t>
            </w:r>
            <w:r>
              <w:rPr>
                <w:spacing w:val="-4"/>
                <w:szCs w:val="21"/>
              </w:rPr>
              <w:t>瑞药业</w:t>
            </w:r>
          </w:p>
        </w:tc>
      </w:tr>
      <w:tr w14:paraId="4AC6E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07" w:type="dxa"/>
          </w:tcPr>
          <w:p w14:paraId="466D24D2">
            <w:pPr>
              <w:spacing w:before="190" w:line="187" w:lineRule="auto"/>
              <w:ind w:left="145"/>
              <w:rPr>
                <w:rFonts w:eastAsia="Times New Roman"/>
                <w:szCs w:val="21"/>
              </w:rPr>
            </w:pPr>
            <w:r>
              <w:rPr>
                <w:rFonts w:eastAsia="Times New Roman"/>
                <w:szCs w:val="21"/>
              </w:rPr>
              <w:t>2</w:t>
            </w:r>
          </w:p>
        </w:tc>
        <w:tc>
          <w:tcPr>
            <w:tcW w:w="1166" w:type="dxa"/>
            <w:gridSpan w:val="2"/>
          </w:tcPr>
          <w:p w14:paraId="11246BDB">
            <w:pPr>
              <w:spacing w:before="153" w:line="219" w:lineRule="auto"/>
              <w:ind w:left="166"/>
              <w:rPr>
                <w:szCs w:val="21"/>
              </w:rPr>
            </w:pPr>
            <w:r>
              <w:rPr>
                <w:spacing w:val="-1"/>
                <w:szCs w:val="21"/>
              </w:rPr>
              <w:t>硼氢化钠</w:t>
            </w:r>
          </w:p>
        </w:tc>
        <w:tc>
          <w:tcPr>
            <w:tcW w:w="1406" w:type="dxa"/>
            <w:gridSpan w:val="2"/>
          </w:tcPr>
          <w:p w14:paraId="2A008918">
            <w:pPr>
              <w:spacing w:before="189" w:line="187" w:lineRule="auto"/>
              <w:ind w:left="470"/>
              <w:rPr>
                <w:rFonts w:eastAsia="Times New Roman"/>
                <w:szCs w:val="21"/>
              </w:rPr>
            </w:pPr>
            <w:r>
              <w:rPr>
                <w:rFonts w:eastAsia="Times New Roman"/>
                <w:spacing w:val="-1"/>
                <w:szCs w:val="21"/>
              </w:rPr>
              <w:t>0.00</w:t>
            </w:r>
            <w:r>
              <w:rPr>
                <w:rFonts w:eastAsia="Times New Roman"/>
                <w:szCs w:val="21"/>
              </w:rPr>
              <w:t>6</w:t>
            </w:r>
          </w:p>
        </w:tc>
        <w:tc>
          <w:tcPr>
            <w:tcW w:w="2094" w:type="dxa"/>
            <w:gridSpan w:val="3"/>
          </w:tcPr>
          <w:p w14:paraId="2B581C54">
            <w:pPr>
              <w:spacing w:before="153" w:line="219" w:lineRule="auto"/>
              <w:ind w:left="540"/>
              <w:rPr>
                <w:szCs w:val="21"/>
              </w:rPr>
            </w:pPr>
            <w:r>
              <w:rPr>
                <w:spacing w:val="-6"/>
                <w:szCs w:val="21"/>
              </w:rPr>
              <w:t>易</w:t>
            </w:r>
            <w:r>
              <w:rPr>
                <w:spacing w:val="-4"/>
                <w:szCs w:val="21"/>
              </w:rPr>
              <w:t>燃</w:t>
            </w:r>
            <w:r>
              <w:rPr>
                <w:spacing w:val="-3"/>
                <w:szCs w:val="21"/>
              </w:rPr>
              <w:t>、易爆</w:t>
            </w:r>
          </w:p>
        </w:tc>
        <w:tc>
          <w:tcPr>
            <w:tcW w:w="3262" w:type="dxa"/>
          </w:tcPr>
          <w:p w14:paraId="467C963C">
            <w:pPr>
              <w:spacing w:before="175" w:line="213" w:lineRule="auto"/>
              <w:rPr>
                <w:szCs w:val="21"/>
              </w:rPr>
            </w:pPr>
            <w:r>
              <w:rPr>
                <w:rFonts w:eastAsia="Times New Roman"/>
                <w:spacing w:val="-1"/>
                <w:szCs w:val="21"/>
              </w:rPr>
              <w:t>500</w:t>
            </w:r>
            <w:r>
              <w:rPr>
                <w:rFonts w:eastAsia="Times New Roman"/>
                <w:szCs w:val="21"/>
              </w:rPr>
              <w:t>g</w:t>
            </w:r>
            <w:r>
              <w:rPr>
                <w:spacing w:val="-1"/>
                <w:szCs w:val="21"/>
              </w:rPr>
              <w:t>瓶装，危</w:t>
            </w:r>
            <w:r>
              <w:rPr>
                <w:szCs w:val="21"/>
              </w:rPr>
              <w:t>险品库</w:t>
            </w:r>
          </w:p>
        </w:tc>
      </w:tr>
      <w:tr w14:paraId="00CD7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07" w:type="dxa"/>
          </w:tcPr>
          <w:p w14:paraId="41A963CF">
            <w:pPr>
              <w:spacing w:before="187" w:line="187" w:lineRule="auto"/>
              <w:ind w:left="150"/>
              <w:rPr>
                <w:rFonts w:eastAsia="Times New Roman"/>
                <w:szCs w:val="21"/>
              </w:rPr>
            </w:pPr>
            <w:r>
              <w:rPr>
                <w:rFonts w:eastAsia="Times New Roman"/>
                <w:szCs w:val="21"/>
              </w:rPr>
              <w:t>3</w:t>
            </w:r>
          </w:p>
        </w:tc>
        <w:tc>
          <w:tcPr>
            <w:tcW w:w="1166" w:type="dxa"/>
            <w:gridSpan w:val="2"/>
          </w:tcPr>
          <w:p w14:paraId="224350F2">
            <w:pPr>
              <w:spacing w:before="154" w:line="220" w:lineRule="auto"/>
              <w:ind w:left="375"/>
              <w:rPr>
                <w:szCs w:val="21"/>
              </w:rPr>
            </w:pPr>
            <w:r>
              <w:rPr>
                <w:spacing w:val="-2"/>
                <w:szCs w:val="21"/>
              </w:rPr>
              <w:t>硫</w:t>
            </w:r>
            <w:r>
              <w:rPr>
                <w:spacing w:val="-1"/>
                <w:szCs w:val="21"/>
              </w:rPr>
              <w:t>磺</w:t>
            </w:r>
          </w:p>
        </w:tc>
        <w:tc>
          <w:tcPr>
            <w:tcW w:w="1406" w:type="dxa"/>
            <w:gridSpan w:val="2"/>
          </w:tcPr>
          <w:p w14:paraId="4847B2E6">
            <w:pPr>
              <w:spacing w:before="187" w:line="187" w:lineRule="auto"/>
              <w:ind w:left="522"/>
              <w:rPr>
                <w:rFonts w:eastAsia="Times New Roman"/>
                <w:szCs w:val="21"/>
              </w:rPr>
            </w:pPr>
            <w:r>
              <w:rPr>
                <w:rFonts w:eastAsia="Times New Roman"/>
                <w:spacing w:val="-1"/>
                <w:szCs w:val="21"/>
              </w:rPr>
              <w:t>0.15</w:t>
            </w:r>
          </w:p>
        </w:tc>
        <w:tc>
          <w:tcPr>
            <w:tcW w:w="2094" w:type="dxa"/>
            <w:gridSpan w:val="3"/>
          </w:tcPr>
          <w:p w14:paraId="386F01DB">
            <w:pPr>
              <w:spacing w:before="154" w:line="219" w:lineRule="auto"/>
              <w:ind w:left="225"/>
              <w:rPr>
                <w:szCs w:val="21"/>
              </w:rPr>
            </w:pPr>
            <w:r>
              <w:rPr>
                <w:spacing w:val="-4"/>
                <w:szCs w:val="21"/>
              </w:rPr>
              <w:t>易燃</w:t>
            </w:r>
            <w:r>
              <w:rPr>
                <w:spacing w:val="-2"/>
                <w:szCs w:val="21"/>
              </w:rPr>
              <w:t>、易爆、有毒</w:t>
            </w:r>
          </w:p>
        </w:tc>
        <w:tc>
          <w:tcPr>
            <w:tcW w:w="3262" w:type="dxa"/>
          </w:tcPr>
          <w:p w14:paraId="2F5AFEC6">
            <w:pPr>
              <w:spacing w:before="173" w:line="213" w:lineRule="auto"/>
              <w:rPr>
                <w:szCs w:val="21"/>
              </w:rPr>
            </w:pPr>
            <w:r>
              <w:rPr>
                <w:rFonts w:eastAsia="Times New Roman"/>
                <w:spacing w:val="-1"/>
                <w:szCs w:val="21"/>
              </w:rPr>
              <w:t>500</w:t>
            </w:r>
            <w:r>
              <w:rPr>
                <w:rFonts w:eastAsia="Times New Roman"/>
                <w:szCs w:val="21"/>
              </w:rPr>
              <w:t>g</w:t>
            </w:r>
            <w:r>
              <w:rPr>
                <w:spacing w:val="-1"/>
                <w:szCs w:val="21"/>
              </w:rPr>
              <w:t>瓶装，危</w:t>
            </w:r>
            <w:r>
              <w:rPr>
                <w:szCs w:val="21"/>
              </w:rPr>
              <w:t>险品库</w:t>
            </w:r>
          </w:p>
        </w:tc>
      </w:tr>
      <w:tr w14:paraId="354D1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35" w:type="dxa"/>
            <w:gridSpan w:val="9"/>
          </w:tcPr>
          <w:p w14:paraId="5BFAD976">
            <w:pPr>
              <w:spacing w:before="173" w:line="213" w:lineRule="auto"/>
              <w:ind w:left="1053" w:firstLine="2240" w:firstLineChars="800"/>
              <w:rPr>
                <w:rFonts w:eastAsia="Times New Roman"/>
                <w:spacing w:val="-1"/>
                <w:szCs w:val="21"/>
              </w:rPr>
            </w:pPr>
            <w:r>
              <w:t>安徽山河药用辅料股份有限公司</w:t>
            </w:r>
          </w:p>
        </w:tc>
      </w:tr>
      <w:tr w14:paraId="754FB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07" w:type="dxa"/>
          </w:tcPr>
          <w:p w14:paraId="1D58AE46">
            <w:pPr>
              <w:spacing w:before="187" w:line="187" w:lineRule="auto"/>
              <w:ind w:left="150"/>
              <w:rPr>
                <w:szCs w:val="21"/>
              </w:rPr>
            </w:pPr>
            <w:r>
              <w:rPr>
                <w:szCs w:val="21"/>
              </w:rPr>
              <w:t>4</w:t>
            </w:r>
          </w:p>
        </w:tc>
        <w:tc>
          <w:tcPr>
            <w:tcW w:w="1166" w:type="dxa"/>
            <w:gridSpan w:val="2"/>
          </w:tcPr>
          <w:p w14:paraId="6C55D119">
            <w:pPr>
              <w:spacing w:before="154" w:line="220" w:lineRule="auto"/>
              <w:rPr>
                <w:spacing w:val="-2"/>
                <w:szCs w:val="21"/>
              </w:rPr>
            </w:pPr>
            <w:r>
              <w:rPr>
                <w:szCs w:val="21"/>
              </w:rPr>
              <w:t>过氧化氢溶液</w:t>
            </w:r>
          </w:p>
        </w:tc>
        <w:tc>
          <w:tcPr>
            <w:tcW w:w="1406" w:type="dxa"/>
            <w:gridSpan w:val="2"/>
          </w:tcPr>
          <w:p w14:paraId="6FD77A32">
            <w:pPr>
              <w:spacing w:before="187" w:line="187" w:lineRule="auto"/>
              <w:ind w:left="522"/>
              <w:rPr>
                <w:spacing w:val="-1"/>
                <w:szCs w:val="21"/>
              </w:rPr>
            </w:pPr>
            <w:r>
              <w:rPr>
                <w:spacing w:val="-1"/>
                <w:szCs w:val="21"/>
              </w:rPr>
              <w:t>4</w:t>
            </w:r>
          </w:p>
        </w:tc>
        <w:tc>
          <w:tcPr>
            <w:tcW w:w="2094" w:type="dxa"/>
            <w:gridSpan w:val="3"/>
          </w:tcPr>
          <w:p w14:paraId="485EF7F1">
            <w:pPr>
              <w:spacing w:before="154" w:line="219" w:lineRule="auto"/>
              <w:rPr>
                <w:spacing w:val="-4"/>
                <w:szCs w:val="21"/>
              </w:rPr>
            </w:pPr>
            <w:r>
              <w:rPr>
                <w:szCs w:val="21"/>
              </w:rPr>
              <w:t>氧化性液、体皮肤腐蚀</w:t>
            </w:r>
          </w:p>
        </w:tc>
        <w:tc>
          <w:tcPr>
            <w:tcW w:w="3262" w:type="dxa"/>
          </w:tcPr>
          <w:p w14:paraId="430E559D">
            <w:pPr>
              <w:spacing w:before="173" w:line="213" w:lineRule="auto"/>
              <w:rPr>
                <w:rFonts w:eastAsia="Times New Roman"/>
                <w:spacing w:val="-1"/>
                <w:szCs w:val="21"/>
              </w:rPr>
            </w:pPr>
            <w:r>
              <w:rPr>
                <w:szCs w:val="21"/>
              </w:rPr>
              <w:t>25kg/桶，原料仓库</w:t>
            </w:r>
          </w:p>
        </w:tc>
      </w:tr>
      <w:tr w14:paraId="4B57A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35" w:type="dxa"/>
            <w:gridSpan w:val="9"/>
          </w:tcPr>
          <w:p w14:paraId="3B08BD4A">
            <w:pPr>
              <w:spacing w:before="176" w:line="213" w:lineRule="auto"/>
              <w:ind w:left="1047"/>
              <w:jc w:val="center"/>
              <w:rPr>
                <w:rFonts w:eastAsia="Times New Roman"/>
                <w:spacing w:val="-1"/>
                <w:szCs w:val="21"/>
              </w:rPr>
            </w:pPr>
            <w:r>
              <w:rPr>
                <w:szCs w:val="21"/>
              </w:rPr>
              <w:t>淮南锦德生物科技有限公司</w:t>
            </w:r>
          </w:p>
        </w:tc>
      </w:tr>
      <w:tr w14:paraId="061D2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22" w:type="dxa"/>
            <w:gridSpan w:val="2"/>
          </w:tcPr>
          <w:p w14:paraId="1E1005AF">
            <w:pPr>
              <w:spacing w:before="190" w:line="187" w:lineRule="auto"/>
              <w:ind w:left="166"/>
              <w:rPr>
                <w:szCs w:val="21"/>
              </w:rPr>
            </w:pPr>
            <w:r>
              <w:rPr>
                <w:szCs w:val="21"/>
              </w:rPr>
              <w:t>5</w:t>
            </w:r>
          </w:p>
        </w:tc>
        <w:tc>
          <w:tcPr>
            <w:tcW w:w="1190" w:type="dxa"/>
            <w:gridSpan w:val="2"/>
          </w:tcPr>
          <w:p w14:paraId="31B6913E">
            <w:pPr>
              <w:spacing w:before="154" w:line="220" w:lineRule="auto"/>
              <w:rPr>
                <w:spacing w:val="-2"/>
                <w:szCs w:val="21"/>
              </w:rPr>
            </w:pPr>
            <w:r>
              <w:rPr>
                <w:szCs w:val="21"/>
              </w:rPr>
              <w:t>镁屑</w:t>
            </w:r>
          </w:p>
        </w:tc>
        <w:tc>
          <w:tcPr>
            <w:tcW w:w="1435" w:type="dxa"/>
            <w:gridSpan w:val="2"/>
          </w:tcPr>
          <w:p w14:paraId="5441934D">
            <w:pPr>
              <w:spacing w:before="190" w:line="187" w:lineRule="auto"/>
              <w:ind w:left="522"/>
              <w:rPr>
                <w:spacing w:val="-1"/>
                <w:szCs w:val="21"/>
              </w:rPr>
            </w:pPr>
            <w:r>
              <w:rPr>
                <w:spacing w:val="-1"/>
                <w:szCs w:val="21"/>
              </w:rPr>
              <w:t>160</w:t>
            </w:r>
          </w:p>
        </w:tc>
        <w:tc>
          <w:tcPr>
            <w:tcW w:w="1956" w:type="dxa"/>
          </w:tcPr>
          <w:p w14:paraId="7493A7D9">
            <w:pPr>
              <w:widowControl/>
              <w:jc w:val="left"/>
              <w:rPr>
                <w:spacing w:val="-4"/>
                <w:szCs w:val="21"/>
              </w:rPr>
            </w:pPr>
            <w:r>
              <w:rPr>
                <w:kern w:val="0"/>
                <w:sz w:val="20"/>
              </w:rPr>
              <w:t>易燃</w:t>
            </w:r>
          </w:p>
        </w:tc>
        <w:tc>
          <w:tcPr>
            <w:tcW w:w="3332" w:type="dxa"/>
            <w:gridSpan w:val="2"/>
          </w:tcPr>
          <w:p w14:paraId="187739E7">
            <w:pPr>
              <w:widowControl/>
              <w:jc w:val="left"/>
              <w:rPr>
                <w:rFonts w:eastAsia="Times New Roman"/>
                <w:spacing w:val="-1"/>
                <w:szCs w:val="21"/>
              </w:rPr>
            </w:pPr>
            <w:r>
              <w:rPr>
                <w:kern w:val="0"/>
                <w:sz w:val="20"/>
              </w:rPr>
              <w:t>甲类仓库一</w:t>
            </w:r>
          </w:p>
        </w:tc>
      </w:tr>
      <w:tr w14:paraId="7BB88A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8635" w:type="dxa"/>
            <w:gridSpan w:val="9"/>
          </w:tcPr>
          <w:p w14:paraId="534881A7">
            <w:pPr>
              <w:spacing w:before="176" w:line="213" w:lineRule="auto"/>
              <w:ind w:left="1047"/>
              <w:jc w:val="center"/>
              <w:rPr>
                <w:rFonts w:eastAsia="Times New Roman"/>
                <w:spacing w:val="-1"/>
                <w:szCs w:val="21"/>
              </w:rPr>
            </w:pPr>
            <w:r>
              <w:rPr>
                <w:szCs w:val="21"/>
              </w:rPr>
              <w:t>安徽森吉制药有限公司</w:t>
            </w:r>
          </w:p>
        </w:tc>
      </w:tr>
      <w:tr w14:paraId="27F41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722" w:type="dxa"/>
            <w:gridSpan w:val="2"/>
          </w:tcPr>
          <w:p w14:paraId="27F7D1F2">
            <w:pPr>
              <w:spacing w:before="190" w:line="187" w:lineRule="auto"/>
              <w:ind w:left="166"/>
              <w:rPr>
                <w:szCs w:val="21"/>
              </w:rPr>
            </w:pPr>
            <w:r>
              <w:rPr>
                <w:szCs w:val="21"/>
              </w:rPr>
              <w:t>6</w:t>
            </w:r>
          </w:p>
        </w:tc>
        <w:tc>
          <w:tcPr>
            <w:tcW w:w="1190" w:type="dxa"/>
            <w:gridSpan w:val="2"/>
          </w:tcPr>
          <w:p w14:paraId="07CB190D">
            <w:pPr>
              <w:spacing w:before="154" w:line="220" w:lineRule="auto"/>
              <w:rPr>
                <w:szCs w:val="21"/>
              </w:rPr>
            </w:pPr>
            <w:r>
              <w:rPr>
                <w:szCs w:val="21"/>
              </w:rPr>
              <w:t>镁屑</w:t>
            </w:r>
          </w:p>
        </w:tc>
        <w:tc>
          <w:tcPr>
            <w:tcW w:w="1435" w:type="dxa"/>
            <w:gridSpan w:val="2"/>
          </w:tcPr>
          <w:p w14:paraId="3E5BCC77">
            <w:pPr>
              <w:spacing w:before="190" w:line="187" w:lineRule="auto"/>
              <w:ind w:left="522"/>
              <w:rPr>
                <w:spacing w:val="-1"/>
                <w:szCs w:val="21"/>
              </w:rPr>
            </w:pPr>
            <w:r>
              <w:rPr>
                <w:spacing w:val="-1"/>
                <w:szCs w:val="21"/>
              </w:rPr>
              <w:t>1.25</w:t>
            </w:r>
          </w:p>
        </w:tc>
        <w:tc>
          <w:tcPr>
            <w:tcW w:w="1956" w:type="dxa"/>
          </w:tcPr>
          <w:p w14:paraId="697D2012">
            <w:pPr>
              <w:spacing w:before="156" w:line="219" w:lineRule="auto"/>
              <w:ind w:left="225"/>
              <w:rPr>
                <w:spacing w:val="-4"/>
                <w:szCs w:val="21"/>
              </w:rPr>
            </w:pPr>
            <w:r>
              <w:rPr>
                <w:kern w:val="0"/>
                <w:sz w:val="20"/>
              </w:rPr>
              <w:t>易燃固体</w:t>
            </w:r>
          </w:p>
        </w:tc>
        <w:tc>
          <w:tcPr>
            <w:tcW w:w="3332" w:type="dxa"/>
            <w:gridSpan w:val="2"/>
          </w:tcPr>
          <w:p w14:paraId="447C450C">
            <w:pPr>
              <w:spacing w:before="176" w:line="213" w:lineRule="auto"/>
              <w:rPr>
                <w:rFonts w:eastAsia="Times New Roman"/>
                <w:spacing w:val="-1"/>
                <w:szCs w:val="21"/>
              </w:rPr>
            </w:pPr>
            <w:r>
              <w:rPr>
                <w:rStyle w:val="59"/>
                <w:rFonts w:ascii="Times New Roman" w:hAnsi="Times New Roman"/>
                <w:sz w:val="21"/>
                <w:szCs w:val="21"/>
              </w:rPr>
              <w:t>桶装、危险品库三</w:t>
            </w:r>
          </w:p>
        </w:tc>
      </w:tr>
      <w:tr w14:paraId="4E38F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22" w:type="dxa"/>
            <w:gridSpan w:val="2"/>
          </w:tcPr>
          <w:p w14:paraId="0215FE02">
            <w:pPr>
              <w:spacing w:before="190" w:line="187" w:lineRule="auto"/>
              <w:ind w:left="166"/>
              <w:rPr>
                <w:szCs w:val="21"/>
              </w:rPr>
            </w:pPr>
            <w:r>
              <w:rPr>
                <w:szCs w:val="21"/>
              </w:rPr>
              <w:t>7</w:t>
            </w:r>
          </w:p>
        </w:tc>
        <w:tc>
          <w:tcPr>
            <w:tcW w:w="1190" w:type="dxa"/>
            <w:gridSpan w:val="2"/>
          </w:tcPr>
          <w:p w14:paraId="0DF8DEA4">
            <w:pPr>
              <w:spacing w:before="154" w:line="220" w:lineRule="auto"/>
              <w:rPr>
                <w:szCs w:val="21"/>
              </w:rPr>
            </w:pPr>
            <w:r>
              <w:rPr>
                <w:szCs w:val="21"/>
                <w:lang w:val="zh-CN"/>
              </w:rPr>
              <w:t>硼氢化钠</w:t>
            </w:r>
          </w:p>
        </w:tc>
        <w:tc>
          <w:tcPr>
            <w:tcW w:w="1435" w:type="dxa"/>
            <w:gridSpan w:val="2"/>
          </w:tcPr>
          <w:p w14:paraId="68B0DFF0">
            <w:pPr>
              <w:spacing w:before="190" w:line="187" w:lineRule="auto"/>
              <w:ind w:left="522"/>
              <w:rPr>
                <w:spacing w:val="-1"/>
                <w:szCs w:val="21"/>
              </w:rPr>
            </w:pPr>
            <w:r>
              <w:rPr>
                <w:spacing w:val="-1"/>
                <w:szCs w:val="21"/>
              </w:rPr>
              <w:t>1.41</w:t>
            </w:r>
          </w:p>
        </w:tc>
        <w:tc>
          <w:tcPr>
            <w:tcW w:w="1956" w:type="dxa"/>
          </w:tcPr>
          <w:p w14:paraId="47B6109F">
            <w:pPr>
              <w:spacing w:before="156" w:line="219" w:lineRule="auto"/>
              <w:ind w:left="225"/>
              <w:rPr>
                <w:spacing w:val="-4"/>
                <w:szCs w:val="21"/>
              </w:rPr>
            </w:pPr>
            <w:r>
              <w:rPr>
                <w:kern w:val="0"/>
                <w:sz w:val="20"/>
              </w:rPr>
              <w:t>氧化剂</w:t>
            </w:r>
          </w:p>
        </w:tc>
        <w:tc>
          <w:tcPr>
            <w:tcW w:w="3332" w:type="dxa"/>
            <w:gridSpan w:val="2"/>
          </w:tcPr>
          <w:p w14:paraId="14A1890C">
            <w:pPr>
              <w:spacing w:before="176" w:line="213" w:lineRule="auto"/>
              <w:rPr>
                <w:rFonts w:eastAsia="Times New Roman"/>
                <w:spacing w:val="-1"/>
                <w:szCs w:val="21"/>
              </w:rPr>
            </w:pPr>
            <w:r>
              <w:rPr>
                <w:rStyle w:val="59"/>
                <w:rFonts w:ascii="Times New Roman" w:hAnsi="Times New Roman"/>
                <w:sz w:val="21"/>
                <w:szCs w:val="21"/>
              </w:rPr>
              <w:t>桶装、危险品库三</w:t>
            </w:r>
          </w:p>
        </w:tc>
      </w:tr>
    </w:tbl>
    <w:p w14:paraId="50869125">
      <w:pPr>
        <w:spacing w:before="238" w:line="219" w:lineRule="auto"/>
        <w:ind w:left="683"/>
        <w:rPr>
          <w:rFonts w:eastAsiaTheme="minorEastAsia"/>
          <w:b/>
          <w:sz w:val="24"/>
          <w:szCs w:val="24"/>
        </w:rPr>
      </w:pPr>
      <w:bookmarkStart w:id="142" w:name="_bookmark47"/>
      <w:bookmarkEnd w:id="142"/>
      <w:r>
        <w:rPr>
          <w:rFonts w:eastAsiaTheme="minorEastAsia"/>
          <w:b/>
          <w:sz w:val="24"/>
          <w:szCs w:val="24"/>
        </w:rPr>
        <w:t>（4） 易制毒化学品辨识</w:t>
      </w:r>
    </w:p>
    <w:p w14:paraId="5852029C">
      <w:pPr>
        <w:widowControl/>
        <w:spacing w:line="360" w:lineRule="auto"/>
        <w:ind w:firstLine="480" w:firstLineChars="200"/>
        <w:jc w:val="left"/>
        <w:rPr>
          <w:sz w:val="24"/>
        </w:rPr>
      </w:pPr>
      <w:r>
        <w:rPr>
          <w:sz w:val="24"/>
        </w:rPr>
        <w:t>对照《易制毒化学品管理条例(2018)》(国务院令第445号，国务院令第666号修改，国务院令第703号修改)，化工园区四至范围内已入驻的德邦化工、恒诚制药、水卫士环保科技、国瑞药业四家化工企业，块二正在建设的三家化工为企业淮南锦德生物科技有限公司、安徽森吉制药有限公司和安徽山河药用辅料股份有限公司，涉及的易制毒危险化学品如表7.1-4。</w:t>
      </w:r>
    </w:p>
    <w:p w14:paraId="110BAFB1">
      <w:pPr>
        <w:widowControl/>
        <w:spacing w:line="360" w:lineRule="auto"/>
        <w:ind w:firstLine="480" w:firstLineChars="200"/>
        <w:jc w:val="center"/>
        <w:rPr>
          <w:sz w:val="24"/>
        </w:rPr>
      </w:pPr>
      <w:r>
        <w:rPr>
          <w:sz w:val="24"/>
        </w:rPr>
        <w:t>表7.1-4、化工园区易制毒危险化学品辨识表</w:t>
      </w:r>
    </w:p>
    <w:tbl>
      <w:tblPr>
        <w:tblStyle w:val="58"/>
        <w:tblW w:w="8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4"/>
        <w:gridCol w:w="8"/>
        <w:gridCol w:w="1108"/>
        <w:gridCol w:w="37"/>
        <w:gridCol w:w="21"/>
        <w:gridCol w:w="1370"/>
        <w:gridCol w:w="36"/>
        <w:gridCol w:w="2305"/>
        <w:gridCol w:w="53"/>
        <w:gridCol w:w="2735"/>
      </w:tblGrid>
      <w:tr w14:paraId="3DB5A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2308B884">
            <w:pPr>
              <w:spacing w:before="154" w:line="222" w:lineRule="auto"/>
              <w:ind w:left="146"/>
              <w:rPr>
                <w:szCs w:val="21"/>
              </w:rPr>
            </w:pPr>
            <w:r>
              <w:rPr>
                <w:spacing w:val="-2"/>
                <w:szCs w:val="21"/>
              </w:rPr>
              <w:t>序</w:t>
            </w:r>
            <w:r>
              <w:rPr>
                <w:spacing w:val="-1"/>
                <w:szCs w:val="21"/>
              </w:rPr>
              <w:t>号</w:t>
            </w:r>
          </w:p>
        </w:tc>
        <w:tc>
          <w:tcPr>
            <w:tcW w:w="1166" w:type="dxa"/>
            <w:gridSpan w:val="3"/>
          </w:tcPr>
          <w:p w14:paraId="65AC0F0E">
            <w:pPr>
              <w:spacing w:before="154" w:line="221" w:lineRule="auto"/>
              <w:ind w:left="164"/>
              <w:rPr>
                <w:szCs w:val="21"/>
              </w:rPr>
            </w:pPr>
            <w:r>
              <w:rPr>
                <w:spacing w:val="-1"/>
                <w:szCs w:val="21"/>
              </w:rPr>
              <w:t>物质名</w:t>
            </w:r>
            <w:r>
              <w:rPr>
                <w:szCs w:val="21"/>
              </w:rPr>
              <w:t>称</w:t>
            </w:r>
          </w:p>
        </w:tc>
        <w:tc>
          <w:tcPr>
            <w:tcW w:w="1406" w:type="dxa"/>
            <w:gridSpan w:val="2"/>
          </w:tcPr>
          <w:p w14:paraId="7AAFA330">
            <w:pPr>
              <w:spacing w:before="154" w:line="234" w:lineRule="auto"/>
              <w:ind w:left="112"/>
              <w:rPr>
                <w:szCs w:val="21"/>
              </w:rPr>
            </w:pPr>
            <w:r>
              <w:rPr>
                <w:spacing w:val="8"/>
                <w:szCs w:val="21"/>
              </w:rPr>
              <w:t>最大储量(</w:t>
            </w:r>
            <w:r>
              <w:rPr>
                <w:rFonts w:eastAsia="Times New Roman"/>
                <w:b/>
                <w:bCs/>
                <w:szCs w:val="21"/>
              </w:rPr>
              <w:t>t</w:t>
            </w:r>
            <w:r>
              <w:rPr>
                <w:spacing w:val="8"/>
                <w:szCs w:val="21"/>
              </w:rPr>
              <w:t>)</w:t>
            </w:r>
          </w:p>
        </w:tc>
        <w:tc>
          <w:tcPr>
            <w:tcW w:w="2358" w:type="dxa"/>
            <w:gridSpan w:val="2"/>
          </w:tcPr>
          <w:p w14:paraId="663C5191">
            <w:pPr>
              <w:spacing w:before="153" w:line="221" w:lineRule="auto"/>
              <w:ind w:left="659"/>
              <w:rPr>
                <w:szCs w:val="21"/>
              </w:rPr>
            </w:pPr>
            <w:r>
              <w:rPr>
                <w:spacing w:val="-1"/>
                <w:szCs w:val="21"/>
              </w:rPr>
              <w:t>化学品</w:t>
            </w:r>
            <w:r>
              <w:rPr>
                <w:szCs w:val="21"/>
              </w:rPr>
              <w:t>类别</w:t>
            </w:r>
          </w:p>
        </w:tc>
        <w:tc>
          <w:tcPr>
            <w:tcW w:w="2735" w:type="dxa"/>
          </w:tcPr>
          <w:p w14:paraId="7484EA29">
            <w:pPr>
              <w:spacing w:before="153" w:line="221" w:lineRule="auto"/>
              <w:rPr>
                <w:szCs w:val="21"/>
              </w:rPr>
            </w:pPr>
            <w:r>
              <w:rPr>
                <w:spacing w:val="1"/>
                <w:szCs w:val="21"/>
              </w:rPr>
              <w:t>主要储</w:t>
            </w:r>
            <w:r>
              <w:rPr>
                <w:szCs w:val="21"/>
              </w:rPr>
              <w:t>存 (存在) 场所</w:t>
            </w:r>
          </w:p>
        </w:tc>
      </w:tr>
      <w:tr w14:paraId="57D1F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8372" w:type="dxa"/>
            <w:gridSpan w:val="11"/>
          </w:tcPr>
          <w:p w14:paraId="36C4054F">
            <w:pPr>
              <w:spacing w:before="122" w:line="221" w:lineRule="auto"/>
              <w:ind w:left="4288"/>
              <w:rPr>
                <w:szCs w:val="21"/>
              </w:rPr>
            </w:pPr>
            <w:r>
              <w:rPr>
                <w:spacing w:val="-1"/>
                <w:szCs w:val="21"/>
              </w:rPr>
              <w:t>德邦化工</w:t>
            </w:r>
          </w:p>
        </w:tc>
      </w:tr>
      <w:tr w14:paraId="6F0BE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4A4D6A6E">
            <w:pPr>
              <w:spacing w:before="189" w:line="187" w:lineRule="auto"/>
              <w:ind w:left="166"/>
              <w:rPr>
                <w:rFonts w:eastAsia="Times New Roman"/>
                <w:szCs w:val="21"/>
              </w:rPr>
            </w:pPr>
            <w:r>
              <w:rPr>
                <w:rFonts w:eastAsia="Times New Roman"/>
                <w:szCs w:val="21"/>
              </w:rPr>
              <w:t>1</w:t>
            </w:r>
          </w:p>
        </w:tc>
        <w:tc>
          <w:tcPr>
            <w:tcW w:w="1166" w:type="dxa"/>
            <w:gridSpan w:val="3"/>
          </w:tcPr>
          <w:p w14:paraId="3DACCD60">
            <w:pPr>
              <w:spacing w:before="153" w:line="222" w:lineRule="auto"/>
              <w:ind w:left="377"/>
              <w:rPr>
                <w:szCs w:val="21"/>
              </w:rPr>
            </w:pPr>
            <w:r>
              <w:rPr>
                <w:spacing w:val="-2"/>
                <w:szCs w:val="21"/>
              </w:rPr>
              <w:t>盐酸</w:t>
            </w:r>
          </w:p>
        </w:tc>
        <w:tc>
          <w:tcPr>
            <w:tcW w:w="1406" w:type="dxa"/>
            <w:gridSpan w:val="2"/>
          </w:tcPr>
          <w:p w14:paraId="487CDB08">
            <w:pPr>
              <w:spacing w:before="189" w:line="187" w:lineRule="auto"/>
              <w:ind w:left="523"/>
              <w:rPr>
                <w:rFonts w:eastAsia="Times New Roman"/>
                <w:szCs w:val="21"/>
              </w:rPr>
            </w:pPr>
            <w:r>
              <w:rPr>
                <w:rFonts w:eastAsia="Times New Roman"/>
                <w:spacing w:val="-2"/>
                <w:szCs w:val="21"/>
              </w:rPr>
              <w:t>3</w:t>
            </w:r>
            <w:r>
              <w:rPr>
                <w:rFonts w:eastAsia="Times New Roman"/>
                <w:spacing w:val="-1"/>
                <w:szCs w:val="21"/>
              </w:rPr>
              <w:t>1.3</w:t>
            </w:r>
          </w:p>
        </w:tc>
        <w:tc>
          <w:tcPr>
            <w:tcW w:w="2358" w:type="dxa"/>
            <w:gridSpan w:val="2"/>
          </w:tcPr>
          <w:p w14:paraId="32BF6417">
            <w:pPr>
              <w:spacing w:before="153" w:line="221" w:lineRule="auto"/>
              <w:ind w:left="238"/>
              <w:rPr>
                <w:szCs w:val="21"/>
              </w:rPr>
            </w:pPr>
            <w:r>
              <w:rPr>
                <w:spacing w:val="-1"/>
                <w:szCs w:val="21"/>
              </w:rPr>
              <w:t>第三类易制</w:t>
            </w:r>
            <w:r>
              <w:rPr>
                <w:szCs w:val="21"/>
              </w:rPr>
              <w:t>毒化学品</w:t>
            </w:r>
          </w:p>
        </w:tc>
        <w:tc>
          <w:tcPr>
            <w:tcW w:w="2735" w:type="dxa"/>
          </w:tcPr>
          <w:p w14:paraId="6B471A63">
            <w:pPr>
              <w:spacing w:before="25" w:line="232" w:lineRule="auto"/>
              <w:rPr>
                <w:szCs w:val="21"/>
              </w:rPr>
            </w:pPr>
            <w:r>
              <w:rPr>
                <w:rFonts w:eastAsia="Times New Roman"/>
                <w:spacing w:val="-7"/>
                <w:szCs w:val="21"/>
              </w:rPr>
              <w:t>1</w:t>
            </w:r>
            <w:r>
              <w:rPr>
                <w:spacing w:val="-5"/>
                <w:szCs w:val="21"/>
              </w:rPr>
              <w:t>台</w:t>
            </w:r>
            <w:r>
              <w:rPr>
                <w:rFonts w:eastAsia="Times New Roman"/>
                <w:spacing w:val="-5"/>
                <w:szCs w:val="21"/>
              </w:rPr>
              <w:t>23m</w:t>
            </w:r>
            <w:r>
              <w:rPr>
                <w:rFonts w:eastAsia="Times New Roman"/>
                <w:spacing w:val="-5"/>
                <w:position w:val="9"/>
                <w:sz w:val="13"/>
                <w:szCs w:val="13"/>
              </w:rPr>
              <w:t>3</w:t>
            </w:r>
            <w:r>
              <w:rPr>
                <w:spacing w:val="-5"/>
                <w:szCs w:val="21"/>
              </w:rPr>
              <w:t>盐酸储罐</w:t>
            </w:r>
          </w:p>
          <w:p w14:paraId="2747D63A">
            <w:pPr>
              <w:spacing w:before="8" w:line="232" w:lineRule="auto"/>
              <w:rPr>
                <w:szCs w:val="21"/>
              </w:rPr>
            </w:pPr>
            <w:r>
              <w:rPr>
                <w:rFonts w:eastAsia="Times New Roman"/>
                <w:spacing w:val="-8"/>
                <w:szCs w:val="21"/>
              </w:rPr>
              <w:t>1</w:t>
            </w:r>
            <w:r>
              <w:rPr>
                <w:spacing w:val="-6"/>
                <w:szCs w:val="21"/>
              </w:rPr>
              <w:t>台</w:t>
            </w:r>
            <w:r>
              <w:rPr>
                <w:rFonts w:eastAsia="Times New Roman"/>
                <w:spacing w:val="-4"/>
                <w:szCs w:val="21"/>
              </w:rPr>
              <w:t>6.5m</w:t>
            </w:r>
            <w:r>
              <w:rPr>
                <w:rFonts w:eastAsia="Times New Roman"/>
                <w:spacing w:val="-4"/>
                <w:position w:val="9"/>
                <w:sz w:val="13"/>
                <w:szCs w:val="13"/>
              </w:rPr>
              <w:t>3</w:t>
            </w:r>
            <w:r>
              <w:rPr>
                <w:spacing w:val="-4"/>
                <w:szCs w:val="21"/>
              </w:rPr>
              <w:t>盐酸储罐</w:t>
            </w:r>
          </w:p>
        </w:tc>
      </w:tr>
      <w:tr w14:paraId="79FB8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72" w:type="dxa"/>
            <w:gridSpan w:val="11"/>
          </w:tcPr>
          <w:p w14:paraId="07EDA156">
            <w:pPr>
              <w:spacing w:before="124" w:line="221" w:lineRule="auto"/>
              <w:ind w:left="4308"/>
              <w:rPr>
                <w:szCs w:val="21"/>
              </w:rPr>
            </w:pPr>
            <w:r>
              <w:rPr>
                <w:spacing w:val="-7"/>
                <w:szCs w:val="21"/>
              </w:rPr>
              <w:t>国</w:t>
            </w:r>
            <w:r>
              <w:rPr>
                <w:spacing w:val="-4"/>
                <w:szCs w:val="21"/>
              </w:rPr>
              <w:t>瑞药业</w:t>
            </w:r>
          </w:p>
        </w:tc>
      </w:tr>
      <w:tr w14:paraId="5EEDC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5D263619">
            <w:pPr>
              <w:spacing w:before="184" w:line="187" w:lineRule="auto"/>
              <w:ind w:left="145"/>
              <w:rPr>
                <w:rFonts w:eastAsia="Times New Roman"/>
                <w:szCs w:val="21"/>
              </w:rPr>
            </w:pPr>
            <w:r>
              <w:rPr>
                <w:rFonts w:eastAsia="Times New Roman"/>
                <w:szCs w:val="21"/>
              </w:rPr>
              <w:t>2</w:t>
            </w:r>
          </w:p>
        </w:tc>
        <w:tc>
          <w:tcPr>
            <w:tcW w:w="1166" w:type="dxa"/>
            <w:gridSpan w:val="3"/>
          </w:tcPr>
          <w:p w14:paraId="085AD0CB">
            <w:pPr>
              <w:spacing w:before="151" w:line="221" w:lineRule="auto"/>
              <w:ind w:left="380"/>
              <w:rPr>
                <w:szCs w:val="21"/>
              </w:rPr>
            </w:pPr>
            <w:r>
              <w:rPr>
                <w:spacing w:val="-4"/>
                <w:szCs w:val="21"/>
              </w:rPr>
              <w:t>丙</w:t>
            </w:r>
            <w:r>
              <w:rPr>
                <w:spacing w:val="-2"/>
                <w:szCs w:val="21"/>
              </w:rPr>
              <w:t>酮</w:t>
            </w:r>
          </w:p>
        </w:tc>
        <w:tc>
          <w:tcPr>
            <w:tcW w:w="1406" w:type="dxa"/>
            <w:gridSpan w:val="2"/>
          </w:tcPr>
          <w:p w14:paraId="4D6FE7B0">
            <w:pPr>
              <w:spacing w:before="184" w:line="187" w:lineRule="auto"/>
              <w:ind w:left="592"/>
              <w:rPr>
                <w:rFonts w:eastAsia="Times New Roman"/>
                <w:szCs w:val="21"/>
              </w:rPr>
            </w:pPr>
            <w:r>
              <w:rPr>
                <w:rFonts w:eastAsia="Times New Roman"/>
                <w:spacing w:val="-6"/>
                <w:szCs w:val="21"/>
              </w:rPr>
              <w:t>1</w:t>
            </w:r>
            <w:r>
              <w:rPr>
                <w:rFonts w:eastAsia="Times New Roman"/>
                <w:spacing w:val="-4"/>
                <w:szCs w:val="21"/>
              </w:rPr>
              <w:t>.1</w:t>
            </w:r>
          </w:p>
        </w:tc>
        <w:tc>
          <w:tcPr>
            <w:tcW w:w="2358" w:type="dxa"/>
            <w:gridSpan w:val="2"/>
          </w:tcPr>
          <w:p w14:paraId="55DD5A5B">
            <w:pPr>
              <w:spacing w:before="150" w:line="221" w:lineRule="auto"/>
              <w:ind w:left="238"/>
              <w:rPr>
                <w:szCs w:val="21"/>
              </w:rPr>
            </w:pPr>
            <w:r>
              <w:rPr>
                <w:spacing w:val="-1"/>
                <w:szCs w:val="21"/>
              </w:rPr>
              <w:t>第三类易制</w:t>
            </w:r>
            <w:r>
              <w:rPr>
                <w:szCs w:val="21"/>
              </w:rPr>
              <w:t>毒化学品</w:t>
            </w:r>
          </w:p>
        </w:tc>
        <w:tc>
          <w:tcPr>
            <w:tcW w:w="2735" w:type="dxa"/>
          </w:tcPr>
          <w:p w14:paraId="593FDF71">
            <w:pPr>
              <w:spacing w:before="172" w:line="221" w:lineRule="auto"/>
              <w:rPr>
                <w:szCs w:val="21"/>
              </w:rPr>
            </w:pPr>
            <w:r>
              <w:rPr>
                <w:rFonts w:eastAsia="Times New Roman"/>
                <w:spacing w:val="-1"/>
                <w:szCs w:val="21"/>
              </w:rPr>
              <w:t>25</w:t>
            </w:r>
            <w:r>
              <w:rPr>
                <w:rFonts w:eastAsia="Times New Roman"/>
                <w:szCs w:val="21"/>
              </w:rPr>
              <w:t>L</w:t>
            </w:r>
            <w:r>
              <w:rPr>
                <w:szCs w:val="21"/>
              </w:rPr>
              <w:t>桶装，易制毒库</w:t>
            </w:r>
          </w:p>
        </w:tc>
      </w:tr>
      <w:tr w14:paraId="50DEC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66989446">
            <w:pPr>
              <w:spacing w:before="187" w:line="187" w:lineRule="auto"/>
              <w:ind w:left="150"/>
              <w:rPr>
                <w:rFonts w:eastAsia="Times New Roman"/>
                <w:szCs w:val="21"/>
              </w:rPr>
            </w:pPr>
            <w:r>
              <w:rPr>
                <w:rFonts w:eastAsia="Times New Roman"/>
                <w:szCs w:val="21"/>
              </w:rPr>
              <w:t>3</w:t>
            </w:r>
          </w:p>
        </w:tc>
        <w:tc>
          <w:tcPr>
            <w:tcW w:w="1166" w:type="dxa"/>
            <w:gridSpan w:val="3"/>
          </w:tcPr>
          <w:p w14:paraId="535B6379">
            <w:pPr>
              <w:spacing w:before="153" w:line="222" w:lineRule="auto"/>
              <w:ind w:left="377"/>
              <w:rPr>
                <w:szCs w:val="21"/>
              </w:rPr>
            </w:pPr>
            <w:r>
              <w:rPr>
                <w:spacing w:val="-2"/>
                <w:szCs w:val="21"/>
              </w:rPr>
              <w:t>盐酸</w:t>
            </w:r>
          </w:p>
        </w:tc>
        <w:tc>
          <w:tcPr>
            <w:tcW w:w="1406" w:type="dxa"/>
            <w:gridSpan w:val="2"/>
          </w:tcPr>
          <w:p w14:paraId="36A44E57">
            <w:pPr>
              <w:spacing w:before="187" w:line="187" w:lineRule="auto"/>
              <w:ind w:left="575"/>
              <w:rPr>
                <w:rFonts w:eastAsia="Times New Roman"/>
                <w:szCs w:val="21"/>
              </w:rPr>
            </w:pPr>
            <w:r>
              <w:rPr>
                <w:rFonts w:eastAsia="Times New Roman"/>
                <w:spacing w:val="-2"/>
                <w:szCs w:val="21"/>
              </w:rPr>
              <w:t>0</w:t>
            </w:r>
            <w:r>
              <w:rPr>
                <w:rFonts w:eastAsia="Times New Roman"/>
                <w:spacing w:val="-1"/>
                <w:szCs w:val="21"/>
              </w:rPr>
              <w:t>.6</w:t>
            </w:r>
          </w:p>
        </w:tc>
        <w:tc>
          <w:tcPr>
            <w:tcW w:w="2358" w:type="dxa"/>
            <w:gridSpan w:val="2"/>
          </w:tcPr>
          <w:p w14:paraId="36631E76">
            <w:pPr>
              <w:spacing w:before="153" w:line="221" w:lineRule="auto"/>
              <w:ind w:left="238"/>
              <w:rPr>
                <w:szCs w:val="21"/>
              </w:rPr>
            </w:pPr>
            <w:r>
              <w:rPr>
                <w:spacing w:val="-1"/>
                <w:szCs w:val="21"/>
              </w:rPr>
              <w:t>第三类易制</w:t>
            </w:r>
            <w:r>
              <w:rPr>
                <w:szCs w:val="21"/>
              </w:rPr>
              <w:t>毒化学品</w:t>
            </w:r>
          </w:p>
        </w:tc>
        <w:tc>
          <w:tcPr>
            <w:tcW w:w="2735" w:type="dxa"/>
          </w:tcPr>
          <w:p w14:paraId="368F32E3">
            <w:pPr>
              <w:spacing w:before="172"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7AEA0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3DC2AD8A">
            <w:pPr>
              <w:spacing w:before="188" w:line="187" w:lineRule="auto"/>
              <w:ind w:left="144"/>
              <w:rPr>
                <w:rFonts w:eastAsia="Times New Roman"/>
                <w:szCs w:val="21"/>
              </w:rPr>
            </w:pPr>
            <w:r>
              <w:rPr>
                <w:rFonts w:eastAsia="Times New Roman"/>
                <w:szCs w:val="21"/>
              </w:rPr>
              <w:t>4</w:t>
            </w:r>
          </w:p>
        </w:tc>
        <w:tc>
          <w:tcPr>
            <w:tcW w:w="1166" w:type="dxa"/>
            <w:gridSpan w:val="3"/>
          </w:tcPr>
          <w:p w14:paraId="70601F3E">
            <w:pPr>
              <w:spacing w:before="152" w:line="220" w:lineRule="auto"/>
              <w:ind w:left="403"/>
              <w:rPr>
                <w:szCs w:val="21"/>
              </w:rPr>
            </w:pPr>
            <w:r>
              <w:rPr>
                <w:spacing w:val="-9"/>
                <w:szCs w:val="21"/>
              </w:rPr>
              <w:t>甲</w:t>
            </w:r>
            <w:r>
              <w:rPr>
                <w:spacing w:val="-8"/>
                <w:szCs w:val="21"/>
              </w:rPr>
              <w:t>苯</w:t>
            </w:r>
          </w:p>
        </w:tc>
        <w:tc>
          <w:tcPr>
            <w:tcW w:w="1406" w:type="dxa"/>
            <w:gridSpan w:val="2"/>
          </w:tcPr>
          <w:p w14:paraId="0FFC96CA">
            <w:pPr>
              <w:spacing w:before="188" w:line="187" w:lineRule="auto"/>
              <w:ind w:left="522"/>
              <w:rPr>
                <w:rFonts w:eastAsia="Times New Roman"/>
                <w:szCs w:val="21"/>
              </w:rPr>
            </w:pPr>
            <w:r>
              <w:rPr>
                <w:rFonts w:eastAsia="Times New Roman"/>
                <w:spacing w:val="-1"/>
                <w:szCs w:val="21"/>
              </w:rPr>
              <w:t>0.47</w:t>
            </w:r>
          </w:p>
        </w:tc>
        <w:tc>
          <w:tcPr>
            <w:tcW w:w="2358" w:type="dxa"/>
            <w:gridSpan w:val="2"/>
          </w:tcPr>
          <w:p w14:paraId="3B5A0F85">
            <w:pPr>
              <w:spacing w:before="152" w:line="221" w:lineRule="auto"/>
              <w:ind w:left="238"/>
              <w:rPr>
                <w:szCs w:val="21"/>
              </w:rPr>
            </w:pPr>
            <w:r>
              <w:rPr>
                <w:spacing w:val="-1"/>
                <w:szCs w:val="21"/>
              </w:rPr>
              <w:t>第三类易制</w:t>
            </w:r>
            <w:r>
              <w:rPr>
                <w:szCs w:val="21"/>
              </w:rPr>
              <w:t>毒化学品</w:t>
            </w:r>
          </w:p>
        </w:tc>
        <w:tc>
          <w:tcPr>
            <w:tcW w:w="2735" w:type="dxa"/>
          </w:tcPr>
          <w:p w14:paraId="1799B84F">
            <w:pPr>
              <w:spacing w:before="173"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651EF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49660B90">
            <w:pPr>
              <w:spacing w:before="189" w:line="184" w:lineRule="auto"/>
              <w:ind w:left="151"/>
              <w:rPr>
                <w:rFonts w:eastAsia="Times New Roman"/>
                <w:szCs w:val="21"/>
              </w:rPr>
            </w:pPr>
            <w:r>
              <w:rPr>
                <w:rFonts w:eastAsia="Times New Roman"/>
                <w:szCs w:val="21"/>
              </w:rPr>
              <w:t>5</w:t>
            </w:r>
          </w:p>
        </w:tc>
        <w:tc>
          <w:tcPr>
            <w:tcW w:w="1166" w:type="dxa"/>
            <w:gridSpan w:val="3"/>
          </w:tcPr>
          <w:p w14:paraId="29E6E4EC">
            <w:pPr>
              <w:spacing w:before="152" w:line="222" w:lineRule="auto"/>
              <w:ind w:left="287"/>
              <w:rPr>
                <w:szCs w:val="21"/>
              </w:rPr>
            </w:pPr>
            <w:r>
              <w:rPr>
                <w:spacing w:val="-5"/>
                <w:szCs w:val="21"/>
              </w:rPr>
              <w:t>乙酸酐</w:t>
            </w:r>
          </w:p>
        </w:tc>
        <w:tc>
          <w:tcPr>
            <w:tcW w:w="1406" w:type="dxa"/>
            <w:gridSpan w:val="2"/>
          </w:tcPr>
          <w:p w14:paraId="115CBC63">
            <w:pPr>
              <w:spacing w:before="186" w:line="187" w:lineRule="auto"/>
              <w:ind w:left="522"/>
              <w:rPr>
                <w:rFonts w:eastAsia="Times New Roman"/>
                <w:szCs w:val="21"/>
              </w:rPr>
            </w:pPr>
            <w:r>
              <w:rPr>
                <w:rFonts w:eastAsia="Times New Roman"/>
                <w:spacing w:val="-1"/>
                <w:szCs w:val="21"/>
              </w:rPr>
              <w:t>0.13</w:t>
            </w:r>
          </w:p>
        </w:tc>
        <w:tc>
          <w:tcPr>
            <w:tcW w:w="2358" w:type="dxa"/>
            <w:gridSpan w:val="2"/>
          </w:tcPr>
          <w:p w14:paraId="7DA677CC">
            <w:pPr>
              <w:spacing w:before="152" w:line="221" w:lineRule="auto"/>
              <w:ind w:left="238"/>
              <w:rPr>
                <w:szCs w:val="21"/>
              </w:rPr>
            </w:pPr>
            <w:r>
              <w:rPr>
                <w:spacing w:val="-1"/>
                <w:szCs w:val="21"/>
              </w:rPr>
              <w:t>第二类易制</w:t>
            </w:r>
            <w:r>
              <w:rPr>
                <w:szCs w:val="21"/>
              </w:rPr>
              <w:t>毒化学品</w:t>
            </w:r>
          </w:p>
        </w:tc>
        <w:tc>
          <w:tcPr>
            <w:tcW w:w="2735" w:type="dxa"/>
          </w:tcPr>
          <w:p w14:paraId="3B113193">
            <w:pPr>
              <w:spacing w:before="171"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03A84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7CC5037B">
            <w:pPr>
              <w:spacing w:before="189" w:line="187" w:lineRule="auto"/>
              <w:ind w:left="150"/>
              <w:rPr>
                <w:rFonts w:eastAsia="Times New Roman"/>
                <w:szCs w:val="21"/>
              </w:rPr>
            </w:pPr>
            <w:r>
              <w:rPr>
                <w:rFonts w:eastAsia="Times New Roman"/>
                <w:szCs w:val="21"/>
              </w:rPr>
              <w:t>6</w:t>
            </w:r>
          </w:p>
        </w:tc>
        <w:tc>
          <w:tcPr>
            <w:tcW w:w="1166" w:type="dxa"/>
            <w:gridSpan w:val="3"/>
          </w:tcPr>
          <w:p w14:paraId="78BC582C">
            <w:pPr>
              <w:spacing w:before="155" w:line="221" w:lineRule="auto"/>
              <w:ind w:left="167"/>
              <w:rPr>
                <w:szCs w:val="21"/>
              </w:rPr>
            </w:pPr>
            <w:r>
              <w:rPr>
                <w:spacing w:val="-2"/>
                <w:szCs w:val="21"/>
              </w:rPr>
              <w:t>三</w:t>
            </w:r>
            <w:r>
              <w:rPr>
                <w:spacing w:val="-1"/>
                <w:szCs w:val="21"/>
              </w:rPr>
              <w:t>氯甲烷</w:t>
            </w:r>
          </w:p>
        </w:tc>
        <w:tc>
          <w:tcPr>
            <w:tcW w:w="1406" w:type="dxa"/>
            <w:gridSpan w:val="2"/>
          </w:tcPr>
          <w:p w14:paraId="5D1A9482">
            <w:pPr>
              <w:spacing w:before="189" w:line="187" w:lineRule="auto"/>
              <w:ind w:left="416"/>
              <w:rPr>
                <w:rFonts w:eastAsia="Times New Roman"/>
                <w:szCs w:val="21"/>
              </w:rPr>
            </w:pPr>
            <w:r>
              <w:rPr>
                <w:rFonts w:eastAsia="Times New Roman"/>
                <w:spacing w:val="-1"/>
                <w:szCs w:val="21"/>
              </w:rPr>
              <w:t>0.00</w:t>
            </w:r>
            <w:r>
              <w:rPr>
                <w:rFonts w:eastAsia="Times New Roman"/>
                <w:szCs w:val="21"/>
              </w:rPr>
              <w:t>45</w:t>
            </w:r>
          </w:p>
        </w:tc>
        <w:tc>
          <w:tcPr>
            <w:tcW w:w="2358" w:type="dxa"/>
            <w:gridSpan w:val="2"/>
          </w:tcPr>
          <w:p w14:paraId="05D49695">
            <w:pPr>
              <w:spacing w:before="155" w:line="221" w:lineRule="auto"/>
              <w:ind w:left="238"/>
              <w:rPr>
                <w:szCs w:val="21"/>
              </w:rPr>
            </w:pPr>
            <w:r>
              <w:rPr>
                <w:spacing w:val="-1"/>
                <w:szCs w:val="21"/>
              </w:rPr>
              <w:t>第二类易制</w:t>
            </w:r>
            <w:r>
              <w:rPr>
                <w:szCs w:val="21"/>
              </w:rPr>
              <w:t>毒化学品</w:t>
            </w:r>
          </w:p>
        </w:tc>
        <w:tc>
          <w:tcPr>
            <w:tcW w:w="2735" w:type="dxa"/>
          </w:tcPr>
          <w:p w14:paraId="07F3D26C">
            <w:pPr>
              <w:spacing w:before="174"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26C67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3FB11EA2">
            <w:pPr>
              <w:spacing w:before="192" w:line="184" w:lineRule="auto"/>
              <w:ind w:left="149"/>
              <w:rPr>
                <w:rFonts w:eastAsia="Times New Roman"/>
                <w:szCs w:val="21"/>
              </w:rPr>
            </w:pPr>
            <w:r>
              <w:rPr>
                <w:rFonts w:eastAsia="Times New Roman"/>
                <w:szCs w:val="21"/>
              </w:rPr>
              <w:t>7</w:t>
            </w:r>
          </w:p>
        </w:tc>
        <w:tc>
          <w:tcPr>
            <w:tcW w:w="1166" w:type="dxa"/>
            <w:gridSpan w:val="3"/>
          </w:tcPr>
          <w:p w14:paraId="52352905">
            <w:pPr>
              <w:spacing w:before="153" w:line="225" w:lineRule="auto"/>
              <w:ind w:left="393"/>
              <w:rPr>
                <w:szCs w:val="21"/>
              </w:rPr>
            </w:pPr>
            <w:r>
              <w:rPr>
                <w:spacing w:val="-7"/>
                <w:szCs w:val="21"/>
              </w:rPr>
              <w:t>乙</w:t>
            </w:r>
            <w:r>
              <w:rPr>
                <w:spacing w:val="-5"/>
                <w:szCs w:val="21"/>
              </w:rPr>
              <w:t>醚</w:t>
            </w:r>
          </w:p>
        </w:tc>
        <w:tc>
          <w:tcPr>
            <w:tcW w:w="1406" w:type="dxa"/>
            <w:gridSpan w:val="2"/>
          </w:tcPr>
          <w:p w14:paraId="2EAB3C5E">
            <w:pPr>
              <w:spacing w:before="189" w:line="187" w:lineRule="auto"/>
              <w:ind w:left="416"/>
              <w:rPr>
                <w:rFonts w:eastAsia="Times New Roman"/>
                <w:szCs w:val="21"/>
              </w:rPr>
            </w:pPr>
            <w:r>
              <w:rPr>
                <w:rFonts w:eastAsia="Times New Roman"/>
                <w:spacing w:val="-1"/>
                <w:szCs w:val="21"/>
              </w:rPr>
              <w:t>0.01</w:t>
            </w:r>
            <w:r>
              <w:rPr>
                <w:rFonts w:eastAsia="Times New Roman"/>
                <w:szCs w:val="21"/>
              </w:rPr>
              <w:t>65</w:t>
            </w:r>
          </w:p>
        </w:tc>
        <w:tc>
          <w:tcPr>
            <w:tcW w:w="2358" w:type="dxa"/>
            <w:gridSpan w:val="2"/>
          </w:tcPr>
          <w:p w14:paraId="389D12E2">
            <w:pPr>
              <w:spacing w:before="152" w:line="221" w:lineRule="auto"/>
              <w:ind w:left="238"/>
              <w:rPr>
                <w:szCs w:val="21"/>
              </w:rPr>
            </w:pPr>
            <w:r>
              <w:rPr>
                <w:spacing w:val="-1"/>
                <w:szCs w:val="21"/>
              </w:rPr>
              <w:t>第二类易制</w:t>
            </w:r>
            <w:r>
              <w:rPr>
                <w:szCs w:val="21"/>
              </w:rPr>
              <w:t>毒化学品</w:t>
            </w:r>
          </w:p>
        </w:tc>
        <w:tc>
          <w:tcPr>
            <w:tcW w:w="2735" w:type="dxa"/>
          </w:tcPr>
          <w:p w14:paraId="602126FD">
            <w:pPr>
              <w:spacing w:before="174"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5DAEB3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707" w:type="dxa"/>
            <w:gridSpan w:val="3"/>
          </w:tcPr>
          <w:p w14:paraId="092B0394">
            <w:pPr>
              <w:spacing w:before="187" w:line="187" w:lineRule="auto"/>
              <w:ind w:left="154"/>
              <w:rPr>
                <w:rFonts w:eastAsia="Times New Roman"/>
                <w:szCs w:val="21"/>
              </w:rPr>
            </w:pPr>
            <w:r>
              <w:rPr>
                <w:rFonts w:eastAsia="Times New Roman"/>
                <w:szCs w:val="21"/>
              </w:rPr>
              <w:t>8</w:t>
            </w:r>
          </w:p>
        </w:tc>
        <w:tc>
          <w:tcPr>
            <w:tcW w:w="1166" w:type="dxa"/>
            <w:gridSpan w:val="3"/>
          </w:tcPr>
          <w:p w14:paraId="2953939B">
            <w:pPr>
              <w:spacing w:before="153" w:line="222" w:lineRule="auto"/>
              <w:ind w:left="375"/>
              <w:rPr>
                <w:szCs w:val="21"/>
              </w:rPr>
            </w:pPr>
            <w:r>
              <w:rPr>
                <w:spacing w:val="-2"/>
                <w:szCs w:val="21"/>
              </w:rPr>
              <w:t>硫</w:t>
            </w:r>
            <w:r>
              <w:rPr>
                <w:spacing w:val="-1"/>
                <w:szCs w:val="21"/>
              </w:rPr>
              <w:t>酸</w:t>
            </w:r>
          </w:p>
        </w:tc>
        <w:tc>
          <w:tcPr>
            <w:tcW w:w="1406" w:type="dxa"/>
            <w:gridSpan w:val="2"/>
          </w:tcPr>
          <w:p w14:paraId="6888DF96">
            <w:pPr>
              <w:spacing w:before="187" w:line="187" w:lineRule="auto"/>
              <w:ind w:left="522"/>
              <w:rPr>
                <w:rFonts w:eastAsia="Times New Roman"/>
                <w:szCs w:val="21"/>
              </w:rPr>
            </w:pPr>
            <w:r>
              <w:rPr>
                <w:rFonts w:eastAsia="Times New Roman"/>
                <w:spacing w:val="-1"/>
                <w:szCs w:val="21"/>
              </w:rPr>
              <w:t>0.03</w:t>
            </w:r>
          </w:p>
        </w:tc>
        <w:tc>
          <w:tcPr>
            <w:tcW w:w="2358" w:type="dxa"/>
            <w:gridSpan w:val="2"/>
          </w:tcPr>
          <w:p w14:paraId="7D494961">
            <w:pPr>
              <w:spacing w:before="153" w:line="221" w:lineRule="auto"/>
              <w:ind w:left="238"/>
              <w:rPr>
                <w:szCs w:val="21"/>
              </w:rPr>
            </w:pPr>
            <w:r>
              <w:rPr>
                <w:spacing w:val="-1"/>
                <w:szCs w:val="21"/>
              </w:rPr>
              <w:t>第三类易制</w:t>
            </w:r>
            <w:r>
              <w:rPr>
                <w:szCs w:val="21"/>
              </w:rPr>
              <w:t>毒化学品</w:t>
            </w:r>
          </w:p>
        </w:tc>
        <w:tc>
          <w:tcPr>
            <w:tcW w:w="2735" w:type="dxa"/>
          </w:tcPr>
          <w:p w14:paraId="3FA4F291">
            <w:pPr>
              <w:spacing w:before="172"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37C4D4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72" w:type="dxa"/>
            <w:gridSpan w:val="11"/>
          </w:tcPr>
          <w:p w14:paraId="363AE5F7">
            <w:pPr>
              <w:spacing w:before="173" w:line="213" w:lineRule="auto"/>
              <w:ind w:left="1053" w:firstLine="2240" w:firstLineChars="800"/>
              <w:rPr>
                <w:rFonts w:eastAsia="Times New Roman"/>
                <w:spacing w:val="-1"/>
                <w:szCs w:val="21"/>
              </w:rPr>
            </w:pPr>
            <w:r>
              <w:t>安徽山河药用辅料股份有限公司</w:t>
            </w:r>
          </w:p>
        </w:tc>
      </w:tr>
      <w:tr w14:paraId="15D3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85" w:type="dxa"/>
          </w:tcPr>
          <w:p w14:paraId="110A00AC">
            <w:pPr>
              <w:spacing w:before="187" w:line="187" w:lineRule="auto"/>
              <w:ind w:left="150"/>
              <w:rPr>
                <w:szCs w:val="21"/>
              </w:rPr>
            </w:pPr>
            <w:r>
              <w:rPr>
                <w:szCs w:val="21"/>
              </w:rPr>
              <w:t>9</w:t>
            </w:r>
          </w:p>
        </w:tc>
        <w:tc>
          <w:tcPr>
            <w:tcW w:w="1130" w:type="dxa"/>
            <w:gridSpan w:val="3"/>
          </w:tcPr>
          <w:p w14:paraId="38BAC789">
            <w:pPr>
              <w:spacing w:before="154" w:line="220" w:lineRule="auto"/>
              <w:ind w:left="375"/>
            </w:pPr>
            <w:r>
              <w:rPr>
                <w:szCs w:val="21"/>
              </w:rPr>
              <w:t>甲苯</w:t>
            </w:r>
          </w:p>
        </w:tc>
        <w:tc>
          <w:tcPr>
            <w:tcW w:w="1464" w:type="dxa"/>
            <w:gridSpan w:val="4"/>
          </w:tcPr>
          <w:p w14:paraId="2F98D363">
            <w:pPr>
              <w:spacing w:before="187" w:line="187" w:lineRule="auto"/>
              <w:ind w:left="522"/>
              <w:rPr>
                <w:spacing w:val="-2"/>
                <w:szCs w:val="21"/>
              </w:rPr>
            </w:pPr>
            <w:r>
              <w:rPr>
                <w:szCs w:val="21"/>
              </w:rPr>
              <w:t>23.49</w:t>
            </w:r>
          </w:p>
        </w:tc>
        <w:tc>
          <w:tcPr>
            <w:tcW w:w="2358" w:type="dxa"/>
            <w:gridSpan w:val="2"/>
          </w:tcPr>
          <w:p w14:paraId="4CF1B456">
            <w:pPr>
              <w:spacing w:before="154" w:line="219" w:lineRule="auto"/>
              <w:rPr>
                <w:rFonts w:eastAsia="Times New Roman"/>
                <w:spacing w:val="-1"/>
                <w:szCs w:val="21"/>
              </w:rPr>
            </w:pPr>
            <w:r>
              <w:rPr>
                <w:spacing w:val="-1"/>
                <w:szCs w:val="21"/>
              </w:rPr>
              <w:t>第三类易制</w:t>
            </w:r>
            <w:r>
              <w:rPr>
                <w:szCs w:val="21"/>
              </w:rPr>
              <w:t>毒化学品</w:t>
            </w:r>
          </w:p>
        </w:tc>
        <w:tc>
          <w:tcPr>
            <w:tcW w:w="2735" w:type="dxa"/>
          </w:tcPr>
          <w:p w14:paraId="05B399DA">
            <w:pPr>
              <w:spacing w:before="173" w:line="213" w:lineRule="auto"/>
              <w:rPr>
                <w:rFonts w:eastAsia="Times New Roman"/>
                <w:spacing w:val="-1"/>
                <w:szCs w:val="21"/>
              </w:rPr>
            </w:pPr>
            <w:r>
              <w:rPr>
                <w:szCs w:val="21"/>
              </w:rPr>
              <w:t>罐区</w:t>
            </w:r>
          </w:p>
        </w:tc>
      </w:tr>
      <w:tr w14:paraId="306D9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85" w:type="dxa"/>
          </w:tcPr>
          <w:p w14:paraId="2FC5C57E">
            <w:pPr>
              <w:spacing w:before="187" w:line="187" w:lineRule="auto"/>
              <w:ind w:left="150"/>
              <w:rPr>
                <w:szCs w:val="21"/>
              </w:rPr>
            </w:pPr>
            <w:r>
              <w:rPr>
                <w:szCs w:val="21"/>
              </w:rPr>
              <w:t>10</w:t>
            </w:r>
          </w:p>
        </w:tc>
        <w:tc>
          <w:tcPr>
            <w:tcW w:w="1130" w:type="dxa"/>
            <w:gridSpan w:val="3"/>
          </w:tcPr>
          <w:p w14:paraId="294A0107">
            <w:pPr>
              <w:spacing w:before="154" w:line="220" w:lineRule="auto"/>
              <w:ind w:left="375"/>
            </w:pPr>
            <w:r>
              <w:rPr>
                <w:szCs w:val="21"/>
              </w:rPr>
              <w:t>盐酸</w:t>
            </w:r>
          </w:p>
        </w:tc>
        <w:tc>
          <w:tcPr>
            <w:tcW w:w="1464" w:type="dxa"/>
            <w:gridSpan w:val="4"/>
          </w:tcPr>
          <w:p w14:paraId="04035674">
            <w:pPr>
              <w:spacing w:before="187" w:line="187" w:lineRule="auto"/>
              <w:ind w:left="522"/>
              <w:rPr>
                <w:spacing w:val="-2"/>
                <w:szCs w:val="21"/>
              </w:rPr>
            </w:pPr>
            <w:r>
              <w:t>103.5</w:t>
            </w:r>
          </w:p>
        </w:tc>
        <w:tc>
          <w:tcPr>
            <w:tcW w:w="2358" w:type="dxa"/>
            <w:gridSpan w:val="2"/>
          </w:tcPr>
          <w:p w14:paraId="1CA5351C">
            <w:pPr>
              <w:spacing w:before="154" w:line="219" w:lineRule="auto"/>
              <w:rPr>
                <w:rFonts w:eastAsia="Times New Roman"/>
                <w:spacing w:val="-1"/>
                <w:szCs w:val="21"/>
              </w:rPr>
            </w:pPr>
            <w:r>
              <w:rPr>
                <w:spacing w:val="-1"/>
                <w:szCs w:val="21"/>
              </w:rPr>
              <w:t>第三类易制</w:t>
            </w:r>
            <w:r>
              <w:rPr>
                <w:szCs w:val="21"/>
              </w:rPr>
              <w:t>毒化学品</w:t>
            </w:r>
          </w:p>
        </w:tc>
        <w:tc>
          <w:tcPr>
            <w:tcW w:w="2735" w:type="dxa"/>
          </w:tcPr>
          <w:p w14:paraId="6A766FC7">
            <w:pPr>
              <w:spacing w:before="173" w:line="213" w:lineRule="auto"/>
              <w:rPr>
                <w:rFonts w:eastAsia="Times New Roman"/>
                <w:spacing w:val="-1"/>
                <w:szCs w:val="21"/>
              </w:rPr>
            </w:pPr>
            <w:r>
              <w:rPr>
                <w:szCs w:val="21"/>
              </w:rPr>
              <w:t>罐区</w:t>
            </w:r>
          </w:p>
        </w:tc>
      </w:tr>
      <w:tr w14:paraId="4D6B5A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85" w:type="dxa"/>
          </w:tcPr>
          <w:p w14:paraId="6F69A146">
            <w:pPr>
              <w:spacing w:before="187" w:line="187" w:lineRule="auto"/>
              <w:ind w:left="150"/>
              <w:rPr>
                <w:szCs w:val="21"/>
              </w:rPr>
            </w:pPr>
            <w:r>
              <w:rPr>
                <w:szCs w:val="21"/>
              </w:rPr>
              <w:t>11</w:t>
            </w:r>
          </w:p>
        </w:tc>
        <w:tc>
          <w:tcPr>
            <w:tcW w:w="1130" w:type="dxa"/>
            <w:gridSpan w:val="3"/>
          </w:tcPr>
          <w:p w14:paraId="4E495A1E">
            <w:pPr>
              <w:spacing w:before="154" w:line="220" w:lineRule="auto"/>
              <w:ind w:left="375"/>
            </w:pPr>
            <w:r>
              <w:rPr>
                <w:szCs w:val="21"/>
              </w:rPr>
              <w:t>硫酸</w:t>
            </w:r>
          </w:p>
        </w:tc>
        <w:tc>
          <w:tcPr>
            <w:tcW w:w="1464" w:type="dxa"/>
            <w:gridSpan w:val="4"/>
          </w:tcPr>
          <w:p w14:paraId="18139D4A">
            <w:pPr>
              <w:spacing w:before="187" w:line="187" w:lineRule="auto"/>
              <w:ind w:left="522"/>
              <w:rPr>
                <w:spacing w:val="-2"/>
                <w:szCs w:val="21"/>
              </w:rPr>
            </w:pPr>
            <w:r>
              <w:rPr>
                <w:szCs w:val="21"/>
              </w:rPr>
              <w:t>33.12</w:t>
            </w:r>
          </w:p>
        </w:tc>
        <w:tc>
          <w:tcPr>
            <w:tcW w:w="2358" w:type="dxa"/>
            <w:gridSpan w:val="2"/>
          </w:tcPr>
          <w:p w14:paraId="685A77D1">
            <w:pPr>
              <w:spacing w:before="154" w:line="219" w:lineRule="auto"/>
              <w:rPr>
                <w:rFonts w:eastAsia="Times New Roman"/>
                <w:spacing w:val="-1"/>
                <w:szCs w:val="21"/>
              </w:rPr>
            </w:pPr>
            <w:r>
              <w:rPr>
                <w:spacing w:val="-1"/>
                <w:szCs w:val="21"/>
              </w:rPr>
              <w:t>第三类易制</w:t>
            </w:r>
            <w:r>
              <w:rPr>
                <w:szCs w:val="21"/>
              </w:rPr>
              <w:t>毒化学品</w:t>
            </w:r>
          </w:p>
        </w:tc>
        <w:tc>
          <w:tcPr>
            <w:tcW w:w="2735" w:type="dxa"/>
          </w:tcPr>
          <w:p w14:paraId="6A7FB41A">
            <w:pPr>
              <w:spacing w:before="173" w:line="213" w:lineRule="auto"/>
              <w:rPr>
                <w:rFonts w:eastAsia="Times New Roman"/>
                <w:spacing w:val="-1"/>
                <w:szCs w:val="21"/>
              </w:rPr>
            </w:pPr>
            <w:r>
              <w:rPr>
                <w:szCs w:val="21"/>
              </w:rPr>
              <w:t>罐区</w:t>
            </w:r>
          </w:p>
        </w:tc>
      </w:tr>
      <w:tr w14:paraId="692D5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72" w:type="dxa"/>
            <w:gridSpan w:val="11"/>
          </w:tcPr>
          <w:p w14:paraId="38D8A472">
            <w:pPr>
              <w:spacing w:before="176" w:line="213" w:lineRule="auto"/>
              <w:ind w:left="1047"/>
              <w:jc w:val="center"/>
              <w:rPr>
                <w:rFonts w:eastAsia="Times New Roman"/>
                <w:spacing w:val="-1"/>
                <w:szCs w:val="21"/>
              </w:rPr>
            </w:pPr>
            <w:r>
              <w:rPr>
                <w:szCs w:val="21"/>
              </w:rPr>
              <w:t>淮南锦德生物科技有限公司</w:t>
            </w:r>
          </w:p>
        </w:tc>
      </w:tr>
      <w:tr w14:paraId="02C5D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6DBC723C">
            <w:pPr>
              <w:spacing w:before="190" w:line="187" w:lineRule="auto"/>
              <w:ind w:left="166"/>
              <w:jc w:val="center"/>
              <w:rPr>
                <w:szCs w:val="21"/>
              </w:rPr>
            </w:pPr>
            <w:r>
              <w:rPr>
                <w:szCs w:val="21"/>
              </w:rPr>
              <w:t>12</w:t>
            </w:r>
          </w:p>
        </w:tc>
        <w:tc>
          <w:tcPr>
            <w:tcW w:w="1153" w:type="dxa"/>
            <w:gridSpan w:val="3"/>
          </w:tcPr>
          <w:p w14:paraId="51EC1206">
            <w:pPr>
              <w:spacing w:before="154" w:line="220" w:lineRule="auto"/>
              <w:ind w:left="375"/>
            </w:pPr>
            <w:r>
              <w:rPr>
                <w:szCs w:val="21"/>
              </w:rPr>
              <w:t>甲苯</w:t>
            </w:r>
          </w:p>
        </w:tc>
        <w:tc>
          <w:tcPr>
            <w:tcW w:w="1391" w:type="dxa"/>
            <w:gridSpan w:val="2"/>
          </w:tcPr>
          <w:p w14:paraId="76BFFB42">
            <w:pPr>
              <w:spacing w:before="187" w:line="187" w:lineRule="auto"/>
              <w:ind w:left="522"/>
              <w:rPr>
                <w:spacing w:val="-2"/>
                <w:szCs w:val="21"/>
              </w:rPr>
            </w:pPr>
            <w:r>
              <w:rPr>
                <w:szCs w:val="21"/>
              </w:rPr>
              <w:t>50</w:t>
            </w:r>
          </w:p>
        </w:tc>
        <w:tc>
          <w:tcPr>
            <w:tcW w:w="2341" w:type="dxa"/>
            <w:gridSpan w:val="2"/>
          </w:tcPr>
          <w:p w14:paraId="37465994">
            <w:pPr>
              <w:spacing w:before="154" w:line="219" w:lineRule="auto"/>
              <w:rPr>
                <w:rFonts w:eastAsia="Times New Roman"/>
                <w:spacing w:val="-1"/>
                <w:szCs w:val="21"/>
              </w:rPr>
            </w:pPr>
            <w:r>
              <w:rPr>
                <w:spacing w:val="-1"/>
                <w:szCs w:val="21"/>
              </w:rPr>
              <w:t>第三类易制</w:t>
            </w:r>
            <w:r>
              <w:rPr>
                <w:szCs w:val="21"/>
              </w:rPr>
              <w:t>毒化学品</w:t>
            </w:r>
          </w:p>
        </w:tc>
        <w:tc>
          <w:tcPr>
            <w:tcW w:w="2788" w:type="dxa"/>
            <w:gridSpan w:val="2"/>
          </w:tcPr>
          <w:p w14:paraId="22E69DC6">
            <w:pPr>
              <w:spacing w:before="173" w:line="213" w:lineRule="auto"/>
              <w:rPr>
                <w:rFonts w:eastAsia="Times New Roman"/>
                <w:spacing w:val="-1"/>
                <w:szCs w:val="21"/>
              </w:rPr>
            </w:pPr>
            <w:r>
              <w:rPr>
                <w:szCs w:val="21"/>
              </w:rPr>
              <w:t>罐区</w:t>
            </w:r>
          </w:p>
        </w:tc>
      </w:tr>
      <w:tr w14:paraId="66831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43C8A952">
            <w:pPr>
              <w:spacing w:before="190" w:line="187" w:lineRule="auto"/>
              <w:ind w:left="166"/>
              <w:jc w:val="center"/>
              <w:rPr>
                <w:szCs w:val="21"/>
              </w:rPr>
            </w:pPr>
            <w:r>
              <w:rPr>
                <w:szCs w:val="21"/>
              </w:rPr>
              <w:t>13</w:t>
            </w:r>
          </w:p>
        </w:tc>
        <w:tc>
          <w:tcPr>
            <w:tcW w:w="1153" w:type="dxa"/>
            <w:gridSpan w:val="3"/>
          </w:tcPr>
          <w:p w14:paraId="1975F43A">
            <w:pPr>
              <w:spacing w:before="154" w:line="220" w:lineRule="auto"/>
              <w:ind w:left="375"/>
            </w:pPr>
            <w:r>
              <w:rPr>
                <w:szCs w:val="21"/>
              </w:rPr>
              <w:t>硫酸</w:t>
            </w:r>
          </w:p>
        </w:tc>
        <w:tc>
          <w:tcPr>
            <w:tcW w:w="1391" w:type="dxa"/>
            <w:gridSpan w:val="2"/>
          </w:tcPr>
          <w:p w14:paraId="192A8191">
            <w:pPr>
              <w:spacing w:before="187" w:line="187" w:lineRule="auto"/>
              <w:ind w:left="522"/>
              <w:rPr>
                <w:spacing w:val="-2"/>
                <w:szCs w:val="21"/>
              </w:rPr>
            </w:pPr>
            <w:r>
              <w:rPr>
                <w:szCs w:val="21"/>
              </w:rPr>
              <w:t>115</w:t>
            </w:r>
          </w:p>
        </w:tc>
        <w:tc>
          <w:tcPr>
            <w:tcW w:w="2341" w:type="dxa"/>
            <w:gridSpan w:val="2"/>
          </w:tcPr>
          <w:p w14:paraId="48998101">
            <w:pPr>
              <w:spacing w:before="154" w:line="219" w:lineRule="auto"/>
              <w:rPr>
                <w:rFonts w:eastAsia="Times New Roman"/>
                <w:spacing w:val="-1"/>
                <w:szCs w:val="21"/>
              </w:rPr>
            </w:pPr>
            <w:r>
              <w:rPr>
                <w:spacing w:val="-1"/>
                <w:szCs w:val="21"/>
              </w:rPr>
              <w:t>第三类易制</w:t>
            </w:r>
            <w:r>
              <w:rPr>
                <w:szCs w:val="21"/>
              </w:rPr>
              <w:t>毒化学品</w:t>
            </w:r>
          </w:p>
        </w:tc>
        <w:tc>
          <w:tcPr>
            <w:tcW w:w="2788" w:type="dxa"/>
            <w:gridSpan w:val="2"/>
          </w:tcPr>
          <w:p w14:paraId="6FDF3D50">
            <w:pPr>
              <w:spacing w:before="173" w:line="213" w:lineRule="auto"/>
              <w:rPr>
                <w:rFonts w:eastAsia="Times New Roman"/>
                <w:spacing w:val="-1"/>
                <w:szCs w:val="21"/>
              </w:rPr>
            </w:pPr>
            <w:r>
              <w:rPr>
                <w:szCs w:val="21"/>
              </w:rPr>
              <w:t>罐区</w:t>
            </w:r>
          </w:p>
        </w:tc>
      </w:tr>
      <w:tr w14:paraId="31F65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372" w:type="dxa"/>
            <w:gridSpan w:val="11"/>
          </w:tcPr>
          <w:p w14:paraId="0628D4DB">
            <w:pPr>
              <w:spacing w:before="176" w:line="213" w:lineRule="auto"/>
              <w:ind w:left="1047"/>
              <w:jc w:val="center"/>
              <w:rPr>
                <w:rFonts w:eastAsia="Times New Roman"/>
                <w:spacing w:val="-1"/>
                <w:szCs w:val="21"/>
              </w:rPr>
            </w:pPr>
            <w:r>
              <w:rPr>
                <w:szCs w:val="21"/>
              </w:rPr>
              <w:t>安徽森吉制药有限公司</w:t>
            </w:r>
          </w:p>
        </w:tc>
      </w:tr>
      <w:tr w14:paraId="56770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415D47EB">
            <w:pPr>
              <w:spacing w:before="154" w:line="220" w:lineRule="auto"/>
              <w:ind w:left="375"/>
              <w:rPr>
                <w:szCs w:val="21"/>
              </w:rPr>
            </w:pPr>
            <w:r>
              <w:rPr>
                <w:szCs w:val="21"/>
              </w:rPr>
              <w:t>14</w:t>
            </w:r>
          </w:p>
        </w:tc>
        <w:tc>
          <w:tcPr>
            <w:tcW w:w="1153" w:type="dxa"/>
            <w:gridSpan w:val="3"/>
          </w:tcPr>
          <w:p w14:paraId="40F89401">
            <w:pPr>
              <w:spacing w:before="154" w:line="220" w:lineRule="auto"/>
              <w:ind w:left="375"/>
              <w:rPr>
                <w:szCs w:val="21"/>
              </w:rPr>
            </w:pPr>
            <w:r>
              <w:rPr>
                <w:szCs w:val="21"/>
              </w:rPr>
              <w:t>醋酐</w:t>
            </w:r>
          </w:p>
        </w:tc>
        <w:tc>
          <w:tcPr>
            <w:tcW w:w="1427" w:type="dxa"/>
            <w:gridSpan w:val="3"/>
          </w:tcPr>
          <w:p w14:paraId="55BF631A">
            <w:pPr>
              <w:spacing w:before="190" w:line="187" w:lineRule="auto"/>
              <w:ind w:left="522"/>
              <w:rPr>
                <w:spacing w:val="-1"/>
                <w:szCs w:val="21"/>
              </w:rPr>
            </w:pPr>
            <w:r>
              <w:rPr>
                <w:spacing w:val="-1"/>
                <w:szCs w:val="21"/>
              </w:rPr>
              <w:t>54.35</w:t>
            </w:r>
          </w:p>
        </w:tc>
        <w:tc>
          <w:tcPr>
            <w:tcW w:w="2358" w:type="dxa"/>
            <w:gridSpan w:val="2"/>
          </w:tcPr>
          <w:p w14:paraId="5AEF78F9">
            <w:pPr>
              <w:spacing w:before="154" w:line="219" w:lineRule="auto"/>
              <w:rPr>
                <w:spacing w:val="-1"/>
                <w:szCs w:val="21"/>
              </w:rPr>
            </w:pPr>
            <w:r>
              <w:rPr>
                <w:spacing w:val="-1"/>
                <w:szCs w:val="21"/>
              </w:rPr>
              <w:t>第三类易制</w:t>
            </w:r>
            <w:r>
              <w:rPr>
                <w:szCs w:val="21"/>
              </w:rPr>
              <w:t>毒化学品</w:t>
            </w:r>
          </w:p>
        </w:tc>
        <w:tc>
          <w:tcPr>
            <w:tcW w:w="2735" w:type="dxa"/>
          </w:tcPr>
          <w:p w14:paraId="231C4334">
            <w:pPr>
              <w:spacing w:before="173" w:line="213" w:lineRule="auto"/>
              <w:rPr>
                <w:rFonts w:eastAsia="Times New Roman"/>
                <w:spacing w:val="-1"/>
                <w:szCs w:val="21"/>
              </w:rPr>
            </w:pPr>
            <w:r>
              <w:rPr>
                <w:szCs w:val="21"/>
              </w:rPr>
              <w:t>罐区</w:t>
            </w:r>
          </w:p>
        </w:tc>
      </w:tr>
      <w:tr w14:paraId="62F2F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3EA89EBA">
            <w:pPr>
              <w:spacing w:before="154" w:line="220" w:lineRule="auto"/>
              <w:ind w:left="375"/>
              <w:rPr>
                <w:szCs w:val="21"/>
              </w:rPr>
            </w:pPr>
            <w:r>
              <w:rPr>
                <w:szCs w:val="21"/>
              </w:rPr>
              <w:t>15</w:t>
            </w:r>
          </w:p>
        </w:tc>
        <w:tc>
          <w:tcPr>
            <w:tcW w:w="1153" w:type="dxa"/>
            <w:gridSpan w:val="3"/>
          </w:tcPr>
          <w:p w14:paraId="015EA539">
            <w:pPr>
              <w:spacing w:before="154" w:line="220" w:lineRule="auto"/>
              <w:ind w:left="375"/>
              <w:rPr>
                <w:szCs w:val="21"/>
              </w:rPr>
            </w:pPr>
            <w:r>
              <w:rPr>
                <w:szCs w:val="21"/>
              </w:rPr>
              <w:t>哌啶</w:t>
            </w:r>
          </w:p>
        </w:tc>
        <w:tc>
          <w:tcPr>
            <w:tcW w:w="1427" w:type="dxa"/>
            <w:gridSpan w:val="3"/>
          </w:tcPr>
          <w:p w14:paraId="72CC43F4">
            <w:pPr>
              <w:spacing w:before="190" w:line="187" w:lineRule="auto"/>
              <w:ind w:left="522"/>
              <w:rPr>
                <w:spacing w:val="-1"/>
                <w:szCs w:val="21"/>
              </w:rPr>
            </w:pPr>
            <w:r>
              <w:rPr>
                <w:spacing w:val="-1"/>
                <w:szCs w:val="21"/>
              </w:rPr>
              <w:t>0.69</w:t>
            </w:r>
          </w:p>
        </w:tc>
        <w:tc>
          <w:tcPr>
            <w:tcW w:w="2358" w:type="dxa"/>
            <w:gridSpan w:val="2"/>
          </w:tcPr>
          <w:p w14:paraId="51326C25">
            <w:pPr>
              <w:spacing w:before="154" w:line="219" w:lineRule="auto"/>
              <w:rPr>
                <w:spacing w:val="-1"/>
                <w:szCs w:val="21"/>
              </w:rPr>
            </w:pPr>
            <w:r>
              <w:rPr>
                <w:spacing w:val="-1"/>
                <w:szCs w:val="21"/>
              </w:rPr>
              <w:t>第三类易制</w:t>
            </w:r>
            <w:r>
              <w:rPr>
                <w:szCs w:val="21"/>
              </w:rPr>
              <w:t>毒化学品</w:t>
            </w:r>
          </w:p>
        </w:tc>
        <w:tc>
          <w:tcPr>
            <w:tcW w:w="2735" w:type="dxa"/>
          </w:tcPr>
          <w:p w14:paraId="5DFA0068">
            <w:pPr>
              <w:spacing w:before="173" w:line="213" w:lineRule="auto"/>
              <w:rPr>
                <w:rFonts w:eastAsia="Times New Roman"/>
                <w:spacing w:val="-1"/>
                <w:szCs w:val="21"/>
              </w:rPr>
            </w:pPr>
            <w:r>
              <w:rPr>
                <w:rStyle w:val="59"/>
                <w:rFonts w:ascii="Times New Roman" w:hAnsi="Times New Roman"/>
                <w:sz w:val="21"/>
                <w:szCs w:val="21"/>
              </w:rPr>
              <w:t>危险品库一</w:t>
            </w:r>
          </w:p>
        </w:tc>
      </w:tr>
      <w:tr w14:paraId="7651F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63390C19">
            <w:pPr>
              <w:spacing w:before="154" w:line="220" w:lineRule="auto"/>
              <w:ind w:left="375"/>
              <w:rPr>
                <w:szCs w:val="21"/>
              </w:rPr>
            </w:pPr>
            <w:r>
              <w:rPr>
                <w:szCs w:val="21"/>
              </w:rPr>
              <w:t>16</w:t>
            </w:r>
          </w:p>
        </w:tc>
        <w:tc>
          <w:tcPr>
            <w:tcW w:w="1153" w:type="dxa"/>
            <w:gridSpan w:val="3"/>
          </w:tcPr>
          <w:p w14:paraId="1216332E">
            <w:pPr>
              <w:spacing w:before="154" w:line="220" w:lineRule="auto"/>
              <w:ind w:left="375"/>
              <w:rPr>
                <w:szCs w:val="21"/>
              </w:rPr>
            </w:pPr>
            <w:r>
              <w:rPr>
                <w:szCs w:val="21"/>
              </w:rPr>
              <w:t>丙酮</w:t>
            </w:r>
          </w:p>
        </w:tc>
        <w:tc>
          <w:tcPr>
            <w:tcW w:w="1427" w:type="dxa"/>
            <w:gridSpan w:val="3"/>
          </w:tcPr>
          <w:p w14:paraId="1841D666">
            <w:pPr>
              <w:spacing w:before="190" w:line="187" w:lineRule="auto"/>
              <w:ind w:left="522"/>
              <w:rPr>
                <w:spacing w:val="-1"/>
                <w:szCs w:val="21"/>
              </w:rPr>
            </w:pPr>
            <w:r>
              <w:rPr>
                <w:spacing w:val="-1"/>
                <w:szCs w:val="21"/>
              </w:rPr>
              <w:t>1.26</w:t>
            </w:r>
          </w:p>
        </w:tc>
        <w:tc>
          <w:tcPr>
            <w:tcW w:w="2358" w:type="dxa"/>
            <w:gridSpan w:val="2"/>
          </w:tcPr>
          <w:p w14:paraId="44808611">
            <w:pPr>
              <w:spacing w:before="154" w:line="219" w:lineRule="auto"/>
              <w:rPr>
                <w:spacing w:val="-1"/>
                <w:szCs w:val="21"/>
              </w:rPr>
            </w:pPr>
            <w:r>
              <w:rPr>
                <w:spacing w:val="-1"/>
                <w:szCs w:val="21"/>
              </w:rPr>
              <w:t>第三类易制</w:t>
            </w:r>
            <w:r>
              <w:rPr>
                <w:szCs w:val="21"/>
              </w:rPr>
              <w:t>毒化学品</w:t>
            </w:r>
          </w:p>
        </w:tc>
        <w:tc>
          <w:tcPr>
            <w:tcW w:w="2735" w:type="dxa"/>
          </w:tcPr>
          <w:p w14:paraId="582A42B9">
            <w:pPr>
              <w:spacing w:before="173" w:line="213" w:lineRule="auto"/>
              <w:rPr>
                <w:rFonts w:eastAsia="Times New Roman"/>
                <w:spacing w:val="-1"/>
                <w:szCs w:val="21"/>
              </w:rPr>
            </w:pPr>
            <w:r>
              <w:rPr>
                <w:rStyle w:val="59"/>
                <w:rFonts w:ascii="Times New Roman" w:hAnsi="Times New Roman"/>
                <w:sz w:val="21"/>
                <w:szCs w:val="21"/>
              </w:rPr>
              <w:t>危险品库一</w:t>
            </w:r>
          </w:p>
        </w:tc>
      </w:tr>
      <w:tr w14:paraId="43EAD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6A8E5F06">
            <w:pPr>
              <w:spacing w:before="154" w:line="220" w:lineRule="auto"/>
              <w:ind w:left="375"/>
              <w:rPr>
                <w:szCs w:val="21"/>
              </w:rPr>
            </w:pPr>
            <w:r>
              <w:rPr>
                <w:szCs w:val="21"/>
              </w:rPr>
              <w:t>17</w:t>
            </w:r>
          </w:p>
        </w:tc>
        <w:tc>
          <w:tcPr>
            <w:tcW w:w="1153" w:type="dxa"/>
            <w:gridSpan w:val="3"/>
          </w:tcPr>
          <w:p w14:paraId="418F4FAF">
            <w:pPr>
              <w:spacing w:before="154" w:line="220" w:lineRule="auto"/>
              <w:ind w:left="375"/>
              <w:rPr>
                <w:szCs w:val="21"/>
              </w:rPr>
            </w:pPr>
            <w:r>
              <w:rPr>
                <w:szCs w:val="21"/>
              </w:rPr>
              <w:t>甲苯</w:t>
            </w:r>
          </w:p>
        </w:tc>
        <w:tc>
          <w:tcPr>
            <w:tcW w:w="1427" w:type="dxa"/>
            <w:gridSpan w:val="3"/>
          </w:tcPr>
          <w:p w14:paraId="2B290FBE">
            <w:pPr>
              <w:spacing w:before="190" w:line="187" w:lineRule="auto"/>
              <w:ind w:left="522"/>
              <w:rPr>
                <w:spacing w:val="-1"/>
                <w:szCs w:val="21"/>
              </w:rPr>
            </w:pPr>
            <w:r>
              <w:rPr>
                <w:spacing w:val="-1"/>
                <w:szCs w:val="21"/>
              </w:rPr>
              <w:t>43.6</w:t>
            </w:r>
          </w:p>
        </w:tc>
        <w:tc>
          <w:tcPr>
            <w:tcW w:w="2358" w:type="dxa"/>
            <w:gridSpan w:val="2"/>
          </w:tcPr>
          <w:p w14:paraId="70E498A6">
            <w:pPr>
              <w:spacing w:before="154" w:line="219" w:lineRule="auto"/>
              <w:rPr>
                <w:spacing w:val="-1"/>
                <w:szCs w:val="21"/>
              </w:rPr>
            </w:pPr>
            <w:r>
              <w:rPr>
                <w:spacing w:val="-1"/>
                <w:szCs w:val="21"/>
              </w:rPr>
              <w:t>第三类易制</w:t>
            </w:r>
            <w:r>
              <w:rPr>
                <w:szCs w:val="21"/>
              </w:rPr>
              <w:t>毒化学品</w:t>
            </w:r>
          </w:p>
        </w:tc>
        <w:tc>
          <w:tcPr>
            <w:tcW w:w="2735" w:type="dxa"/>
          </w:tcPr>
          <w:p w14:paraId="143BECCC">
            <w:pPr>
              <w:spacing w:before="173" w:line="213" w:lineRule="auto"/>
              <w:rPr>
                <w:rFonts w:eastAsia="Times New Roman"/>
                <w:spacing w:val="-1"/>
                <w:szCs w:val="21"/>
              </w:rPr>
            </w:pPr>
            <w:r>
              <w:rPr>
                <w:szCs w:val="21"/>
              </w:rPr>
              <w:t>罐区</w:t>
            </w:r>
          </w:p>
        </w:tc>
      </w:tr>
      <w:tr w14:paraId="595E9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741BD44F">
            <w:pPr>
              <w:spacing w:before="154" w:line="220" w:lineRule="auto"/>
              <w:ind w:left="375"/>
              <w:rPr>
                <w:szCs w:val="21"/>
              </w:rPr>
            </w:pPr>
            <w:r>
              <w:rPr>
                <w:szCs w:val="21"/>
              </w:rPr>
              <w:t>18</w:t>
            </w:r>
          </w:p>
        </w:tc>
        <w:tc>
          <w:tcPr>
            <w:tcW w:w="1153" w:type="dxa"/>
            <w:gridSpan w:val="3"/>
          </w:tcPr>
          <w:p w14:paraId="2D308938">
            <w:pPr>
              <w:spacing w:before="154" w:line="220" w:lineRule="auto"/>
              <w:ind w:left="375"/>
              <w:rPr>
                <w:szCs w:val="21"/>
              </w:rPr>
            </w:pPr>
            <w:r>
              <w:rPr>
                <w:szCs w:val="21"/>
              </w:rPr>
              <w:t>盐酸</w:t>
            </w:r>
          </w:p>
        </w:tc>
        <w:tc>
          <w:tcPr>
            <w:tcW w:w="1427" w:type="dxa"/>
            <w:gridSpan w:val="3"/>
          </w:tcPr>
          <w:p w14:paraId="03E8A85C">
            <w:pPr>
              <w:spacing w:before="190" w:line="187" w:lineRule="auto"/>
              <w:ind w:left="522"/>
              <w:rPr>
                <w:spacing w:val="-1"/>
                <w:szCs w:val="21"/>
              </w:rPr>
            </w:pPr>
            <w:r>
              <w:rPr>
                <w:spacing w:val="-1"/>
                <w:szCs w:val="21"/>
              </w:rPr>
              <w:t>4.76</w:t>
            </w:r>
          </w:p>
        </w:tc>
        <w:tc>
          <w:tcPr>
            <w:tcW w:w="2358" w:type="dxa"/>
            <w:gridSpan w:val="2"/>
          </w:tcPr>
          <w:p w14:paraId="5ABB3208">
            <w:pPr>
              <w:spacing w:before="154" w:line="219" w:lineRule="auto"/>
              <w:rPr>
                <w:spacing w:val="-1"/>
                <w:szCs w:val="21"/>
              </w:rPr>
            </w:pPr>
            <w:r>
              <w:rPr>
                <w:spacing w:val="-1"/>
                <w:szCs w:val="21"/>
              </w:rPr>
              <w:t>第三类易制</w:t>
            </w:r>
            <w:r>
              <w:rPr>
                <w:szCs w:val="21"/>
              </w:rPr>
              <w:t>毒化学品</w:t>
            </w:r>
          </w:p>
        </w:tc>
        <w:tc>
          <w:tcPr>
            <w:tcW w:w="2735" w:type="dxa"/>
          </w:tcPr>
          <w:p w14:paraId="46BDFEBF">
            <w:pPr>
              <w:spacing w:before="173" w:line="213" w:lineRule="auto"/>
              <w:rPr>
                <w:rFonts w:eastAsia="Times New Roman"/>
                <w:spacing w:val="-1"/>
                <w:szCs w:val="21"/>
              </w:rPr>
            </w:pPr>
            <w:r>
              <w:rPr>
                <w:rStyle w:val="59"/>
                <w:rFonts w:ascii="Times New Roman" w:hAnsi="Times New Roman"/>
                <w:sz w:val="21"/>
                <w:szCs w:val="21"/>
              </w:rPr>
              <w:t>危险品库一</w:t>
            </w:r>
          </w:p>
        </w:tc>
      </w:tr>
      <w:tr w14:paraId="3179AB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699" w:type="dxa"/>
            <w:gridSpan w:val="2"/>
          </w:tcPr>
          <w:p w14:paraId="48DC14C5">
            <w:pPr>
              <w:spacing w:before="154" w:line="220" w:lineRule="auto"/>
              <w:ind w:left="375"/>
              <w:rPr>
                <w:szCs w:val="21"/>
              </w:rPr>
            </w:pPr>
            <w:r>
              <w:rPr>
                <w:szCs w:val="21"/>
              </w:rPr>
              <w:t>19</w:t>
            </w:r>
          </w:p>
        </w:tc>
        <w:tc>
          <w:tcPr>
            <w:tcW w:w="1153" w:type="dxa"/>
            <w:gridSpan w:val="3"/>
          </w:tcPr>
          <w:p w14:paraId="01246A3C">
            <w:pPr>
              <w:spacing w:before="154" w:line="220" w:lineRule="auto"/>
              <w:ind w:left="375"/>
              <w:rPr>
                <w:szCs w:val="21"/>
              </w:rPr>
            </w:pPr>
            <w:r>
              <w:rPr>
                <w:szCs w:val="21"/>
                <w:lang w:val="zh-CN"/>
              </w:rPr>
              <w:t>硫酸</w:t>
            </w:r>
          </w:p>
        </w:tc>
        <w:tc>
          <w:tcPr>
            <w:tcW w:w="1427" w:type="dxa"/>
            <w:gridSpan w:val="3"/>
          </w:tcPr>
          <w:p w14:paraId="5AA578E8">
            <w:pPr>
              <w:spacing w:before="190" w:line="187" w:lineRule="auto"/>
              <w:ind w:left="522"/>
              <w:rPr>
                <w:spacing w:val="-1"/>
                <w:szCs w:val="21"/>
              </w:rPr>
            </w:pPr>
            <w:r>
              <w:rPr>
                <w:spacing w:val="-1"/>
                <w:szCs w:val="21"/>
              </w:rPr>
              <w:t>1.5</w:t>
            </w:r>
          </w:p>
        </w:tc>
        <w:tc>
          <w:tcPr>
            <w:tcW w:w="2358" w:type="dxa"/>
            <w:gridSpan w:val="2"/>
          </w:tcPr>
          <w:p w14:paraId="21FCB618">
            <w:pPr>
              <w:spacing w:before="154" w:line="219" w:lineRule="auto"/>
              <w:rPr>
                <w:spacing w:val="-1"/>
                <w:szCs w:val="21"/>
              </w:rPr>
            </w:pPr>
            <w:r>
              <w:rPr>
                <w:spacing w:val="-1"/>
                <w:szCs w:val="21"/>
              </w:rPr>
              <w:t>第三类易制</w:t>
            </w:r>
            <w:r>
              <w:rPr>
                <w:szCs w:val="21"/>
              </w:rPr>
              <w:t>毒化学品</w:t>
            </w:r>
          </w:p>
        </w:tc>
        <w:tc>
          <w:tcPr>
            <w:tcW w:w="2735" w:type="dxa"/>
          </w:tcPr>
          <w:p w14:paraId="5F5028B6">
            <w:pPr>
              <w:spacing w:before="173" w:line="213" w:lineRule="auto"/>
              <w:rPr>
                <w:rFonts w:eastAsia="Times New Roman"/>
                <w:spacing w:val="-1"/>
                <w:szCs w:val="21"/>
              </w:rPr>
            </w:pPr>
            <w:r>
              <w:rPr>
                <w:rStyle w:val="59"/>
                <w:rFonts w:ascii="Times New Roman" w:hAnsi="Times New Roman"/>
                <w:sz w:val="21"/>
                <w:szCs w:val="21"/>
              </w:rPr>
              <w:t>危险品库一</w:t>
            </w:r>
          </w:p>
        </w:tc>
      </w:tr>
    </w:tbl>
    <w:p w14:paraId="7FCCECAC">
      <w:pPr>
        <w:spacing w:before="238" w:line="219" w:lineRule="auto"/>
        <w:ind w:left="683"/>
        <w:rPr>
          <w:rFonts w:eastAsiaTheme="minorEastAsia"/>
          <w:b/>
          <w:sz w:val="24"/>
          <w:szCs w:val="24"/>
        </w:rPr>
      </w:pPr>
      <w:r>
        <w:rPr>
          <w:rFonts w:eastAsiaTheme="minorEastAsia"/>
          <w:b/>
          <w:sz w:val="24"/>
          <w:szCs w:val="24"/>
        </w:rPr>
        <w:t>（5）剧毒化学品辨识</w:t>
      </w:r>
    </w:p>
    <w:p w14:paraId="587E3B89">
      <w:pPr>
        <w:widowControl/>
        <w:spacing w:line="360" w:lineRule="auto"/>
        <w:ind w:firstLine="480" w:firstLineChars="200"/>
        <w:jc w:val="left"/>
        <w:rPr>
          <w:sz w:val="24"/>
        </w:rPr>
      </w:pPr>
      <w:r>
        <w:rPr>
          <w:sz w:val="24"/>
        </w:rPr>
        <w:t>对照《关于印发危险化学品目录(2015版)实施指南(试行)的通知》(安监总厅管三〔2015〕80号)，化工园区四至范围内已入驻的德邦化工、恒诚制药、水卫士环保科技、国瑞药业四家化工企业，块二正在建设的三家化工为企业淮南锦德生物科技有限公司、安徽森吉制药有限公司和安徽山河药用辅料股份有限公司，涉及的剧毒危险化学品如表 7.1-5。</w:t>
      </w:r>
    </w:p>
    <w:p w14:paraId="5C0B87D8">
      <w:pPr>
        <w:spacing w:before="60" w:line="212" w:lineRule="auto"/>
        <w:ind w:left="2454"/>
        <w:rPr>
          <w:sz w:val="24"/>
          <w:szCs w:val="24"/>
        </w:rPr>
      </w:pPr>
      <w:r>
        <w:rPr>
          <w:spacing w:val="-3"/>
          <w:sz w:val="24"/>
          <w:szCs w:val="24"/>
        </w:rPr>
        <w:t>表7</w:t>
      </w:r>
      <w:r>
        <w:rPr>
          <w:rFonts w:eastAsia="Times New Roman"/>
          <w:spacing w:val="-3"/>
          <w:sz w:val="24"/>
          <w:szCs w:val="24"/>
        </w:rPr>
        <w:t>.1-5</w:t>
      </w:r>
      <w:r>
        <w:rPr>
          <w:spacing w:val="-3"/>
          <w:sz w:val="24"/>
          <w:szCs w:val="24"/>
        </w:rPr>
        <w:t>、化工园区剧毒危险化学品辨识</w:t>
      </w:r>
      <w:r>
        <w:rPr>
          <w:sz w:val="24"/>
          <w:szCs w:val="24"/>
        </w:rPr>
        <w:t>表</w:t>
      </w:r>
    </w:p>
    <w:tbl>
      <w:tblPr>
        <w:tblStyle w:val="58"/>
        <w:tblW w:w="84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166"/>
        <w:gridCol w:w="1406"/>
        <w:gridCol w:w="2093"/>
        <w:gridCol w:w="3075"/>
      </w:tblGrid>
      <w:tr w14:paraId="6E277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tcPr>
          <w:p w14:paraId="697DB4B3">
            <w:pPr>
              <w:spacing w:before="154" w:line="222" w:lineRule="auto"/>
              <w:ind w:left="146"/>
              <w:rPr>
                <w:szCs w:val="21"/>
              </w:rPr>
            </w:pPr>
            <w:r>
              <w:rPr>
                <w:spacing w:val="-2"/>
                <w:szCs w:val="21"/>
              </w:rPr>
              <w:t>序</w:t>
            </w:r>
            <w:r>
              <w:rPr>
                <w:spacing w:val="-1"/>
                <w:szCs w:val="21"/>
              </w:rPr>
              <w:t>号</w:t>
            </w:r>
          </w:p>
        </w:tc>
        <w:tc>
          <w:tcPr>
            <w:tcW w:w="1166" w:type="dxa"/>
          </w:tcPr>
          <w:p w14:paraId="081921AA">
            <w:pPr>
              <w:spacing w:before="154" w:line="221" w:lineRule="auto"/>
              <w:ind w:left="164"/>
              <w:rPr>
                <w:szCs w:val="21"/>
              </w:rPr>
            </w:pPr>
            <w:r>
              <w:rPr>
                <w:spacing w:val="-1"/>
                <w:szCs w:val="21"/>
              </w:rPr>
              <w:t>物质名</w:t>
            </w:r>
            <w:r>
              <w:rPr>
                <w:szCs w:val="21"/>
              </w:rPr>
              <w:t>称</w:t>
            </w:r>
          </w:p>
        </w:tc>
        <w:tc>
          <w:tcPr>
            <w:tcW w:w="1406" w:type="dxa"/>
          </w:tcPr>
          <w:p w14:paraId="62BFC9CA">
            <w:pPr>
              <w:spacing w:before="154" w:line="234" w:lineRule="auto"/>
              <w:ind w:left="112"/>
              <w:rPr>
                <w:szCs w:val="21"/>
              </w:rPr>
            </w:pPr>
            <w:r>
              <w:rPr>
                <w:spacing w:val="8"/>
                <w:szCs w:val="21"/>
              </w:rPr>
              <w:t>最大储量(</w:t>
            </w:r>
            <w:r>
              <w:rPr>
                <w:rFonts w:eastAsia="Times New Roman"/>
                <w:b/>
                <w:bCs/>
                <w:szCs w:val="21"/>
              </w:rPr>
              <w:t>t</w:t>
            </w:r>
            <w:r>
              <w:rPr>
                <w:spacing w:val="8"/>
                <w:szCs w:val="21"/>
              </w:rPr>
              <w:t>)</w:t>
            </w:r>
          </w:p>
        </w:tc>
        <w:tc>
          <w:tcPr>
            <w:tcW w:w="2093" w:type="dxa"/>
          </w:tcPr>
          <w:p w14:paraId="6CAF9022">
            <w:pPr>
              <w:spacing w:before="153" w:line="221" w:lineRule="auto"/>
              <w:ind w:left="554"/>
              <w:rPr>
                <w:szCs w:val="21"/>
              </w:rPr>
            </w:pPr>
            <w:r>
              <w:rPr>
                <w:spacing w:val="-1"/>
                <w:szCs w:val="21"/>
              </w:rPr>
              <w:t>主要危</w:t>
            </w:r>
            <w:r>
              <w:rPr>
                <w:szCs w:val="21"/>
              </w:rPr>
              <w:t>险特性</w:t>
            </w:r>
          </w:p>
        </w:tc>
        <w:tc>
          <w:tcPr>
            <w:tcW w:w="3075" w:type="dxa"/>
          </w:tcPr>
          <w:p w14:paraId="18ACA491">
            <w:pPr>
              <w:spacing w:before="153" w:line="221" w:lineRule="auto"/>
              <w:ind w:left="836"/>
              <w:rPr>
                <w:szCs w:val="21"/>
              </w:rPr>
            </w:pPr>
            <w:r>
              <w:rPr>
                <w:spacing w:val="1"/>
                <w:szCs w:val="21"/>
              </w:rPr>
              <w:t>主要储</w:t>
            </w:r>
            <w:r>
              <w:rPr>
                <w:szCs w:val="21"/>
              </w:rPr>
              <w:t>存 (存在) 场所</w:t>
            </w:r>
          </w:p>
        </w:tc>
      </w:tr>
      <w:tr w14:paraId="4A20A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447" w:type="dxa"/>
            <w:gridSpan w:val="5"/>
          </w:tcPr>
          <w:p w14:paraId="5E4CE95D">
            <w:pPr>
              <w:spacing w:before="121" w:line="221" w:lineRule="auto"/>
              <w:ind w:left="4308"/>
              <w:rPr>
                <w:szCs w:val="21"/>
              </w:rPr>
            </w:pPr>
            <w:r>
              <w:rPr>
                <w:spacing w:val="-7"/>
                <w:szCs w:val="21"/>
              </w:rPr>
              <w:t>国</w:t>
            </w:r>
            <w:r>
              <w:rPr>
                <w:spacing w:val="-4"/>
                <w:szCs w:val="21"/>
              </w:rPr>
              <w:t>瑞药业</w:t>
            </w:r>
          </w:p>
        </w:tc>
      </w:tr>
      <w:tr w14:paraId="5F73C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07" w:type="dxa"/>
          </w:tcPr>
          <w:p w14:paraId="16812733">
            <w:pPr>
              <w:spacing w:before="186" w:line="187" w:lineRule="auto"/>
              <w:ind w:left="166"/>
              <w:rPr>
                <w:rFonts w:eastAsia="Times New Roman"/>
                <w:szCs w:val="21"/>
              </w:rPr>
            </w:pPr>
            <w:r>
              <w:rPr>
                <w:rFonts w:eastAsia="Times New Roman"/>
                <w:szCs w:val="21"/>
              </w:rPr>
              <w:t>1</w:t>
            </w:r>
          </w:p>
        </w:tc>
        <w:tc>
          <w:tcPr>
            <w:tcW w:w="1166" w:type="dxa"/>
          </w:tcPr>
          <w:p w14:paraId="33E3B860">
            <w:pPr>
              <w:spacing w:before="150" w:line="221" w:lineRule="auto"/>
              <w:ind w:left="167"/>
              <w:rPr>
                <w:szCs w:val="21"/>
              </w:rPr>
            </w:pPr>
            <w:r>
              <w:rPr>
                <w:spacing w:val="-2"/>
                <w:szCs w:val="21"/>
              </w:rPr>
              <w:t>三</w:t>
            </w:r>
            <w:r>
              <w:rPr>
                <w:spacing w:val="-1"/>
                <w:szCs w:val="21"/>
              </w:rPr>
              <w:t>氯化磷</w:t>
            </w:r>
          </w:p>
        </w:tc>
        <w:tc>
          <w:tcPr>
            <w:tcW w:w="1406" w:type="dxa"/>
          </w:tcPr>
          <w:p w14:paraId="1F912784">
            <w:pPr>
              <w:spacing w:before="186" w:line="187" w:lineRule="auto"/>
              <w:ind w:left="363"/>
              <w:rPr>
                <w:rFonts w:eastAsia="Times New Roman"/>
                <w:szCs w:val="21"/>
              </w:rPr>
            </w:pPr>
            <w:r>
              <w:rPr>
                <w:rFonts w:eastAsia="Times New Roman"/>
                <w:spacing w:val="-1"/>
                <w:szCs w:val="21"/>
              </w:rPr>
              <w:t>0.001</w:t>
            </w:r>
            <w:r>
              <w:rPr>
                <w:rFonts w:eastAsia="Times New Roman"/>
                <w:szCs w:val="21"/>
              </w:rPr>
              <w:t>57</w:t>
            </w:r>
          </w:p>
        </w:tc>
        <w:tc>
          <w:tcPr>
            <w:tcW w:w="2093" w:type="dxa"/>
          </w:tcPr>
          <w:p w14:paraId="79904653">
            <w:pPr>
              <w:spacing w:before="150" w:line="221" w:lineRule="auto"/>
              <w:ind w:left="976"/>
              <w:rPr>
                <w:szCs w:val="21"/>
              </w:rPr>
            </w:pPr>
            <w:r>
              <w:rPr>
                <w:spacing w:val="-2"/>
                <w:szCs w:val="21"/>
              </w:rPr>
              <w:t>剧毒</w:t>
            </w:r>
          </w:p>
        </w:tc>
        <w:tc>
          <w:tcPr>
            <w:tcW w:w="3075" w:type="dxa"/>
          </w:tcPr>
          <w:p w14:paraId="53307BB5">
            <w:pPr>
              <w:spacing w:before="171"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剧毒库</w:t>
            </w:r>
          </w:p>
        </w:tc>
      </w:tr>
      <w:tr w14:paraId="7C47A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07" w:type="dxa"/>
          </w:tcPr>
          <w:p w14:paraId="1A4345FE">
            <w:pPr>
              <w:spacing w:before="187" w:line="187" w:lineRule="auto"/>
              <w:ind w:left="145"/>
              <w:rPr>
                <w:rFonts w:eastAsia="Times New Roman"/>
                <w:szCs w:val="21"/>
              </w:rPr>
            </w:pPr>
            <w:r>
              <w:rPr>
                <w:rFonts w:eastAsia="Times New Roman"/>
                <w:szCs w:val="21"/>
              </w:rPr>
              <w:t>2</w:t>
            </w:r>
          </w:p>
        </w:tc>
        <w:tc>
          <w:tcPr>
            <w:tcW w:w="1166" w:type="dxa"/>
          </w:tcPr>
          <w:p w14:paraId="1D08C568">
            <w:pPr>
              <w:spacing w:before="151" w:line="221" w:lineRule="auto"/>
              <w:ind w:left="273"/>
              <w:rPr>
                <w:szCs w:val="21"/>
              </w:rPr>
            </w:pPr>
            <w:r>
              <w:rPr>
                <w:spacing w:val="-2"/>
                <w:szCs w:val="21"/>
              </w:rPr>
              <w:t>氯化汞</w:t>
            </w:r>
          </w:p>
        </w:tc>
        <w:tc>
          <w:tcPr>
            <w:tcW w:w="1406" w:type="dxa"/>
          </w:tcPr>
          <w:p w14:paraId="43946F4E">
            <w:pPr>
              <w:spacing w:before="187" w:line="187" w:lineRule="auto"/>
              <w:ind w:left="363"/>
              <w:rPr>
                <w:rFonts w:eastAsia="Times New Roman"/>
                <w:szCs w:val="21"/>
              </w:rPr>
            </w:pPr>
            <w:r>
              <w:rPr>
                <w:rFonts w:eastAsia="Times New Roman"/>
                <w:spacing w:val="-1"/>
                <w:szCs w:val="21"/>
              </w:rPr>
              <w:t>0.003</w:t>
            </w:r>
            <w:r>
              <w:rPr>
                <w:rFonts w:eastAsia="Times New Roman"/>
                <w:szCs w:val="21"/>
              </w:rPr>
              <w:t>75</w:t>
            </w:r>
          </w:p>
        </w:tc>
        <w:tc>
          <w:tcPr>
            <w:tcW w:w="2093" w:type="dxa"/>
          </w:tcPr>
          <w:p w14:paraId="79DCA171">
            <w:pPr>
              <w:spacing w:before="151" w:line="221" w:lineRule="auto"/>
              <w:ind w:left="976"/>
              <w:rPr>
                <w:szCs w:val="21"/>
              </w:rPr>
            </w:pPr>
            <w:r>
              <w:rPr>
                <w:spacing w:val="-2"/>
                <w:szCs w:val="21"/>
              </w:rPr>
              <w:t>剧毒</w:t>
            </w:r>
          </w:p>
        </w:tc>
        <w:tc>
          <w:tcPr>
            <w:tcW w:w="3075" w:type="dxa"/>
          </w:tcPr>
          <w:p w14:paraId="28311168">
            <w:pPr>
              <w:spacing w:before="173" w:line="213" w:lineRule="auto"/>
              <w:rPr>
                <w:szCs w:val="21"/>
              </w:rPr>
            </w:pPr>
            <w:r>
              <w:rPr>
                <w:rFonts w:eastAsia="Times New Roman"/>
                <w:spacing w:val="-1"/>
                <w:szCs w:val="21"/>
              </w:rPr>
              <w:t>25</w:t>
            </w:r>
            <w:r>
              <w:rPr>
                <w:rFonts w:eastAsia="Times New Roman"/>
                <w:szCs w:val="21"/>
              </w:rPr>
              <w:t>0g</w:t>
            </w:r>
            <w:r>
              <w:rPr>
                <w:szCs w:val="21"/>
              </w:rPr>
              <w:t>瓶装，剧毒库</w:t>
            </w:r>
          </w:p>
        </w:tc>
      </w:tr>
      <w:tr w14:paraId="04497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07" w:type="dxa"/>
          </w:tcPr>
          <w:p w14:paraId="21019896">
            <w:pPr>
              <w:spacing w:before="186" w:line="187" w:lineRule="auto"/>
              <w:ind w:left="150"/>
              <w:rPr>
                <w:rFonts w:eastAsia="Times New Roman"/>
                <w:szCs w:val="21"/>
              </w:rPr>
            </w:pPr>
            <w:r>
              <w:rPr>
                <w:rFonts w:eastAsia="Times New Roman"/>
                <w:szCs w:val="21"/>
              </w:rPr>
              <w:t>3</w:t>
            </w:r>
          </w:p>
        </w:tc>
        <w:tc>
          <w:tcPr>
            <w:tcW w:w="1166" w:type="dxa"/>
          </w:tcPr>
          <w:p w14:paraId="1F1DBFCE">
            <w:pPr>
              <w:spacing w:before="152" w:line="221" w:lineRule="auto"/>
              <w:ind w:left="287"/>
              <w:rPr>
                <w:szCs w:val="21"/>
              </w:rPr>
            </w:pPr>
            <w:r>
              <w:rPr>
                <w:spacing w:val="-5"/>
                <w:szCs w:val="21"/>
              </w:rPr>
              <w:t>乙酸汞</w:t>
            </w:r>
          </w:p>
        </w:tc>
        <w:tc>
          <w:tcPr>
            <w:tcW w:w="1406" w:type="dxa"/>
          </w:tcPr>
          <w:p w14:paraId="4E793DFB">
            <w:pPr>
              <w:spacing w:before="186" w:line="187" w:lineRule="auto"/>
              <w:ind w:left="416"/>
              <w:rPr>
                <w:rFonts w:eastAsia="Times New Roman"/>
                <w:szCs w:val="21"/>
              </w:rPr>
            </w:pPr>
            <w:r>
              <w:rPr>
                <w:rFonts w:eastAsia="Times New Roman"/>
                <w:spacing w:val="-1"/>
                <w:szCs w:val="21"/>
              </w:rPr>
              <w:t>0.00</w:t>
            </w:r>
            <w:r>
              <w:rPr>
                <w:rFonts w:eastAsia="Times New Roman"/>
                <w:szCs w:val="21"/>
              </w:rPr>
              <w:t>06</w:t>
            </w:r>
          </w:p>
        </w:tc>
        <w:tc>
          <w:tcPr>
            <w:tcW w:w="2093" w:type="dxa"/>
          </w:tcPr>
          <w:p w14:paraId="2CB803E9">
            <w:pPr>
              <w:spacing w:before="152" w:line="221" w:lineRule="auto"/>
              <w:ind w:left="976"/>
              <w:rPr>
                <w:szCs w:val="21"/>
              </w:rPr>
            </w:pPr>
            <w:r>
              <w:rPr>
                <w:spacing w:val="-2"/>
                <w:szCs w:val="21"/>
              </w:rPr>
              <w:t>剧毒</w:t>
            </w:r>
          </w:p>
        </w:tc>
        <w:tc>
          <w:tcPr>
            <w:tcW w:w="3075" w:type="dxa"/>
          </w:tcPr>
          <w:p w14:paraId="2C11FA34">
            <w:pPr>
              <w:spacing w:before="172" w:line="213" w:lineRule="auto"/>
              <w:rPr>
                <w:szCs w:val="21"/>
              </w:rPr>
            </w:pPr>
            <w:r>
              <w:rPr>
                <w:rFonts w:eastAsia="Times New Roman"/>
                <w:spacing w:val="-1"/>
                <w:szCs w:val="21"/>
              </w:rPr>
              <w:t>25</w:t>
            </w:r>
            <w:r>
              <w:rPr>
                <w:rFonts w:eastAsia="Times New Roman"/>
                <w:szCs w:val="21"/>
              </w:rPr>
              <w:t>0g</w:t>
            </w:r>
            <w:r>
              <w:rPr>
                <w:szCs w:val="21"/>
              </w:rPr>
              <w:t>瓶装，剧毒库</w:t>
            </w:r>
          </w:p>
        </w:tc>
      </w:tr>
      <w:tr w14:paraId="2EFB7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07" w:type="dxa"/>
          </w:tcPr>
          <w:p w14:paraId="3D8983A2">
            <w:pPr>
              <w:spacing w:before="189" w:line="187" w:lineRule="auto"/>
              <w:ind w:left="144"/>
              <w:rPr>
                <w:rFonts w:eastAsia="Times New Roman"/>
                <w:szCs w:val="21"/>
              </w:rPr>
            </w:pPr>
            <w:r>
              <w:rPr>
                <w:rFonts w:eastAsia="Times New Roman"/>
                <w:szCs w:val="21"/>
              </w:rPr>
              <w:t>4</w:t>
            </w:r>
          </w:p>
        </w:tc>
        <w:tc>
          <w:tcPr>
            <w:tcW w:w="1166" w:type="dxa"/>
          </w:tcPr>
          <w:p w14:paraId="6A9CDDD1">
            <w:pPr>
              <w:spacing w:before="153" w:line="217" w:lineRule="auto"/>
              <w:ind w:left="169"/>
              <w:rPr>
                <w:szCs w:val="21"/>
              </w:rPr>
            </w:pPr>
            <w:r>
              <w:rPr>
                <w:spacing w:val="-2"/>
                <w:szCs w:val="21"/>
              </w:rPr>
              <w:t>叠氮化钠</w:t>
            </w:r>
          </w:p>
        </w:tc>
        <w:tc>
          <w:tcPr>
            <w:tcW w:w="1406" w:type="dxa"/>
          </w:tcPr>
          <w:p w14:paraId="23717057">
            <w:pPr>
              <w:spacing w:before="189" w:line="187" w:lineRule="auto"/>
              <w:ind w:left="311"/>
              <w:rPr>
                <w:rFonts w:eastAsia="Times New Roman"/>
                <w:szCs w:val="21"/>
              </w:rPr>
            </w:pPr>
            <w:r>
              <w:rPr>
                <w:rFonts w:eastAsia="Times New Roman"/>
                <w:spacing w:val="-1"/>
                <w:szCs w:val="21"/>
              </w:rPr>
              <w:t>0.047</w:t>
            </w:r>
            <w:r>
              <w:rPr>
                <w:rFonts w:eastAsia="Times New Roman"/>
                <w:szCs w:val="21"/>
              </w:rPr>
              <w:t>537</w:t>
            </w:r>
          </w:p>
        </w:tc>
        <w:tc>
          <w:tcPr>
            <w:tcW w:w="2093" w:type="dxa"/>
          </w:tcPr>
          <w:p w14:paraId="5CC65539">
            <w:pPr>
              <w:spacing w:before="152" w:line="221" w:lineRule="auto"/>
              <w:ind w:left="976"/>
              <w:rPr>
                <w:szCs w:val="21"/>
              </w:rPr>
            </w:pPr>
            <w:r>
              <w:rPr>
                <w:spacing w:val="-2"/>
                <w:szCs w:val="21"/>
              </w:rPr>
              <w:t>剧毒</w:t>
            </w:r>
          </w:p>
        </w:tc>
        <w:tc>
          <w:tcPr>
            <w:tcW w:w="3075" w:type="dxa"/>
          </w:tcPr>
          <w:p w14:paraId="713CDD97">
            <w:pPr>
              <w:spacing w:before="175" w:line="213" w:lineRule="auto"/>
              <w:rPr>
                <w:szCs w:val="21"/>
              </w:rPr>
            </w:pPr>
            <w:r>
              <w:rPr>
                <w:rFonts w:eastAsia="Times New Roman"/>
                <w:spacing w:val="-14"/>
                <w:szCs w:val="21"/>
              </w:rPr>
              <w:t>2</w:t>
            </w:r>
            <w:r>
              <w:rPr>
                <w:rFonts w:eastAsia="Times New Roman"/>
                <w:spacing w:val="-8"/>
                <w:szCs w:val="21"/>
              </w:rPr>
              <w:t>5</w:t>
            </w:r>
            <w:r>
              <w:rPr>
                <w:rFonts w:eastAsia="Times New Roman"/>
                <w:spacing w:val="-7"/>
                <w:szCs w:val="21"/>
              </w:rPr>
              <w:t>kg</w:t>
            </w:r>
            <w:r>
              <w:rPr>
                <w:spacing w:val="-7"/>
                <w:szCs w:val="21"/>
              </w:rPr>
              <w:t>桶装和</w:t>
            </w:r>
            <w:r>
              <w:rPr>
                <w:rFonts w:eastAsia="Times New Roman"/>
                <w:spacing w:val="-7"/>
                <w:szCs w:val="21"/>
              </w:rPr>
              <w:t>100g</w:t>
            </w:r>
            <w:r>
              <w:rPr>
                <w:spacing w:val="-7"/>
                <w:szCs w:val="21"/>
              </w:rPr>
              <w:t>瓶装，剧毒库</w:t>
            </w:r>
          </w:p>
        </w:tc>
      </w:tr>
      <w:tr w14:paraId="702A5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707" w:type="dxa"/>
          </w:tcPr>
          <w:p w14:paraId="0E57CBB6">
            <w:pPr>
              <w:spacing w:before="61" w:line="184" w:lineRule="auto"/>
              <w:jc w:val="center"/>
              <w:rPr>
                <w:rFonts w:eastAsia="Times New Roman"/>
                <w:szCs w:val="21"/>
              </w:rPr>
            </w:pPr>
            <w:r>
              <w:rPr>
                <w:rFonts w:eastAsia="Times New Roman"/>
                <w:szCs w:val="21"/>
              </w:rPr>
              <w:t>5</w:t>
            </w:r>
          </w:p>
        </w:tc>
        <w:tc>
          <w:tcPr>
            <w:tcW w:w="1166" w:type="dxa"/>
          </w:tcPr>
          <w:p w14:paraId="577364F9">
            <w:pPr>
              <w:spacing w:before="154" w:line="290" w:lineRule="auto"/>
              <w:ind w:right="159"/>
              <w:jc w:val="center"/>
              <w:rPr>
                <w:szCs w:val="21"/>
              </w:rPr>
            </w:pPr>
            <w:r>
              <w:rPr>
                <w:spacing w:val="-2"/>
                <w:szCs w:val="21"/>
              </w:rPr>
              <w:t>三氧</w:t>
            </w:r>
            <w:r>
              <w:rPr>
                <w:spacing w:val="-1"/>
                <w:szCs w:val="21"/>
              </w:rPr>
              <w:t>化二</w:t>
            </w:r>
            <w:r>
              <w:rPr>
                <w:szCs w:val="21"/>
              </w:rPr>
              <w:t>砷</w:t>
            </w:r>
          </w:p>
        </w:tc>
        <w:tc>
          <w:tcPr>
            <w:tcW w:w="1406" w:type="dxa"/>
          </w:tcPr>
          <w:p w14:paraId="53BD2D6D">
            <w:pPr>
              <w:spacing w:before="61" w:line="187" w:lineRule="auto"/>
              <w:jc w:val="center"/>
              <w:rPr>
                <w:rFonts w:eastAsia="Times New Roman"/>
                <w:szCs w:val="21"/>
              </w:rPr>
            </w:pPr>
            <w:r>
              <w:rPr>
                <w:rFonts w:eastAsia="Times New Roman"/>
                <w:spacing w:val="-1"/>
                <w:szCs w:val="21"/>
              </w:rPr>
              <w:t>0.00</w:t>
            </w:r>
            <w:r>
              <w:rPr>
                <w:rFonts w:eastAsia="Times New Roman"/>
                <w:szCs w:val="21"/>
              </w:rPr>
              <w:t>012</w:t>
            </w:r>
          </w:p>
        </w:tc>
        <w:tc>
          <w:tcPr>
            <w:tcW w:w="2093" w:type="dxa"/>
          </w:tcPr>
          <w:p w14:paraId="6CBE1AD0">
            <w:pPr>
              <w:spacing w:before="68" w:line="221" w:lineRule="auto"/>
              <w:jc w:val="center"/>
              <w:rPr>
                <w:szCs w:val="21"/>
              </w:rPr>
            </w:pPr>
            <w:r>
              <w:rPr>
                <w:spacing w:val="-2"/>
                <w:szCs w:val="21"/>
              </w:rPr>
              <w:t>剧毒</w:t>
            </w:r>
          </w:p>
        </w:tc>
        <w:tc>
          <w:tcPr>
            <w:tcW w:w="3075" w:type="dxa"/>
          </w:tcPr>
          <w:p w14:paraId="50799DD2">
            <w:pPr>
              <w:spacing w:before="69" w:line="213" w:lineRule="auto"/>
              <w:rPr>
                <w:szCs w:val="21"/>
              </w:rPr>
            </w:pPr>
            <w:r>
              <w:rPr>
                <w:rFonts w:eastAsia="Times New Roman"/>
                <w:spacing w:val="-2"/>
                <w:szCs w:val="21"/>
              </w:rPr>
              <w:t>100g</w:t>
            </w:r>
            <w:r>
              <w:rPr>
                <w:spacing w:val="-2"/>
                <w:szCs w:val="21"/>
              </w:rPr>
              <w:t>瓶装，剧毒库</w:t>
            </w:r>
          </w:p>
        </w:tc>
      </w:tr>
    </w:tbl>
    <w:p w14:paraId="69A90A65">
      <w:pPr>
        <w:spacing w:before="238" w:line="219" w:lineRule="auto"/>
        <w:ind w:left="683"/>
        <w:rPr>
          <w:rFonts w:eastAsiaTheme="minorEastAsia"/>
          <w:b/>
          <w:sz w:val="24"/>
          <w:szCs w:val="24"/>
        </w:rPr>
      </w:pPr>
      <w:bookmarkStart w:id="143" w:name="_bookmark49"/>
      <w:bookmarkEnd w:id="143"/>
      <w:r>
        <w:rPr>
          <w:rFonts w:eastAsiaTheme="minorEastAsia"/>
          <w:b/>
          <w:sz w:val="24"/>
          <w:szCs w:val="24"/>
        </w:rPr>
        <w:t>（6）监控化学品辨识</w:t>
      </w:r>
    </w:p>
    <w:p w14:paraId="0C2FA22E">
      <w:pPr>
        <w:widowControl/>
        <w:spacing w:line="360" w:lineRule="auto"/>
        <w:ind w:firstLine="480" w:firstLineChars="200"/>
        <w:jc w:val="left"/>
        <w:rPr>
          <w:sz w:val="24"/>
        </w:rPr>
      </w:pPr>
      <w:r>
        <w:rPr>
          <w:sz w:val="24"/>
        </w:rPr>
        <w:t>对照《各类监控化学品名录》(工信部令第 52 号)，化工园区四至范围内已入驻的德邦化工、恒诚制药、水卫士环保科技、国瑞药业四家化工企业，块二正在建设的三家化工为企业淮南锦德生物科技有限公司、安徽森吉制药有限公司和安徽山河药用辅料股份有限公司，涉及的监控危险化学品如表7.1-6。</w:t>
      </w:r>
    </w:p>
    <w:p w14:paraId="1D91FD54">
      <w:pPr>
        <w:spacing w:before="60" w:line="214" w:lineRule="auto"/>
        <w:ind w:left="2454"/>
        <w:rPr>
          <w:sz w:val="24"/>
          <w:szCs w:val="24"/>
        </w:rPr>
      </w:pPr>
      <w:r>
        <w:rPr>
          <w:spacing w:val="-3"/>
          <w:sz w:val="24"/>
          <w:szCs w:val="24"/>
        </w:rPr>
        <w:t>表7</w:t>
      </w:r>
      <w:r>
        <w:rPr>
          <w:rFonts w:eastAsia="Times New Roman"/>
          <w:spacing w:val="-3"/>
          <w:sz w:val="24"/>
          <w:szCs w:val="24"/>
        </w:rPr>
        <w:t>.1-6</w:t>
      </w:r>
      <w:r>
        <w:rPr>
          <w:spacing w:val="-3"/>
          <w:sz w:val="24"/>
          <w:szCs w:val="24"/>
        </w:rPr>
        <w:t>、化工园区监控危险化学品辨识</w:t>
      </w:r>
      <w:r>
        <w:rPr>
          <w:sz w:val="24"/>
          <w:szCs w:val="24"/>
        </w:rPr>
        <w:t>表</w:t>
      </w:r>
    </w:p>
    <w:tbl>
      <w:tblPr>
        <w:tblStyle w:val="58"/>
        <w:tblW w:w="8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166"/>
        <w:gridCol w:w="1406"/>
        <w:gridCol w:w="2358"/>
        <w:gridCol w:w="2585"/>
      </w:tblGrid>
      <w:tr w14:paraId="7B6498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707" w:type="dxa"/>
          </w:tcPr>
          <w:p w14:paraId="5518BD8E">
            <w:pPr>
              <w:spacing w:before="154" w:line="222" w:lineRule="auto"/>
              <w:ind w:left="146"/>
              <w:rPr>
                <w:szCs w:val="21"/>
              </w:rPr>
            </w:pPr>
            <w:r>
              <w:rPr>
                <w:spacing w:val="-2"/>
                <w:szCs w:val="21"/>
              </w:rPr>
              <w:t>序</w:t>
            </w:r>
            <w:r>
              <w:rPr>
                <w:spacing w:val="-1"/>
                <w:szCs w:val="21"/>
              </w:rPr>
              <w:t>号</w:t>
            </w:r>
          </w:p>
        </w:tc>
        <w:tc>
          <w:tcPr>
            <w:tcW w:w="1166" w:type="dxa"/>
          </w:tcPr>
          <w:p w14:paraId="7E62909C">
            <w:pPr>
              <w:spacing w:before="154" w:line="221" w:lineRule="auto"/>
              <w:ind w:left="164"/>
              <w:rPr>
                <w:szCs w:val="21"/>
              </w:rPr>
            </w:pPr>
            <w:r>
              <w:rPr>
                <w:spacing w:val="-1"/>
                <w:szCs w:val="21"/>
              </w:rPr>
              <w:t>物质名</w:t>
            </w:r>
            <w:r>
              <w:rPr>
                <w:szCs w:val="21"/>
              </w:rPr>
              <w:t>称</w:t>
            </w:r>
          </w:p>
        </w:tc>
        <w:tc>
          <w:tcPr>
            <w:tcW w:w="1406" w:type="dxa"/>
          </w:tcPr>
          <w:p w14:paraId="18950118">
            <w:pPr>
              <w:spacing w:before="154" w:line="234" w:lineRule="auto"/>
              <w:ind w:left="112"/>
              <w:rPr>
                <w:szCs w:val="21"/>
              </w:rPr>
            </w:pPr>
            <w:r>
              <w:rPr>
                <w:spacing w:val="8"/>
                <w:szCs w:val="21"/>
              </w:rPr>
              <w:t>最大储量(</w:t>
            </w:r>
            <w:r>
              <w:rPr>
                <w:rFonts w:eastAsia="Times New Roman"/>
                <w:b/>
                <w:bCs/>
                <w:szCs w:val="21"/>
              </w:rPr>
              <w:t>t</w:t>
            </w:r>
            <w:r>
              <w:rPr>
                <w:spacing w:val="8"/>
                <w:szCs w:val="21"/>
              </w:rPr>
              <w:t>)</w:t>
            </w:r>
          </w:p>
        </w:tc>
        <w:tc>
          <w:tcPr>
            <w:tcW w:w="2358" w:type="dxa"/>
          </w:tcPr>
          <w:p w14:paraId="5798A109">
            <w:pPr>
              <w:spacing w:before="153" w:line="221" w:lineRule="auto"/>
              <w:ind w:left="554"/>
              <w:rPr>
                <w:szCs w:val="21"/>
              </w:rPr>
            </w:pPr>
            <w:r>
              <w:rPr>
                <w:spacing w:val="-1"/>
                <w:szCs w:val="21"/>
              </w:rPr>
              <w:t>主要危</w:t>
            </w:r>
            <w:r>
              <w:rPr>
                <w:szCs w:val="21"/>
              </w:rPr>
              <w:t>险特性</w:t>
            </w:r>
          </w:p>
        </w:tc>
        <w:tc>
          <w:tcPr>
            <w:tcW w:w="2585" w:type="dxa"/>
          </w:tcPr>
          <w:p w14:paraId="78F6E48D">
            <w:pPr>
              <w:spacing w:before="153" w:line="221" w:lineRule="auto"/>
              <w:rPr>
                <w:szCs w:val="21"/>
              </w:rPr>
            </w:pPr>
            <w:r>
              <w:rPr>
                <w:spacing w:val="1"/>
                <w:szCs w:val="21"/>
              </w:rPr>
              <w:t>主要储</w:t>
            </w:r>
            <w:r>
              <w:rPr>
                <w:szCs w:val="21"/>
              </w:rPr>
              <w:t>存(存在)场所</w:t>
            </w:r>
          </w:p>
        </w:tc>
      </w:tr>
      <w:tr w14:paraId="0B844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8222" w:type="dxa"/>
            <w:gridSpan w:val="5"/>
          </w:tcPr>
          <w:p w14:paraId="0429C20B">
            <w:pPr>
              <w:spacing w:before="122" w:line="221" w:lineRule="auto"/>
              <w:ind w:left="4308"/>
              <w:rPr>
                <w:szCs w:val="21"/>
              </w:rPr>
            </w:pPr>
            <w:r>
              <w:rPr>
                <w:spacing w:val="-7"/>
                <w:szCs w:val="21"/>
              </w:rPr>
              <w:t>国</w:t>
            </w:r>
            <w:r>
              <w:rPr>
                <w:spacing w:val="-4"/>
                <w:szCs w:val="21"/>
              </w:rPr>
              <w:t>瑞药业</w:t>
            </w:r>
          </w:p>
        </w:tc>
      </w:tr>
      <w:tr w14:paraId="70800A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trPr>
        <w:tc>
          <w:tcPr>
            <w:tcW w:w="707" w:type="dxa"/>
          </w:tcPr>
          <w:p w14:paraId="39DD2C61">
            <w:pPr>
              <w:spacing w:before="186" w:line="187" w:lineRule="auto"/>
              <w:ind w:left="166"/>
              <w:rPr>
                <w:rFonts w:eastAsia="Times New Roman"/>
                <w:szCs w:val="21"/>
              </w:rPr>
            </w:pPr>
            <w:r>
              <w:rPr>
                <w:rFonts w:eastAsia="Times New Roman"/>
                <w:szCs w:val="21"/>
              </w:rPr>
              <w:t>1</w:t>
            </w:r>
          </w:p>
        </w:tc>
        <w:tc>
          <w:tcPr>
            <w:tcW w:w="1166" w:type="dxa"/>
          </w:tcPr>
          <w:p w14:paraId="2DC0F406">
            <w:pPr>
              <w:spacing w:before="152" w:line="221" w:lineRule="auto"/>
              <w:ind w:left="167"/>
              <w:rPr>
                <w:szCs w:val="21"/>
              </w:rPr>
            </w:pPr>
            <w:r>
              <w:rPr>
                <w:spacing w:val="-2"/>
                <w:szCs w:val="21"/>
              </w:rPr>
              <w:t>三</w:t>
            </w:r>
            <w:r>
              <w:rPr>
                <w:spacing w:val="-1"/>
                <w:szCs w:val="21"/>
              </w:rPr>
              <w:t>氯化磷</w:t>
            </w:r>
          </w:p>
        </w:tc>
        <w:tc>
          <w:tcPr>
            <w:tcW w:w="1406" w:type="dxa"/>
          </w:tcPr>
          <w:p w14:paraId="6363D029">
            <w:pPr>
              <w:spacing w:before="186" w:line="187" w:lineRule="auto"/>
              <w:ind w:left="363"/>
              <w:rPr>
                <w:rFonts w:eastAsia="Times New Roman"/>
                <w:szCs w:val="21"/>
              </w:rPr>
            </w:pPr>
            <w:r>
              <w:rPr>
                <w:rFonts w:eastAsia="Times New Roman"/>
                <w:spacing w:val="-1"/>
                <w:szCs w:val="21"/>
              </w:rPr>
              <w:t>0.001</w:t>
            </w:r>
            <w:r>
              <w:rPr>
                <w:rFonts w:eastAsia="Times New Roman"/>
                <w:szCs w:val="21"/>
              </w:rPr>
              <w:t>57</w:t>
            </w:r>
          </w:p>
        </w:tc>
        <w:tc>
          <w:tcPr>
            <w:tcW w:w="2358" w:type="dxa"/>
          </w:tcPr>
          <w:p w14:paraId="50A73516">
            <w:pPr>
              <w:spacing w:before="152" w:line="221" w:lineRule="auto"/>
              <w:ind w:left="976"/>
              <w:rPr>
                <w:szCs w:val="21"/>
              </w:rPr>
            </w:pPr>
            <w:r>
              <w:rPr>
                <w:spacing w:val="-2"/>
                <w:szCs w:val="21"/>
              </w:rPr>
              <w:t>剧毒</w:t>
            </w:r>
          </w:p>
        </w:tc>
        <w:tc>
          <w:tcPr>
            <w:tcW w:w="2585" w:type="dxa"/>
          </w:tcPr>
          <w:p w14:paraId="14E9AFEF">
            <w:pPr>
              <w:spacing w:before="171"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剧毒库</w:t>
            </w:r>
          </w:p>
        </w:tc>
      </w:tr>
    </w:tbl>
    <w:p w14:paraId="09571805">
      <w:pPr>
        <w:spacing w:before="238" w:line="219" w:lineRule="auto"/>
        <w:ind w:left="683"/>
        <w:rPr>
          <w:rFonts w:eastAsiaTheme="minorEastAsia"/>
          <w:b/>
          <w:sz w:val="24"/>
          <w:szCs w:val="24"/>
        </w:rPr>
      </w:pPr>
      <w:bookmarkStart w:id="144" w:name="_bookmark50"/>
      <w:bookmarkEnd w:id="144"/>
      <w:r>
        <w:rPr>
          <w:rFonts w:eastAsiaTheme="minorEastAsia"/>
          <w:b/>
          <w:sz w:val="24"/>
          <w:szCs w:val="24"/>
        </w:rPr>
        <w:t>（7）高毒化学品辨识</w:t>
      </w:r>
    </w:p>
    <w:p w14:paraId="132C9E97">
      <w:pPr>
        <w:widowControl/>
        <w:spacing w:line="360" w:lineRule="auto"/>
        <w:ind w:firstLine="480" w:firstLineChars="200"/>
        <w:jc w:val="left"/>
        <w:rPr>
          <w:sz w:val="24"/>
        </w:rPr>
      </w:pPr>
      <w:r>
        <w:rPr>
          <w:sz w:val="24"/>
        </w:rPr>
        <w:t>对照 《高毒物品目录》(卫法监发〔2003〕142号)，化工园区四至范围内已入驻的德邦化工、恒诚制药、水卫士环保科技、国瑞药业四家化工企业，块二正在建设的三家化工为企业淮南锦德生物科技有限公司、安徽森吉制药有限公司和安徽山河药用辅料股份有限公司，涉及的监控危险化学品如表7.1-7。</w:t>
      </w:r>
    </w:p>
    <w:p w14:paraId="631EA7F6">
      <w:pPr>
        <w:spacing w:before="60" w:line="214" w:lineRule="auto"/>
        <w:ind w:left="2454"/>
        <w:rPr>
          <w:sz w:val="24"/>
          <w:szCs w:val="24"/>
        </w:rPr>
      </w:pPr>
      <w:r>
        <w:rPr>
          <w:spacing w:val="-3"/>
          <w:sz w:val="24"/>
          <w:szCs w:val="24"/>
        </w:rPr>
        <w:t>表7</w:t>
      </w:r>
      <w:r>
        <w:rPr>
          <w:rFonts w:eastAsia="Times New Roman"/>
          <w:spacing w:val="-3"/>
          <w:sz w:val="24"/>
          <w:szCs w:val="24"/>
        </w:rPr>
        <w:t xml:space="preserve">.1-7  </w:t>
      </w:r>
      <w:r>
        <w:rPr>
          <w:spacing w:val="-3"/>
          <w:sz w:val="24"/>
          <w:szCs w:val="24"/>
        </w:rPr>
        <w:t>化工园区高毒危险化学品辨识</w:t>
      </w:r>
      <w:r>
        <w:rPr>
          <w:sz w:val="24"/>
          <w:szCs w:val="24"/>
        </w:rPr>
        <w:t>表</w:t>
      </w:r>
    </w:p>
    <w:tbl>
      <w:tblPr>
        <w:tblStyle w:val="58"/>
        <w:tblW w:w="822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166"/>
        <w:gridCol w:w="1641"/>
        <w:gridCol w:w="1896"/>
        <w:gridCol w:w="2812"/>
      </w:tblGrid>
      <w:tr w14:paraId="4C7C9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707" w:type="dxa"/>
          </w:tcPr>
          <w:p w14:paraId="2BAF5FCD">
            <w:pPr>
              <w:spacing w:before="154" w:line="222" w:lineRule="auto"/>
              <w:ind w:left="146"/>
              <w:rPr>
                <w:szCs w:val="21"/>
              </w:rPr>
            </w:pPr>
            <w:r>
              <w:rPr>
                <w:spacing w:val="-2"/>
                <w:szCs w:val="21"/>
              </w:rPr>
              <w:t>序</w:t>
            </w:r>
            <w:r>
              <w:rPr>
                <w:spacing w:val="-1"/>
                <w:szCs w:val="21"/>
              </w:rPr>
              <w:t>号</w:t>
            </w:r>
          </w:p>
        </w:tc>
        <w:tc>
          <w:tcPr>
            <w:tcW w:w="1166" w:type="dxa"/>
          </w:tcPr>
          <w:p w14:paraId="710EB263">
            <w:pPr>
              <w:spacing w:before="154" w:line="221" w:lineRule="auto"/>
              <w:ind w:left="164"/>
              <w:rPr>
                <w:szCs w:val="21"/>
              </w:rPr>
            </w:pPr>
            <w:r>
              <w:rPr>
                <w:spacing w:val="-1"/>
                <w:szCs w:val="21"/>
              </w:rPr>
              <w:t>物质名</w:t>
            </w:r>
            <w:r>
              <w:rPr>
                <w:szCs w:val="21"/>
              </w:rPr>
              <w:t>称</w:t>
            </w:r>
          </w:p>
        </w:tc>
        <w:tc>
          <w:tcPr>
            <w:tcW w:w="1641" w:type="dxa"/>
          </w:tcPr>
          <w:p w14:paraId="68BBE720">
            <w:pPr>
              <w:spacing w:before="154" w:line="234" w:lineRule="auto"/>
              <w:ind w:left="158"/>
              <w:rPr>
                <w:szCs w:val="21"/>
              </w:rPr>
            </w:pPr>
            <w:r>
              <w:rPr>
                <w:spacing w:val="17"/>
                <w:szCs w:val="21"/>
              </w:rPr>
              <w:t>最大储量(</w:t>
            </w:r>
            <w:r>
              <w:rPr>
                <w:rFonts w:eastAsia="Times New Roman"/>
                <w:b/>
                <w:bCs/>
                <w:szCs w:val="21"/>
              </w:rPr>
              <w:t>t</w:t>
            </w:r>
            <w:r>
              <w:rPr>
                <w:spacing w:val="16"/>
                <w:szCs w:val="21"/>
              </w:rPr>
              <w:t>)</w:t>
            </w:r>
          </w:p>
        </w:tc>
        <w:tc>
          <w:tcPr>
            <w:tcW w:w="1896" w:type="dxa"/>
          </w:tcPr>
          <w:p w14:paraId="2BF35BAC">
            <w:pPr>
              <w:spacing w:before="153" w:line="221" w:lineRule="auto"/>
              <w:ind w:left="434"/>
              <w:rPr>
                <w:szCs w:val="21"/>
              </w:rPr>
            </w:pPr>
            <w:r>
              <w:rPr>
                <w:spacing w:val="-1"/>
                <w:szCs w:val="21"/>
              </w:rPr>
              <w:t>主要危</w:t>
            </w:r>
            <w:r>
              <w:rPr>
                <w:szCs w:val="21"/>
              </w:rPr>
              <w:t>险特性</w:t>
            </w:r>
          </w:p>
        </w:tc>
        <w:tc>
          <w:tcPr>
            <w:tcW w:w="2812" w:type="dxa"/>
          </w:tcPr>
          <w:p w14:paraId="048A6C85">
            <w:pPr>
              <w:spacing w:before="153" w:line="221" w:lineRule="auto"/>
              <w:rPr>
                <w:szCs w:val="21"/>
              </w:rPr>
            </w:pPr>
            <w:r>
              <w:rPr>
                <w:spacing w:val="-1"/>
                <w:szCs w:val="21"/>
              </w:rPr>
              <w:t>主要储</w:t>
            </w:r>
            <w:r>
              <w:rPr>
                <w:szCs w:val="21"/>
              </w:rPr>
              <w:t>存场所</w:t>
            </w:r>
          </w:p>
        </w:tc>
      </w:tr>
      <w:tr w14:paraId="763DB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222" w:type="dxa"/>
            <w:gridSpan w:val="5"/>
          </w:tcPr>
          <w:p w14:paraId="442F1879">
            <w:pPr>
              <w:spacing w:before="121" w:line="221" w:lineRule="auto"/>
              <w:ind w:left="4308"/>
              <w:rPr>
                <w:szCs w:val="21"/>
              </w:rPr>
            </w:pPr>
            <w:r>
              <w:rPr>
                <w:spacing w:val="-7"/>
                <w:szCs w:val="21"/>
              </w:rPr>
              <w:t>国</w:t>
            </w:r>
            <w:r>
              <w:rPr>
                <w:spacing w:val="-4"/>
                <w:szCs w:val="21"/>
              </w:rPr>
              <w:t>瑞药业</w:t>
            </w:r>
          </w:p>
        </w:tc>
      </w:tr>
      <w:tr w14:paraId="6B109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707" w:type="dxa"/>
          </w:tcPr>
          <w:p w14:paraId="2377787B">
            <w:pPr>
              <w:spacing w:before="186" w:line="187" w:lineRule="auto"/>
              <w:ind w:left="166"/>
              <w:rPr>
                <w:rFonts w:eastAsia="Times New Roman"/>
                <w:szCs w:val="21"/>
              </w:rPr>
            </w:pPr>
            <w:r>
              <w:rPr>
                <w:rFonts w:eastAsia="Times New Roman"/>
                <w:szCs w:val="21"/>
              </w:rPr>
              <w:t>1</w:t>
            </w:r>
          </w:p>
        </w:tc>
        <w:tc>
          <w:tcPr>
            <w:tcW w:w="1166" w:type="dxa"/>
          </w:tcPr>
          <w:p w14:paraId="218B1A4A">
            <w:pPr>
              <w:spacing w:before="150" w:line="221" w:lineRule="auto"/>
              <w:ind w:left="273"/>
              <w:rPr>
                <w:szCs w:val="21"/>
              </w:rPr>
            </w:pPr>
            <w:r>
              <w:rPr>
                <w:spacing w:val="-2"/>
                <w:szCs w:val="21"/>
              </w:rPr>
              <w:t>氯化汞</w:t>
            </w:r>
          </w:p>
        </w:tc>
        <w:tc>
          <w:tcPr>
            <w:tcW w:w="1641" w:type="dxa"/>
          </w:tcPr>
          <w:p w14:paraId="19EEC7C7">
            <w:pPr>
              <w:spacing w:before="186" w:line="187" w:lineRule="auto"/>
              <w:ind w:left="482"/>
              <w:rPr>
                <w:rFonts w:eastAsia="Times New Roman"/>
                <w:szCs w:val="21"/>
              </w:rPr>
            </w:pPr>
            <w:r>
              <w:rPr>
                <w:rFonts w:eastAsia="Times New Roman"/>
                <w:spacing w:val="-1"/>
                <w:szCs w:val="21"/>
              </w:rPr>
              <w:t>0.003</w:t>
            </w:r>
            <w:r>
              <w:rPr>
                <w:rFonts w:eastAsia="Times New Roman"/>
                <w:szCs w:val="21"/>
              </w:rPr>
              <w:t>75</w:t>
            </w:r>
          </w:p>
        </w:tc>
        <w:tc>
          <w:tcPr>
            <w:tcW w:w="1896" w:type="dxa"/>
          </w:tcPr>
          <w:p w14:paraId="76E285C9">
            <w:pPr>
              <w:spacing w:before="150" w:line="221" w:lineRule="auto"/>
              <w:ind w:left="541"/>
              <w:rPr>
                <w:szCs w:val="21"/>
              </w:rPr>
            </w:pPr>
            <w:r>
              <w:rPr>
                <w:spacing w:val="-2"/>
                <w:szCs w:val="21"/>
              </w:rPr>
              <w:t>剧</w:t>
            </w:r>
            <w:r>
              <w:rPr>
                <w:spacing w:val="-1"/>
                <w:szCs w:val="21"/>
              </w:rPr>
              <w:t>毒、高毒</w:t>
            </w:r>
          </w:p>
        </w:tc>
        <w:tc>
          <w:tcPr>
            <w:tcW w:w="2812" w:type="dxa"/>
          </w:tcPr>
          <w:p w14:paraId="7E5755C5">
            <w:pPr>
              <w:spacing w:before="172" w:line="213" w:lineRule="auto"/>
              <w:rPr>
                <w:szCs w:val="21"/>
              </w:rPr>
            </w:pPr>
            <w:r>
              <w:rPr>
                <w:rFonts w:eastAsia="Times New Roman"/>
                <w:spacing w:val="-1"/>
                <w:szCs w:val="21"/>
              </w:rPr>
              <w:t>25</w:t>
            </w:r>
            <w:r>
              <w:rPr>
                <w:rFonts w:eastAsia="Times New Roman"/>
                <w:szCs w:val="21"/>
              </w:rPr>
              <w:t>0g</w:t>
            </w:r>
            <w:r>
              <w:rPr>
                <w:szCs w:val="21"/>
              </w:rPr>
              <w:t>瓶装，剧毒库</w:t>
            </w:r>
          </w:p>
        </w:tc>
      </w:tr>
      <w:tr w14:paraId="551D6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07" w:type="dxa"/>
          </w:tcPr>
          <w:p w14:paraId="050094E1">
            <w:pPr>
              <w:spacing w:line="281" w:lineRule="auto"/>
            </w:pPr>
          </w:p>
          <w:p w14:paraId="42ABE58C">
            <w:pPr>
              <w:spacing w:before="61" w:line="187" w:lineRule="auto"/>
              <w:ind w:left="145"/>
              <w:rPr>
                <w:rFonts w:eastAsia="Times New Roman"/>
                <w:szCs w:val="21"/>
              </w:rPr>
            </w:pPr>
            <w:r>
              <w:rPr>
                <w:rFonts w:eastAsia="Times New Roman"/>
                <w:szCs w:val="21"/>
              </w:rPr>
              <w:t>2</w:t>
            </w:r>
          </w:p>
        </w:tc>
        <w:tc>
          <w:tcPr>
            <w:tcW w:w="1166" w:type="dxa"/>
          </w:tcPr>
          <w:p w14:paraId="3FE4A890">
            <w:pPr>
              <w:spacing w:before="151" w:line="288" w:lineRule="auto"/>
              <w:ind w:left="480" w:right="159" w:hanging="313"/>
              <w:rPr>
                <w:szCs w:val="21"/>
              </w:rPr>
            </w:pPr>
            <w:r>
              <w:rPr>
                <w:spacing w:val="-2"/>
                <w:szCs w:val="21"/>
              </w:rPr>
              <w:t>三氧</w:t>
            </w:r>
            <w:r>
              <w:rPr>
                <w:spacing w:val="-1"/>
                <w:szCs w:val="21"/>
              </w:rPr>
              <w:t>化二</w:t>
            </w:r>
            <w:r>
              <w:rPr>
                <w:szCs w:val="21"/>
              </w:rPr>
              <w:t>砷</w:t>
            </w:r>
          </w:p>
        </w:tc>
        <w:tc>
          <w:tcPr>
            <w:tcW w:w="1641" w:type="dxa"/>
          </w:tcPr>
          <w:p w14:paraId="04D354CB">
            <w:pPr>
              <w:spacing w:line="281" w:lineRule="auto"/>
            </w:pPr>
          </w:p>
          <w:p w14:paraId="5D773026">
            <w:pPr>
              <w:spacing w:before="61" w:line="187" w:lineRule="auto"/>
              <w:ind w:left="482"/>
              <w:rPr>
                <w:rFonts w:eastAsia="Times New Roman"/>
                <w:szCs w:val="21"/>
              </w:rPr>
            </w:pPr>
            <w:r>
              <w:rPr>
                <w:rFonts w:eastAsia="Times New Roman"/>
                <w:spacing w:val="-1"/>
                <w:szCs w:val="21"/>
              </w:rPr>
              <w:t>0.000</w:t>
            </w:r>
            <w:r>
              <w:rPr>
                <w:rFonts w:eastAsia="Times New Roman"/>
                <w:szCs w:val="21"/>
              </w:rPr>
              <w:t>12</w:t>
            </w:r>
          </w:p>
        </w:tc>
        <w:tc>
          <w:tcPr>
            <w:tcW w:w="1896" w:type="dxa"/>
          </w:tcPr>
          <w:p w14:paraId="645C9C95">
            <w:pPr>
              <w:spacing w:before="307" w:line="221" w:lineRule="auto"/>
              <w:ind w:left="541"/>
              <w:rPr>
                <w:szCs w:val="21"/>
              </w:rPr>
            </w:pPr>
            <w:r>
              <w:rPr>
                <w:spacing w:val="-2"/>
                <w:szCs w:val="21"/>
              </w:rPr>
              <w:t>剧</w:t>
            </w:r>
            <w:r>
              <w:rPr>
                <w:spacing w:val="-1"/>
                <w:szCs w:val="21"/>
              </w:rPr>
              <w:t>毒、高毒</w:t>
            </w:r>
          </w:p>
        </w:tc>
        <w:tc>
          <w:tcPr>
            <w:tcW w:w="2812" w:type="dxa"/>
          </w:tcPr>
          <w:p w14:paraId="76EE7CF8">
            <w:pPr>
              <w:spacing w:line="259" w:lineRule="auto"/>
            </w:pPr>
          </w:p>
          <w:p w14:paraId="3550D78F">
            <w:pPr>
              <w:spacing w:before="69" w:line="213" w:lineRule="auto"/>
              <w:rPr>
                <w:szCs w:val="21"/>
              </w:rPr>
            </w:pPr>
            <w:r>
              <w:rPr>
                <w:rFonts w:eastAsia="Times New Roman"/>
                <w:spacing w:val="-2"/>
                <w:szCs w:val="21"/>
              </w:rPr>
              <w:t>100g</w:t>
            </w:r>
            <w:r>
              <w:rPr>
                <w:spacing w:val="-2"/>
                <w:szCs w:val="21"/>
              </w:rPr>
              <w:t>瓶装，剧毒库</w:t>
            </w:r>
          </w:p>
        </w:tc>
      </w:tr>
      <w:tr w14:paraId="444B6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8222" w:type="dxa"/>
            <w:gridSpan w:val="5"/>
          </w:tcPr>
          <w:p w14:paraId="66D6E953">
            <w:pPr>
              <w:spacing w:before="124" w:line="221" w:lineRule="auto"/>
              <w:ind w:left="4288"/>
              <w:rPr>
                <w:szCs w:val="21"/>
              </w:rPr>
            </w:pPr>
            <w:r>
              <w:rPr>
                <w:spacing w:val="-1"/>
                <w:szCs w:val="21"/>
              </w:rPr>
              <w:t>德邦化工</w:t>
            </w:r>
          </w:p>
        </w:tc>
      </w:tr>
      <w:tr w14:paraId="2F5F7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707" w:type="dxa"/>
            <w:tcBorders>
              <w:bottom w:val="single" w:color="000000" w:sz="2" w:space="0"/>
              <w:right w:val="single" w:color="000000" w:sz="2" w:space="0"/>
            </w:tcBorders>
          </w:tcPr>
          <w:p w14:paraId="4A2038DA">
            <w:pPr>
              <w:spacing w:before="60" w:line="187" w:lineRule="auto"/>
              <w:rPr>
                <w:rFonts w:eastAsia="Times New Roman"/>
                <w:szCs w:val="21"/>
              </w:rPr>
            </w:pPr>
            <w:r>
              <w:rPr>
                <w:rFonts w:eastAsia="Times New Roman"/>
                <w:szCs w:val="21"/>
              </w:rPr>
              <w:t>3</w:t>
            </w:r>
          </w:p>
        </w:tc>
        <w:tc>
          <w:tcPr>
            <w:tcW w:w="1166" w:type="dxa"/>
            <w:tcBorders>
              <w:left w:val="single" w:color="000000" w:sz="2" w:space="0"/>
              <w:bottom w:val="single" w:color="000000" w:sz="2" w:space="0"/>
              <w:right w:val="single" w:color="000000" w:sz="2" w:space="0"/>
            </w:tcBorders>
          </w:tcPr>
          <w:p w14:paraId="3EABCC3E">
            <w:pPr>
              <w:spacing w:before="68" w:line="218" w:lineRule="auto"/>
              <w:rPr>
                <w:szCs w:val="21"/>
              </w:rPr>
            </w:pPr>
            <w:r>
              <w:rPr>
                <w:spacing w:val="-2"/>
                <w:szCs w:val="21"/>
              </w:rPr>
              <w:t>液氨</w:t>
            </w:r>
          </w:p>
        </w:tc>
        <w:tc>
          <w:tcPr>
            <w:tcW w:w="1641" w:type="dxa"/>
            <w:tcBorders>
              <w:left w:val="single" w:color="000000" w:sz="2" w:space="0"/>
              <w:bottom w:val="single" w:color="000000" w:sz="2" w:space="0"/>
              <w:right w:val="single" w:color="000000" w:sz="2" w:space="0"/>
            </w:tcBorders>
          </w:tcPr>
          <w:p w14:paraId="06A5F509">
            <w:pPr>
              <w:spacing w:before="84" w:line="221" w:lineRule="auto"/>
              <w:ind w:left="129"/>
              <w:rPr>
                <w:szCs w:val="21"/>
              </w:rPr>
            </w:pPr>
            <w:r>
              <w:rPr>
                <w:rFonts w:eastAsia="Times New Roman"/>
                <w:spacing w:val="-4"/>
                <w:szCs w:val="21"/>
              </w:rPr>
              <w:t>14.2</w:t>
            </w:r>
          </w:p>
        </w:tc>
        <w:tc>
          <w:tcPr>
            <w:tcW w:w="1896" w:type="dxa"/>
            <w:tcBorders>
              <w:left w:val="single" w:color="000000" w:sz="2" w:space="0"/>
              <w:bottom w:val="single" w:color="000000" w:sz="2" w:space="0"/>
            </w:tcBorders>
          </w:tcPr>
          <w:p w14:paraId="483EB69D">
            <w:pPr>
              <w:spacing w:before="68" w:line="221" w:lineRule="auto"/>
              <w:rPr>
                <w:szCs w:val="21"/>
              </w:rPr>
            </w:pPr>
            <w:r>
              <w:rPr>
                <w:spacing w:val="-3"/>
                <w:szCs w:val="21"/>
              </w:rPr>
              <w:t>高毒</w:t>
            </w:r>
          </w:p>
        </w:tc>
        <w:tc>
          <w:tcPr>
            <w:tcW w:w="2812" w:type="dxa"/>
          </w:tcPr>
          <w:p w14:paraId="375C16BE">
            <w:pPr>
              <w:spacing w:before="92" w:line="230" w:lineRule="auto"/>
              <w:rPr>
                <w:szCs w:val="21"/>
              </w:rPr>
            </w:pPr>
            <w:r>
              <w:rPr>
                <w:rFonts w:eastAsia="Times New Roman"/>
                <w:spacing w:val="-3"/>
                <w:szCs w:val="21"/>
              </w:rPr>
              <w:t>4</w:t>
            </w:r>
            <w:r>
              <w:rPr>
                <w:spacing w:val="-3"/>
                <w:szCs w:val="21"/>
              </w:rPr>
              <w:t>台</w:t>
            </w:r>
            <w:r>
              <w:rPr>
                <w:rFonts w:eastAsia="Times New Roman"/>
                <w:spacing w:val="-3"/>
                <w:szCs w:val="21"/>
              </w:rPr>
              <w:t>16</w:t>
            </w:r>
            <w:r>
              <w:rPr>
                <w:rFonts w:eastAsia="Times New Roman"/>
                <w:szCs w:val="21"/>
              </w:rPr>
              <w:t>m</w:t>
            </w:r>
            <w:r>
              <w:rPr>
                <w:rFonts w:eastAsia="Times New Roman"/>
                <w:spacing w:val="-3"/>
                <w:position w:val="9"/>
                <w:sz w:val="13"/>
                <w:szCs w:val="13"/>
              </w:rPr>
              <w:t>3</w:t>
            </w:r>
            <w:r>
              <w:rPr>
                <w:spacing w:val="-3"/>
                <w:szCs w:val="21"/>
              </w:rPr>
              <w:t>全压式液氨储罐</w:t>
            </w:r>
          </w:p>
        </w:tc>
      </w:tr>
    </w:tbl>
    <w:p w14:paraId="7C164286">
      <w:pPr>
        <w:spacing w:before="238" w:line="219" w:lineRule="auto"/>
        <w:ind w:left="683"/>
        <w:rPr>
          <w:rFonts w:eastAsia="黑体"/>
          <w:sz w:val="24"/>
          <w:szCs w:val="24"/>
        </w:rPr>
      </w:pPr>
      <w:bookmarkStart w:id="145" w:name="_bookmark51"/>
      <w:bookmarkEnd w:id="145"/>
      <w:r>
        <w:rPr>
          <w:rFonts w:eastAsiaTheme="minorEastAsia"/>
          <w:b/>
          <w:sz w:val="24"/>
          <w:szCs w:val="24"/>
        </w:rPr>
        <w:t>（8）</w:t>
      </w:r>
      <w:r>
        <w:rPr>
          <w:rFonts w:eastAsia="黑体"/>
          <w:spacing w:val="-1"/>
          <w:sz w:val="24"/>
          <w:szCs w:val="24"/>
        </w:rPr>
        <w:t>特别</w:t>
      </w:r>
      <w:r>
        <w:rPr>
          <w:rFonts w:eastAsia="黑体"/>
          <w:sz w:val="24"/>
          <w:szCs w:val="24"/>
        </w:rPr>
        <w:t>管控化学品辨识</w:t>
      </w:r>
    </w:p>
    <w:p w14:paraId="4DC1F9CE">
      <w:pPr>
        <w:widowControl/>
        <w:spacing w:line="360" w:lineRule="auto"/>
        <w:ind w:firstLine="480" w:firstLineChars="200"/>
        <w:jc w:val="left"/>
        <w:rPr>
          <w:sz w:val="24"/>
        </w:rPr>
      </w:pPr>
      <w:r>
        <w:rPr>
          <w:sz w:val="24"/>
        </w:rPr>
        <w:t>对照《特别管控危险化学品目录(第一版)(应急管理部、工业和信息化部、公安部、交通运输部公告，2020年第1号)，化工园区四至范围内已入驻的德邦化工、恒诚制药、水卫士环保科技、国瑞药业四家化工企业，块二正在建设的三家化工为企业淮南锦德生物科技有限公司、安徽森吉制药有限公司和安徽山河药用辅料股份有限公司，涉及的特别管控危险化学品如表7.1-8。</w:t>
      </w:r>
    </w:p>
    <w:p w14:paraId="79978A5B">
      <w:pPr>
        <w:spacing w:before="78" w:line="214" w:lineRule="auto"/>
        <w:ind w:left="2245"/>
        <w:rPr>
          <w:sz w:val="24"/>
          <w:szCs w:val="24"/>
        </w:rPr>
      </w:pPr>
      <w:r>
        <w:rPr>
          <w:spacing w:val="-4"/>
          <w:sz w:val="24"/>
          <w:szCs w:val="24"/>
        </w:rPr>
        <w:t>表7</w:t>
      </w:r>
      <w:r>
        <w:rPr>
          <w:rFonts w:eastAsia="Times New Roman"/>
          <w:spacing w:val="-4"/>
          <w:sz w:val="24"/>
          <w:szCs w:val="24"/>
        </w:rPr>
        <w:t xml:space="preserve">.1-8 </w:t>
      </w:r>
      <w:r>
        <w:rPr>
          <w:spacing w:val="-2"/>
          <w:sz w:val="24"/>
          <w:szCs w:val="24"/>
        </w:rPr>
        <w:t>化工园区特别管控危险化学品辨识表</w:t>
      </w:r>
    </w:p>
    <w:tbl>
      <w:tblPr>
        <w:tblStyle w:val="58"/>
        <w:tblW w:w="8512" w:type="dxa"/>
        <w:tblInd w:w="2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994"/>
        <w:gridCol w:w="1356"/>
        <w:gridCol w:w="1762"/>
        <w:gridCol w:w="3725"/>
      </w:tblGrid>
      <w:tr w14:paraId="08ACB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675" w:type="dxa"/>
          </w:tcPr>
          <w:p w14:paraId="51303857">
            <w:pPr>
              <w:spacing w:before="154" w:line="222" w:lineRule="auto"/>
              <w:ind w:left="146"/>
              <w:rPr>
                <w:szCs w:val="21"/>
              </w:rPr>
            </w:pPr>
            <w:r>
              <w:rPr>
                <w:spacing w:val="-2"/>
                <w:szCs w:val="21"/>
              </w:rPr>
              <w:t>序</w:t>
            </w:r>
            <w:r>
              <w:rPr>
                <w:spacing w:val="-1"/>
                <w:szCs w:val="21"/>
              </w:rPr>
              <w:t>号</w:t>
            </w:r>
          </w:p>
        </w:tc>
        <w:tc>
          <w:tcPr>
            <w:tcW w:w="994" w:type="dxa"/>
          </w:tcPr>
          <w:p w14:paraId="686F89BD">
            <w:pPr>
              <w:spacing w:before="155" w:line="221" w:lineRule="auto"/>
              <w:ind w:left="164"/>
              <w:rPr>
                <w:szCs w:val="21"/>
              </w:rPr>
            </w:pPr>
            <w:r>
              <w:rPr>
                <w:spacing w:val="-1"/>
                <w:szCs w:val="21"/>
              </w:rPr>
              <w:t>物质名</w:t>
            </w:r>
            <w:r>
              <w:rPr>
                <w:szCs w:val="21"/>
              </w:rPr>
              <w:t>称</w:t>
            </w:r>
          </w:p>
        </w:tc>
        <w:tc>
          <w:tcPr>
            <w:tcW w:w="1356" w:type="dxa"/>
          </w:tcPr>
          <w:p w14:paraId="512DE68C">
            <w:pPr>
              <w:spacing w:before="155" w:line="234" w:lineRule="auto"/>
              <w:ind w:left="158"/>
              <w:rPr>
                <w:szCs w:val="21"/>
              </w:rPr>
            </w:pPr>
            <w:r>
              <w:rPr>
                <w:spacing w:val="17"/>
                <w:szCs w:val="21"/>
              </w:rPr>
              <w:t>最大储量(</w:t>
            </w:r>
            <w:r>
              <w:rPr>
                <w:rFonts w:eastAsia="Times New Roman"/>
                <w:b/>
                <w:bCs/>
                <w:szCs w:val="21"/>
              </w:rPr>
              <w:t>t</w:t>
            </w:r>
            <w:r>
              <w:rPr>
                <w:spacing w:val="16"/>
                <w:szCs w:val="21"/>
              </w:rPr>
              <w:t>)</w:t>
            </w:r>
          </w:p>
        </w:tc>
        <w:tc>
          <w:tcPr>
            <w:tcW w:w="1762" w:type="dxa"/>
          </w:tcPr>
          <w:p w14:paraId="482C4DC0">
            <w:pPr>
              <w:spacing w:before="154" w:line="221" w:lineRule="auto"/>
              <w:ind w:left="302"/>
              <w:rPr>
                <w:szCs w:val="21"/>
              </w:rPr>
            </w:pPr>
            <w:r>
              <w:rPr>
                <w:spacing w:val="-1"/>
                <w:szCs w:val="21"/>
              </w:rPr>
              <w:t>主要危</w:t>
            </w:r>
            <w:r>
              <w:rPr>
                <w:szCs w:val="21"/>
              </w:rPr>
              <w:t>险特性</w:t>
            </w:r>
          </w:p>
        </w:tc>
        <w:tc>
          <w:tcPr>
            <w:tcW w:w="3725" w:type="dxa"/>
          </w:tcPr>
          <w:p w14:paraId="5C379620">
            <w:pPr>
              <w:spacing w:before="154" w:line="221" w:lineRule="auto"/>
              <w:ind w:left="968"/>
              <w:rPr>
                <w:szCs w:val="21"/>
              </w:rPr>
            </w:pPr>
            <w:r>
              <w:rPr>
                <w:spacing w:val="1"/>
                <w:szCs w:val="21"/>
              </w:rPr>
              <w:t>主要储</w:t>
            </w:r>
            <w:r>
              <w:rPr>
                <w:szCs w:val="21"/>
              </w:rPr>
              <w:t>存 (存在) 场所</w:t>
            </w:r>
          </w:p>
        </w:tc>
      </w:tr>
      <w:tr w14:paraId="38FB3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12" w:type="dxa"/>
            <w:gridSpan w:val="5"/>
          </w:tcPr>
          <w:p w14:paraId="04DCA2DD">
            <w:pPr>
              <w:spacing w:before="121" w:line="221" w:lineRule="auto"/>
              <w:ind w:left="4288"/>
              <w:rPr>
                <w:szCs w:val="21"/>
              </w:rPr>
            </w:pPr>
            <w:r>
              <w:rPr>
                <w:spacing w:val="-1"/>
                <w:szCs w:val="21"/>
              </w:rPr>
              <w:t>德邦化工</w:t>
            </w:r>
          </w:p>
        </w:tc>
      </w:tr>
      <w:tr w14:paraId="3F429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75" w:type="dxa"/>
          </w:tcPr>
          <w:p w14:paraId="358E4CAD">
            <w:pPr>
              <w:spacing w:before="184" w:line="187" w:lineRule="auto"/>
              <w:ind w:left="166"/>
              <w:rPr>
                <w:rFonts w:eastAsia="Times New Roman"/>
                <w:szCs w:val="21"/>
              </w:rPr>
            </w:pPr>
            <w:r>
              <w:rPr>
                <w:rFonts w:eastAsia="Times New Roman"/>
                <w:szCs w:val="21"/>
              </w:rPr>
              <w:t>1</w:t>
            </w:r>
          </w:p>
        </w:tc>
        <w:tc>
          <w:tcPr>
            <w:tcW w:w="994" w:type="dxa"/>
          </w:tcPr>
          <w:p w14:paraId="32EFC457">
            <w:pPr>
              <w:spacing w:before="151" w:line="221" w:lineRule="auto"/>
              <w:ind w:left="403"/>
              <w:rPr>
                <w:szCs w:val="21"/>
              </w:rPr>
            </w:pPr>
            <w:r>
              <w:rPr>
                <w:szCs w:val="21"/>
              </w:rPr>
              <w:t>甲醇</w:t>
            </w:r>
          </w:p>
        </w:tc>
        <w:tc>
          <w:tcPr>
            <w:tcW w:w="1356" w:type="dxa"/>
          </w:tcPr>
          <w:p w14:paraId="2B5FA277">
            <w:pPr>
              <w:spacing w:before="184" w:line="187" w:lineRule="auto"/>
              <w:ind w:left="666"/>
              <w:rPr>
                <w:rFonts w:eastAsia="Times New Roman"/>
                <w:szCs w:val="21"/>
              </w:rPr>
            </w:pPr>
            <w:r>
              <w:rPr>
                <w:rFonts w:eastAsia="Times New Roman"/>
                <w:szCs w:val="21"/>
              </w:rPr>
              <w:t>666</w:t>
            </w:r>
          </w:p>
        </w:tc>
        <w:tc>
          <w:tcPr>
            <w:tcW w:w="1762" w:type="dxa"/>
          </w:tcPr>
          <w:p w14:paraId="6A370265">
            <w:pPr>
              <w:spacing w:before="151" w:line="219" w:lineRule="auto"/>
              <w:ind w:left="125"/>
              <w:rPr>
                <w:szCs w:val="21"/>
              </w:rPr>
            </w:pPr>
            <w:r>
              <w:rPr>
                <w:szCs w:val="21"/>
              </w:rPr>
              <w:t>易燃、易爆、有毒</w:t>
            </w:r>
          </w:p>
        </w:tc>
        <w:tc>
          <w:tcPr>
            <w:tcW w:w="3725" w:type="dxa"/>
          </w:tcPr>
          <w:p w14:paraId="1FA995A9">
            <w:pPr>
              <w:spacing w:before="156" w:line="280" w:lineRule="exact"/>
              <w:ind w:left="780"/>
              <w:rPr>
                <w:szCs w:val="21"/>
              </w:rPr>
            </w:pPr>
            <w:r>
              <w:rPr>
                <w:rFonts w:eastAsia="Times New Roman"/>
                <w:szCs w:val="21"/>
              </w:rPr>
              <w:t>2</w:t>
            </w:r>
            <w:r>
              <w:rPr>
                <w:szCs w:val="21"/>
              </w:rPr>
              <w:t>台</w:t>
            </w:r>
            <w:r>
              <w:rPr>
                <w:rFonts w:eastAsia="Times New Roman"/>
                <w:szCs w:val="21"/>
              </w:rPr>
              <w:t>300m</w:t>
            </w:r>
            <w:r>
              <w:rPr>
                <w:rFonts w:hint="eastAsia" w:eastAsia="宋体"/>
                <w:szCs w:val="21"/>
                <w:vertAlign w:val="superscript"/>
              </w:rPr>
              <w:t>3</w:t>
            </w:r>
            <w:r>
              <w:rPr>
                <w:szCs w:val="21"/>
              </w:rPr>
              <w:t>固定顶甲醇储罐</w:t>
            </w:r>
          </w:p>
        </w:tc>
      </w:tr>
      <w:tr w14:paraId="0DAFC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675" w:type="dxa"/>
            <w:tcBorders>
              <w:bottom w:val="single" w:color="000000" w:sz="2" w:space="0"/>
            </w:tcBorders>
          </w:tcPr>
          <w:p w14:paraId="335CE591">
            <w:pPr>
              <w:spacing w:before="61" w:line="187" w:lineRule="auto"/>
              <w:jc w:val="center"/>
              <w:rPr>
                <w:rFonts w:eastAsia="Times New Roman"/>
                <w:szCs w:val="21"/>
              </w:rPr>
            </w:pPr>
            <w:r>
              <w:rPr>
                <w:rFonts w:eastAsia="Times New Roman"/>
                <w:szCs w:val="21"/>
              </w:rPr>
              <w:t>2</w:t>
            </w:r>
          </w:p>
        </w:tc>
        <w:tc>
          <w:tcPr>
            <w:tcW w:w="994" w:type="dxa"/>
            <w:tcBorders>
              <w:bottom w:val="single" w:color="000000" w:sz="2" w:space="0"/>
            </w:tcBorders>
          </w:tcPr>
          <w:p w14:paraId="5783E0C2">
            <w:pPr>
              <w:spacing w:before="68" w:line="218" w:lineRule="auto"/>
              <w:rPr>
                <w:szCs w:val="21"/>
              </w:rPr>
            </w:pPr>
            <w:r>
              <w:rPr>
                <w:szCs w:val="21"/>
              </w:rPr>
              <w:t>氨</w:t>
            </w:r>
          </w:p>
        </w:tc>
        <w:tc>
          <w:tcPr>
            <w:tcW w:w="1356" w:type="dxa"/>
            <w:tcBorders>
              <w:bottom w:val="single" w:color="000000" w:sz="2" w:space="0"/>
            </w:tcBorders>
          </w:tcPr>
          <w:p w14:paraId="6DBDE54D">
            <w:pPr>
              <w:spacing w:before="101" w:line="221" w:lineRule="auto"/>
              <w:ind w:left="129"/>
              <w:rPr>
                <w:szCs w:val="21"/>
              </w:rPr>
            </w:pPr>
            <w:r>
              <w:rPr>
                <w:rFonts w:eastAsia="Times New Roman"/>
                <w:szCs w:val="21"/>
              </w:rPr>
              <w:t>14.2</w:t>
            </w:r>
          </w:p>
        </w:tc>
        <w:tc>
          <w:tcPr>
            <w:tcW w:w="1762" w:type="dxa"/>
            <w:tcBorders>
              <w:bottom w:val="single" w:color="000000" w:sz="2" w:space="0"/>
            </w:tcBorders>
          </w:tcPr>
          <w:p w14:paraId="6B95E4BD">
            <w:pPr>
              <w:spacing w:before="68" w:line="219" w:lineRule="auto"/>
              <w:rPr>
                <w:szCs w:val="21"/>
              </w:rPr>
            </w:pPr>
            <w:r>
              <w:rPr>
                <w:szCs w:val="21"/>
              </w:rPr>
              <w:t>易燃、易爆、有毒</w:t>
            </w:r>
          </w:p>
        </w:tc>
        <w:tc>
          <w:tcPr>
            <w:tcW w:w="3725" w:type="dxa"/>
          </w:tcPr>
          <w:p w14:paraId="58E8031C">
            <w:pPr>
              <w:spacing w:before="110" w:line="230" w:lineRule="auto"/>
              <w:jc w:val="center"/>
              <w:rPr>
                <w:szCs w:val="21"/>
              </w:rPr>
            </w:pPr>
            <w:r>
              <w:rPr>
                <w:rFonts w:eastAsia="Times New Roman"/>
                <w:szCs w:val="21"/>
              </w:rPr>
              <w:t>4</w:t>
            </w:r>
            <w:r>
              <w:rPr>
                <w:szCs w:val="21"/>
              </w:rPr>
              <w:t>台</w:t>
            </w:r>
            <w:r>
              <w:rPr>
                <w:rFonts w:eastAsia="Times New Roman"/>
                <w:szCs w:val="21"/>
              </w:rPr>
              <w:t>16m</w:t>
            </w:r>
            <w:r>
              <w:rPr>
                <w:rFonts w:hint="eastAsia" w:eastAsia="宋体"/>
                <w:szCs w:val="21"/>
                <w:vertAlign w:val="superscript"/>
              </w:rPr>
              <w:t>3</w:t>
            </w:r>
            <w:r>
              <w:rPr>
                <w:szCs w:val="21"/>
              </w:rPr>
              <w:t>全压式液氨储罐</w:t>
            </w:r>
          </w:p>
        </w:tc>
      </w:tr>
      <w:tr w14:paraId="71E661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8512" w:type="dxa"/>
            <w:gridSpan w:val="5"/>
          </w:tcPr>
          <w:p w14:paraId="13D47F45">
            <w:pPr>
              <w:spacing w:before="125" w:line="221" w:lineRule="auto"/>
              <w:ind w:left="4308"/>
              <w:rPr>
                <w:szCs w:val="21"/>
              </w:rPr>
            </w:pPr>
            <w:r>
              <w:rPr>
                <w:spacing w:val="-7"/>
                <w:szCs w:val="21"/>
              </w:rPr>
              <w:t>国</w:t>
            </w:r>
            <w:r>
              <w:rPr>
                <w:spacing w:val="-4"/>
                <w:szCs w:val="21"/>
              </w:rPr>
              <w:t>瑞药业</w:t>
            </w:r>
          </w:p>
        </w:tc>
      </w:tr>
      <w:tr w14:paraId="7DE6F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675" w:type="dxa"/>
          </w:tcPr>
          <w:p w14:paraId="1A3D3310">
            <w:pPr>
              <w:spacing w:before="188" w:line="187" w:lineRule="auto"/>
              <w:ind w:left="150"/>
              <w:rPr>
                <w:rFonts w:eastAsia="Times New Roman"/>
                <w:szCs w:val="21"/>
              </w:rPr>
            </w:pPr>
            <w:r>
              <w:rPr>
                <w:rFonts w:eastAsia="Times New Roman"/>
                <w:szCs w:val="21"/>
              </w:rPr>
              <w:t>3</w:t>
            </w:r>
          </w:p>
        </w:tc>
        <w:tc>
          <w:tcPr>
            <w:tcW w:w="994" w:type="dxa"/>
          </w:tcPr>
          <w:p w14:paraId="44837AAD">
            <w:pPr>
              <w:spacing w:before="154" w:line="221" w:lineRule="auto"/>
              <w:ind w:left="393"/>
              <w:rPr>
                <w:szCs w:val="21"/>
              </w:rPr>
            </w:pPr>
            <w:r>
              <w:rPr>
                <w:spacing w:val="-7"/>
                <w:szCs w:val="21"/>
              </w:rPr>
              <w:t>乙</w:t>
            </w:r>
            <w:r>
              <w:rPr>
                <w:spacing w:val="-5"/>
                <w:szCs w:val="21"/>
              </w:rPr>
              <w:t>醇</w:t>
            </w:r>
          </w:p>
        </w:tc>
        <w:tc>
          <w:tcPr>
            <w:tcW w:w="1356" w:type="dxa"/>
          </w:tcPr>
          <w:p w14:paraId="3F898EFB">
            <w:pPr>
              <w:spacing w:before="188" w:line="187" w:lineRule="auto"/>
              <w:ind w:left="739"/>
              <w:rPr>
                <w:rFonts w:eastAsia="Times New Roman"/>
                <w:szCs w:val="21"/>
              </w:rPr>
            </w:pPr>
            <w:r>
              <w:rPr>
                <w:rFonts w:eastAsia="Times New Roman"/>
                <w:spacing w:val="-9"/>
                <w:szCs w:val="21"/>
              </w:rPr>
              <w:t>1</w:t>
            </w:r>
            <w:r>
              <w:rPr>
                <w:rFonts w:eastAsia="Times New Roman"/>
                <w:spacing w:val="-7"/>
                <w:szCs w:val="21"/>
              </w:rPr>
              <w:t>1</w:t>
            </w:r>
          </w:p>
        </w:tc>
        <w:tc>
          <w:tcPr>
            <w:tcW w:w="1762" w:type="dxa"/>
          </w:tcPr>
          <w:p w14:paraId="71D1B1FE">
            <w:pPr>
              <w:spacing w:before="154" w:line="219" w:lineRule="auto"/>
              <w:ind w:left="125"/>
              <w:rPr>
                <w:szCs w:val="21"/>
              </w:rPr>
            </w:pPr>
            <w:r>
              <w:rPr>
                <w:spacing w:val="-7"/>
                <w:szCs w:val="21"/>
              </w:rPr>
              <w:t>易燃、易爆、有</w:t>
            </w:r>
            <w:r>
              <w:rPr>
                <w:spacing w:val="-6"/>
                <w:szCs w:val="21"/>
              </w:rPr>
              <w:t>毒</w:t>
            </w:r>
          </w:p>
        </w:tc>
        <w:tc>
          <w:tcPr>
            <w:tcW w:w="3725" w:type="dxa"/>
          </w:tcPr>
          <w:p w14:paraId="102EE225">
            <w:pPr>
              <w:spacing w:line="214" w:lineRule="auto"/>
              <w:rPr>
                <w:szCs w:val="21"/>
              </w:rPr>
            </w:pPr>
            <w:r>
              <w:rPr>
                <w:rFonts w:eastAsia="Times New Roman"/>
                <w:spacing w:val="3"/>
                <w:szCs w:val="21"/>
              </w:rPr>
              <w:t>25</w:t>
            </w:r>
            <w:r>
              <w:rPr>
                <w:rFonts w:eastAsia="Times New Roman"/>
                <w:szCs w:val="21"/>
              </w:rPr>
              <w:t>kg</w:t>
            </w:r>
            <w:r>
              <w:rPr>
                <w:spacing w:val="3"/>
                <w:szCs w:val="21"/>
              </w:rPr>
              <w:t>桶装和</w:t>
            </w:r>
            <w:r>
              <w:rPr>
                <w:rFonts w:eastAsia="Times New Roman"/>
                <w:spacing w:val="3"/>
                <w:szCs w:val="21"/>
              </w:rPr>
              <w:t>5</w:t>
            </w:r>
            <w:r>
              <w:rPr>
                <w:rFonts w:eastAsia="Times New Roman"/>
                <w:szCs w:val="21"/>
              </w:rPr>
              <w:t>mL</w:t>
            </w:r>
            <w:r>
              <w:rPr>
                <w:spacing w:val="3"/>
                <w:szCs w:val="21"/>
              </w:rPr>
              <w:t>注射瓶装，危险品</w:t>
            </w:r>
            <w:r>
              <w:rPr>
                <w:spacing w:val="2"/>
                <w:szCs w:val="21"/>
              </w:rPr>
              <w:t>库</w:t>
            </w:r>
          </w:p>
        </w:tc>
      </w:tr>
      <w:tr w14:paraId="2BBAB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5" w:type="dxa"/>
          </w:tcPr>
          <w:p w14:paraId="6A651995">
            <w:pPr>
              <w:spacing w:before="191" w:line="187" w:lineRule="auto"/>
              <w:ind w:left="144"/>
              <w:rPr>
                <w:rFonts w:eastAsia="Times New Roman"/>
                <w:szCs w:val="21"/>
              </w:rPr>
            </w:pPr>
            <w:r>
              <w:rPr>
                <w:rFonts w:eastAsia="Times New Roman"/>
                <w:szCs w:val="21"/>
              </w:rPr>
              <w:t>4</w:t>
            </w:r>
          </w:p>
        </w:tc>
        <w:tc>
          <w:tcPr>
            <w:tcW w:w="994" w:type="dxa"/>
          </w:tcPr>
          <w:p w14:paraId="2B9A6FAC">
            <w:pPr>
              <w:spacing w:before="155" w:line="221" w:lineRule="auto"/>
              <w:ind w:left="403"/>
              <w:rPr>
                <w:szCs w:val="21"/>
              </w:rPr>
            </w:pPr>
            <w:r>
              <w:rPr>
                <w:spacing w:val="-9"/>
                <w:szCs w:val="21"/>
              </w:rPr>
              <w:t>甲</w:t>
            </w:r>
            <w:r>
              <w:rPr>
                <w:spacing w:val="-8"/>
                <w:szCs w:val="21"/>
              </w:rPr>
              <w:t>醇</w:t>
            </w:r>
          </w:p>
        </w:tc>
        <w:tc>
          <w:tcPr>
            <w:tcW w:w="1356" w:type="dxa"/>
          </w:tcPr>
          <w:p w14:paraId="6B2EB39F">
            <w:pPr>
              <w:spacing w:before="191" w:line="187" w:lineRule="auto"/>
              <w:ind w:left="585"/>
              <w:rPr>
                <w:rFonts w:eastAsia="Times New Roman"/>
                <w:szCs w:val="21"/>
              </w:rPr>
            </w:pPr>
            <w:r>
              <w:rPr>
                <w:rFonts w:eastAsia="Times New Roman"/>
                <w:spacing w:val="-1"/>
                <w:szCs w:val="21"/>
              </w:rPr>
              <w:t>0.02</w:t>
            </w:r>
            <w:r>
              <w:rPr>
                <w:rFonts w:eastAsia="Times New Roman"/>
                <w:szCs w:val="21"/>
              </w:rPr>
              <w:t>5</w:t>
            </w:r>
          </w:p>
        </w:tc>
        <w:tc>
          <w:tcPr>
            <w:tcW w:w="1762" w:type="dxa"/>
          </w:tcPr>
          <w:p w14:paraId="19285AC0">
            <w:pPr>
              <w:spacing w:before="155" w:line="219" w:lineRule="auto"/>
              <w:ind w:left="125"/>
              <w:rPr>
                <w:szCs w:val="21"/>
              </w:rPr>
            </w:pPr>
            <w:r>
              <w:rPr>
                <w:spacing w:val="-7"/>
                <w:szCs w:val="21"/>
              </w:rPr>
              <w:t>易燃、易爆、有</w:t>
            </w:r>
            <w:r>
              <w:rPr>
                <w:spacing w:val="-6"/>
                <w:szCs w:val="21"/>
              </w:rPr>
              <w:t>毒</w:t>
            </w:r>
          </w:p>
        </w:tc>
        <w:tc>
          <w:tcPr>
            <w:tcW w:w="3725" w:type="dxa"/>
          </w:tcPr>
          <w:p w14:paraId="4CF4D39D">
            <w:pPr>
              <w:spacing w:line="214" w:lineRule="auto"/>
              <w:rPr>
                <w:szCs w:val="21"/>
              </w:rPr>
            </w:pPr>
            <w:r>
              <w:rPr>
                <w:rFonts w:eastAsia="Times New Roman"/>
                <w:spacing w:val="-1"/>
                <w:szCs w:val="21"/>
              </w:rPr>
              <w:t>25</w:t>
            </w:r>
            <w:r>
              <w:rPr>
                <w:rFonts w:eastAsia="Times New Roman"/>
                <w:szCs w:val="21"/>
              </w:rPr>
              <w:t>kg</w:t>
            </w:r>
            <w:r>
              <w:rPr>
                <w:szCs w:val="21"/>
              </w:rPr>
              <w:t>桶装，危险品库</w:t>
            </w:r>
          </w:p>
        </w:tc>
      </w:tr>
      <w:tr w14:paraId="45655E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512" w:type="dxa"/>
            <w:gridSpan w:val="5"/>
          </w:tcPr>
          <w:p w14:paraId="682FDE06">
            <w:pPr>
              <w:spacing w:line="214" w:lineRule="auto"/>
              <w:jc w:val="center"/>
              <w:rPr>
                <w:rFonts w:eastAsia="Times New Roman"/>
                <w:spacing w:val="-1"/>
                <w:szCs w:val="21"/>
              </w:rPr>
            </w:pPr>
            <w:r>
              <w:rPr>
                <w:spacing w:val="-1"/>
                <w:szCs w:val="21"/>
              </w:rPr>
              <w:t>安徽山河药用辅料股份有限公司</w:t>
            </w:r>
          </w:p>
        </w:tc>
      </w:tr>
      <w:tr w14:paraId="7A192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5" w:type="dxa"/>
          </w:tcPr>
          <w:p w14:paraId="327B1C45">
            <w:pPr>
              <w:spacing w:before="191" w:line="187" w:lineRule="auto"/>
              <w:ind w:left="144"/>
              <w:rPr>
                <w:szCs w:val="21"/>
              </w:rPr>
            </w:pPr>
            <w:r>
              <w:rPr>
                <w:szCs w:val="21"/>
              </w:rPr>
              <w:t>5</w:t>
            </w:r>
          </w:p>
        </w:tc>
        <w:tc>
          <w:tcPr>
            <w:tcW w:w="994" w:type="dxa"/>
          </w:tcPr>
          <w:p w14:paraId="1790B54C">
            <w:pPr>
              <w:spacing w:before="154" w:line="221" w:lineRule="auto"/>
              <w:ind w:left="393"/>
              <w:rPr>
                <w:szCs w:val="21"/>
              </w:rPr>
            </w:pPr>
            <w:r>
              <w:rPr>
                <w:spacing w:val="-7"/>
                <w:szCs w:val="21"/>
              </w:rPr>
              <w:t>乙</w:t>
            </w:r>
            <w:r>
              <w:rPr>
                <w:spacing w:val="-5"/>
                <w:szCs w:val="21"/>
              </w:rPr>
              <w:t>醇</w:t>
            </w:r>
          </w:p>
        </w:tc>
        <w:tc>
          <w:tcPr>
            <w:tcW w:w="1356" w:type="dxa"/>
          </w:tcPr>
          <w:p w14:paraId="76416899">
            <w:pPr>
              <w:spacing w:before="188" w:line="187" w:lineRule="auto"/>
              <w:ind w:left="739"/>
              <w:rPr>
                <w:rFonts w:eastAsia="Times New Roman"/>
                <w:szCs w:val="21"/>
              </w:rPr>
            </w:pPr>
            <w:r>
              <w:rPr>
                <w:szCs w:val="21"/>
              </w:rPr>
              <w:t>71.1</w:t>
            </w:r>
          </w:p>
        </w:tc>
        <w:tc>
          <w:tcPr>
            <w:tcW w:w="1762" w:type="dxa"/>
          </w:tcPr>
          <w:p w14:paraId="5F8653AD">
            <w:pPr>
              <w:spacing w:before="154" w:line="219" w:lineRule="auto"/>
              <w:ind w:left="125"/>
              <w:rPr>
                <w:szCs w:val="21"/>
              </w:rPr>
            </w:pPr>
            <w:r>
              <w:rPr>
                <w:spacing w:val="-7"/>
                <w:szCs w:val="21"/>
              </w:rPr>
              <w:t>易燃、易爆、有</w:t>
            </w:r>
            <w:r>
              <w:rPr>
                <w:spacing w:val="-6"/>
                <w:szCs w:val="21"/>
              </w:rPr>
              <w:t>毒</w:t>
            </w:r>
          </w:p>
        </w:tc>
        <w:tc>
          <w:tcPr>
            <w:tcW w:w="3725" w:type="dxa"/>
          </w:tcPr>
          <w:p w14:paraId="4768B96B">
            <w:pPr>
              <w:spacing w:line="214" w:lineRule="auto"/>
              <w:rPr>
                <w:szCs w:val="21"/>
              </w:rPr>
            </w:pPr>
            <w:r>
              <w:rPr>
                <w:szCs w:val="21"/>
              </w:rPr>
              <w:t>罐区</w:t>
            </w:r>
          </w:p>
        </w:tc>
      </w:tr>
      <w:tr w14:paraId="407F1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8512" w:type="dxa"/>
            <w:gridSpan w:val="5"/>
          </w:tcPr>
          <w:p w14:paraId="54126193">
            <w:pPr>
              <w:spacing w:line="214" w:lineRule="auto"/>
              <w:jc w:val="center"/>
              <w:rPr>
                <w:szCs w:val="21"/>
              </w:rPr>
            </w:pPr>
            <w:r>
              <w:rPr>
                <w:sz w:val="18"/>
                <w:szCs w:val="18"/>
              </w:rPr>
              <w:t>安徽森吉制药有限公司</w:t>
            </w:r>
          </w:p>
        </w:tc>
      </w:tr>
      <w:tr w14:paraId="5B93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5" w:type="dxa"/>
          </w:tcPr>
          <w:p w14:paraId="46F46264">
            <w:pPr>
              <w:spacing w:before="191" w:line="187" w:lineRule="auto"/>
              <w:ind w:left="144"/>
              <w:rPr>
                <w:szCs w:val="21"/>
              </w:rPr>
            </w:pPr>
            <w:r>
              <w:rPr>
                <w:szCs w:val="21"/>
              </w:rPr>
              <w:t>6</w:t>
            </w:r>
          </w:p>
        </w:tc>
        <w:tc>
          <w:tcPr>
            <w:tcW w:w="994" w:type="dxa"/>
          </w:tcPr>
          <w:p w14:paraId="08F50F8B">
            <w:pPr>
              <w:spacing w:before="154" w:line="221" w:lineRule="auto"/>
              <w:ind w:left="393"/>
              <w:rPr>
                <w:szCs w:val="21"/>
              </w:rPr>
            </w:pPr>
            <w:r>
              <w:rPr>
                <w:spacing w:val="-7"/>
                <w:szCs w:val="21"/>
              </w:rPr>
              <w:t>乙</w:t>
            </w:r>
            <w:r>
              <w:rPr>
                <w:spacing w:val="-5"/>
                <w:szCs w:val="21"/>
              </w:rPr>
              <w:t>醇</w:t>
            </w:r>
          </w:p>
        </w:tc>
        <w:tc>
          <w:tcPr>
            <w:tcW w:w="1356" w:type="dxa"/>
          </w:tcPr>
          <w:p w14:paraId="62042F45">
            <w:pPr>
              <w:spacing w:before="188" w:line="187" w:lineRule="auto"/>
              <w:ind w:left="739"/>
              <w:rPr>
                <w:szCs w:val="21"/>
              </w:rPr>
            </w:pPr>
            <w:r>
              <w:rPr>
                <w:spacing w:val="-9"/>
                <w:szCs w:val="21"/>
              </w:rPr>
              <w:t>39.5</w:t>
            </w:r>
          </w:p>
        </w:tc>
        <w:tc>
          <w:tcPr>
            <w:tcW w:w="1762" w:type="dxa"/>
          </w:tcPr>
          <w:p w14:paraId="59419800">
            <w:pPr>
              <w:spacing w:before="154" w:line="219" w:lineRule="auto"/>
              <w:ind w:left="125"/>
              <w:rPr>
                <w:szCs w:val="21"/>
              </w:rPr>
            </w:pPr>
            <w:r>
              <w:rPr>
                <w:spacing w:val="-7"/>
                <w:szCs w:val="21"/>
              </w:rPr>
              <w:t>易燃、易爆、有</w:t>
            </w:r>
            <w:r>
              <w:rPr>
                <w:spacing w:val="-6"/>
                <w:szCs w:val="21"/>
              </w:rPr>
              <w:t>毒</w:t>
            </w:r>
          </w:p>
        </w:tc>
        <w:tc>
          <w:tcPr>
            <w:tcW w:w="3725" w:type="dxa"/>
          </w:tcPr>
          <w:p w14:paraId="0EA028ED">
            <w:pPr>
              <w:spacing w:line="214" w:lineRule="auto"/>
              <w:ind w:firstLine="211" w:firstLineChars="100"/>
              <w:rPr>
                <w:szCs w:val="21"/>
              </w:rPr>
            </w:pPr>
            <w:r>
              <w:rPr>
                <w:rStyle w:val="59"/>
                <w:rFonts w:ascii="Times New Roman" w:hAnsi="Times New Roman"/>
                <w:sz w:val="21"/>
                <w:szCs w:val="21"/>
              </w:rPr>
              <w:t>罐区</w:t>
            </w:r>
          </w:p>
        </w:tc>
      </w:tr>
      <w:tr w14:paraId="2087D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75" w:type="dxa"/>
          </w:tcPr>
          <w:p w14:paraId="189956EA">
            <w:pPr>
              <w:spacing w:before="191" w:line="187" w:lineRule="auto"/>
              <w:ind w:left="144"/>
              <w:rPr>
                <w:szCs w:val="21"/>
              </w:rPr>
            </w:pPr>
            <w:r>
              <w:rPr>
                <w:szCs w:val="21"/>
              </w:rPr>
              <w:t>7</w:t>
            </w:r>
          </w:p>
        </w:tc>
        <w:tc>
          <w:tcPr>
            <w:tcW w:w="994" w:type="dxa"/>
          </w:tcPr>
          <w:p w14:paraId="2BED0BDB">
            <w:pPr>
              <w:spacing w:before="155" w:line="221" w:lineRule="auto"/>
              <w:ind w:left="403"/>
              <w:rPr>
                <w:szCs w:val="21"/>
              </w:rPr>
            </w:pPr>
            <w:r>
              <w:rPr>
                <w:spacing w:val="-9"/>
                <w:szCs w:val="21"/>
              </w:rPr>
              <w:t>甲</w:t>
            </w:r>
            <w:r>
              <w:rPr>
                <w:spacing w:val="-8"/>
                <w:szCs w:val="21"/>
              </w:rPr>
              <w:t>醇</w:t>
            </w:r>
          </w:p>
        </w:tc>
        <w:tc>
          <w:tcPr>
            <w:tcW w:w="1356" w:type="dxa"/>
          </w:tcPr>
          <w:p w14:paraId="402A0D23">
            <w:pPr>
              <w:spacing w:before="188" w:line="187" w:lineRule="auto"/>
              <w:ind w:left="739"/>
              <w:rPr>
                <w:rFonts w:eastAsia="Times New Roman"/>
                <w:szCs w:val="21"/>
              </w:rPr>
            </w:pPr>
            <w:r>
              <w:rPr>
                <w:spacing w:val="-9"/>
                <w:szCs w:val="21"/>
              </w:rPr>
              <w:t>39.6</w:t>
            </w:r>
          </w:p>
        </w:tc>
        <w:tc>
          <w:tcPr>
            <w:tcW w:w="1762" w:type="dxa"/>
          </w:tcPr>
          <w:p w14:paraId="704D4661">
            <w:pPr>
              <w:spacing w:before="154" w:line="219" w:lineRule="auto"/>
              <w:ind w:left="125"/>
              <w:rPr>
                <w:szCs w:val="21"/>
              </w:rPr>
            </w:pPr>
            <w:r>
              <w:rPr>
                <w:spacing w:val="-7"/>
                <w:szCs w:val="21"/>
              </w:rPr>
              <w:t>易燃、易爆、有</w:t>
            </w:r>
            <w:r>
              <w:rPr>
                <w:spacing w:val="-6"/>
                <w:szCs w:val="21"/>
              </w:rPr>
              <w:t>毒</w:t>
            </w:r>
          </w:p>
        </w:tc>
        <w:tc>
          <w:tcPr>
            <w:tcW w:w="3725" w:type="dxa"/>
          </w:tcPr>
          <w:p w14:paraId="3A34D5B0">
            <w:pPr>
              <w:spacing w:line="214" w:lineRule="auto"/>
              <w:ind w:firstLine="211" w:firstLineChars="100"/>
              <w:rPr>
                <w:szCs w:val="21"/>
              </w:rPr>
            </w:pPr>
            <w:r>
              <w:rPr>
                <w:rStyle w:val="59"/>
                <w:rFonts w:ascii="Times New Roman" w:hAnsi="Times New Roman"/>
                <w:sz w:val="21"/>
                <w:szCs w:val="21"/>
              </w:rPr>
              <w:t>罐区</w:t>
            </w:r>
          </w:p>
        </w:tc>
      </w:tr>
    </w:tbl>
    <w:p w14:paraId="18FFB2C5">
      <w:pPr>
        <w:spacing w:line="360" w:lineRule="auto"/>
        <w:ind w:firstLine="482" w:firstLineChars="200"/>
        <w:outlineLvl w:val="2"/>
        <w:rPr>
          <w:rFonts w:eastAsiaTheme="minorEastAsia"/>
          <w:b/>
          <w:bCs/>
          <w:kern w:val="0"/>
          <w:sz w:val="24"/>
          <w:szCs w:val="24"/>
        </w:rPr>
      </w:pPr>
      <w:bookmarkStart w:id="146" w:name="_bookmark52"/>
      <w:bookmarkEnd w:id="146"/>
      <w:r>
        <w:rPr>
          <w:rFonts w:eastAsiaTheme="minorEastAsia"/>
          <w:b/>
          <w:bCs/>
          <w:kern w:val="0"/>
          <w:sz w:val="24"/>
          <w:szCs w:val="24"/>
        </w:rPr>
        <w:t>7.1.2 重点监管的危险化工工艺辨识</w:t>
      </w:r>
    </w:p>
    <w:p w14:paraId="37E5F8B2">
      <w:pPr>
        <w:widowControl/>
        <w:spacing w:line="360" w:lineRule="auto"/>
        <w:ind w:firstLine="480" w:firstLineChars="200"/>
        <w:jc w:val="left"/>
        <w:rPr>
          <w:sz w:val="24"/>
        </w:rPr>
      </w:pPr>
      <w:r>
        <w:rPr>
          <w:sz w:val="24"/>
        </w:rPr>
        <w:t>因恒诚制药部分已停产，涉及的危险工艺氯化工艺已停产，不再进行辨识和分析。对照《国家安全监管总局关于公布首批重点监管的危险化工工艺目录的通知》(安监总管三〔2009〕116号)、《国家安全监管总局关于公布第二批重点监管危险化工工艺目录和调整首批重点监管危险化工工艺中部分典型工艺的通知》(安监总管三〔2013〕3号)，化工园区四至范围内已入驻的德邦化工、恒诚制药、水卫士环保科技、国瑞药业四家化工企业，块二正在建设的三家化工为企业淮南锦德生物科技有限公司、安徽森吉制药有限公司和安徽山河药用辅料股份有限公司，涉及的危险化工工艺，辨识情况见表7.1-9。</w:t>
      </w:r>
    </w:p>
    <w:p w14:paraId="1FDB01C2">
      <w:pPr>
        <w:spacing w:before="61" w:line="214" w:lineRule="auto"/>
        <w:ind w:left="2074"/>
        <w:rPr>
          <w:sz w:val="24"/>
          <w:szCs w:val="24"/>
        </w:rPr>
      </w:pPr>
      <w:r>
        <w:rPr>
          <w:spacing w:val="-1"/>
          <w:sz w:val="24"/>
          <w:szCs w:val="24"/>
        </w:rPr>
        <w:t>表7.1-9、化工园区</w:t>
      </w:r>
      <w:r>
        <w:rPr>
          <w:sz w:val="24"/>
          <w:szCs w:val="24"/>
        </w:rPr>
        <w:t>重点监管的危险化工工艺辨识表</w:t>
      </w:r>
    </w:p>
    <w:tbl>
      <w:tblPr>
        <w:tblStyle w:val="58"/>
        <w:tblW w:w="87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288"/>
        <w:gridCol w:w="1862"/>
        <w:gridCol w:w="1300"/>
        <w:gridCol w:w="3625"/>
      </w:tblGrid>
      <w:tr w14:paraId="2EB3A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22" w:type="dxa"/>
          </w:tcPr>
          <w:p w14:paraId="125A4E26">
            <w:pPr>
              <w:spacing w:before="154" w:line="222" w:lineRule="auto"/>
              <w:ind w:left="153"/>
              <w:rPr>
                <w:szCs w:val="21"/>
              </w:rPr>
            </w:pPr>
            <w:r>
              <w:rPr>
                <w:spacing w:val="-2"/>
                <w:szCs w:val="21"/>
              </w:rPr>
              <w:t>序</w:t>
            </w:r>
            <w:r>
              <w:rPr>
                <w:spacing w:val="-1"/>
                <w:szCs w:val="21"/>
              </w:rPr>
              <w:t>号</w:t>
            </w:r>
          </w:p>
        </w:tc>
        <w:tc>
          <w:tcPr>
            <w:tcW w:w="1288" w:type="dxa"/>
          </w:tcPr>
          <w:p w14:paraId="51E74683">
            <w:pPr>
              <w:spacing w:before="154" w:line="221" w:lineRule="auto"/>
              <w:ind w:left="286"/>
              <w:rPr>
                <w:szCs w:val="21"/>
              </w:rPr>
            </w:pPr>
            <w:r>
              <w:rPr>
                <w:spacing w:val="-2"/>
                <w:szCs w:val="21"/>
              </w:rPr>
              <w:t>危</w:t>
            </w:r>
            <w:r>
              <w:rPr>
                <w:spacing w:val="-1"/>
                <w:szCs w:val="21"/>
              </w:rPr>
              <w:t>险工艺</w:t>
            </w:r>
          </w:p>
        </w:tc>
        <w:tc>
          <w:tcPr>
            <w:tcW w:w="1862" w:type="dxa"/>
          </w:tcPr>
          <w:p w14:paraId="273EF1EA">
            <w:pPr>
              <w:spacing w:before="154" w:line="235" w:lineRule="auto"/>
              <w:ind w:left="282"/>
              <w:rPr>
                <w:szCs w:val="21"/>
              </w:rPr>
            </w:pPr>
            <w:r>
              <w:rPr>
                <w:spacing w:val="1"/>
                <w:szCs w:val="21"/>
              </w:rPr>
              <w:t>所在装</w:t>
            </w:r>
            <w:r>
              <w:rPr>
                <w:szCs w:val="21"/>
              </w:rPr>
              <w:t>置</w:t>
            </w:r>
            <w:r>
              <w:rPr>
                <w:rFonts w:eastAsia="Times New Roman"/>
                <w:b/>
                <w:bCs/>
                <w:szCs w:val="21"/>
              </w:rPr>
              <w:t>/</w:t>
            </w:r>
            <w:r>
              <w:rPr>
                <w:szCs w:val="21"/>
              </w:rPr>
              <w:t>工序</w:t>
            </w:r>
          </w:p>
        </w:tc>
        <w:tc>
          <w:tcPr>
            <w:tcW w:w="1300" w:type="dxa"/>
          </w:tcPr>
          <w:p w14:paraId="02DDC3C4">
            <w:pPr>
              <w:spacing w:before="153" w:line="221" w:lineRule="auto"/>
              <w:rPr>
                <w:szCs w:val="21"/>
              </w:rPr>
            </w:pPr>
            <w:r>
              <w:rPr>
                <w:spacing w:val="-1"/>
                <w:szCs w:val="21"/>
              </w:rPr>
              <w:t>所在公</w:t>
            </w:r>
            <w:r>
              <w:rPr>
                <w:szCs w:val="21"/>
              </w:rPr>
              <w:t>司</w:t>
            </w:r>
          </w:p>
        </w:tc>
        <w:tc>
          <w:tcPr>
            <w:tcW w:w="3625" w:type="dxa"/>
          </w:tcPr>
          <w:p w14:paraId="3AD12E00">
            <w:pPr>
              <w:spacing w:before="154" w:line="221" w:lineRule="auto"/>
              <w:ind w:left="1091"/>
              <w:rPr>
                <w:szCs w:val="21"/>
              </w:rPr>
            </w:pPr>
            <w:r>
              <w:rPr>
                <w:szCs w:val="21"/>
              </w:rPr>
              <w:t>配备的自控系统</w:t>
            </w:r>
          </w:p>
        </w:tc>
      </w:tr>
      <w:tr w14:paraId="55556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722" w:type="dxa"/>
          </w:tcPr>
          <w:p w14:paraId="142626B6">
            <w:pPr>
              <w:spacing w:line="280" w:lineRule="auto"/>
            </w:pPr>
          </w:p>
          <w:p w14:paraId="017488BB">
            <w:pPr>
              <w:spacing w:before="60" w:line="187" w:lineRule="auto"/>
              <w:ind w:left="170"/>
              <w:rPr>
                <w:rFonts w:eastAsia="Times New Roman"/>
                <w:szCs w:val="21"/>
              </w:rPr>
            </w:pPr>
            <w:r>
              <w:rPr>
                <w:rFonts w:eastAsia="Times New Roman"/>
                <w:szCs w:val="21"/>
              </w:rPr>
              <w:t>1</w:t>
            </w:r>
          </w:p>
        </w:tc>
        <w:tc>
          <w:tcPr>
            <w:tcW w:w="1288" w:type="dxa"/>
          </w:tcPr>
          <w:p w14:paraId="40521E91">
            <w:pPr>
              <w:rPr>
                <w:szCs w:val="21"/>
              </w:rPr>
            </w:pPr>
            <w:r>
              <w:rPr>
                <w:spacing w:val="-2"/>
                <w:szCs w:val="21"/>
              </w:rPr>
              <w:t>新</w:t>
            </w:r>
            <w:r>
              <w:rPr>
                <w:spacing w:val="-1"/>
                <w:szCs w:val="21"/>
              </w:rPr>
              <w:t>型煤化工</w:t>
            </w:r>
            <w:r>
              <w:rPr>
                <w:spacing w:val="-3"/>
                <w:szCs w:val="21"/>
              </w:rPr>
              <w:t>工</w:t>
            </w:r>
            <w:r>
              <w:rPr>
                <w:spacing w:val="-2"/>
                <w:szCs w:val="21"/>
              </w:rPr>
              <w:t>艺</w:t>
            </w:r>
          </w:p>
        </w:tc>
        <w:tc>
          <w:tcPr>
            <w:tcW w:w="1862" w:type="dxa"/>
          </w:tcPr>
          <w:p w14:paraId="71D63F91">
            <w:pPr>
              <w:spacing w:before="308" w:line="219" w:lineRule="auto"/>
              <w:ind w:left="154"/>
              <w:rPr>
                <w:szCs w:val="21"/>
              </w:rPr>
            </w:pPr>
            <w:r>
              <w:rPr>
                <w:spacing w:val="-1"/>
                <w:szCs w:val="21"/>
              </w:rPr>
              <w:t>煤转化煤</w:t>
            </w:r>
            <w:r>
              <w:rPr>
                <w:szCs w:val="21"/>
              </w:rPr>
              <w:t>气发生炉</w:t>
            </w:r>
          </w:p>
        </w:tc>
        <w:tc>
          <w:tcPr>
            <w:tcW w:w="1300" w:type="dxa"/>
          </w:tcPr>
          <w:p w14:paraId="3038BAD1">
            <w:pPr>
              <w:spacing w:before="308" w:line="221" w:lineRule="auto"/>
              <w:rPr>
                <w:szCs w:val="21"/>
              </w:rPr>
            </w:pPr>
            <w:r>
              <w:rPr>
                <w:spacing w:val="-2"/>
                <w:szCs w:val="21"/>
              </w:rPr>
              <w:t>德邦</w:t>
            </w:r>
            <w:r>
              <w:rPr>
                <w:spacing w:val="-1"/>
                <w:szCs w:val="21"/>
              </w:rPr>
              <w:t>化工</w:t>
            </w:r>
          </w:p>
        </w:tc>
        <w:tc>
          <w:tcPr>
            <w:tcW w:w="3625" w:type="dxa"/>
          </w:tcPr>
          <w:p w14:paraId="36CF30FE">
            <w:pPr>
              <w:spacing w:before="153" w:line="287" w:lineRule="auto"/>
              <w:ind w:left="116" w:right="108" w:hanging="1"/>
              <w:rPr>
                <w:szCs w:val="21"/>
              </w:rPr>
            </w:pPr>
            <w:r>
              <w:rPr>
                <w:spacing w:val="5"/>
                <w:szCs w:val="21"/>
              </w:rPr>
              <w:t>设置</w:t>
            </w:r>
            <w:r>
              <w:rPr>
                <w:rFonts w:eastAsia="Times New Roman"/>
                <w:szCs w:val="21"/>
              </w:rPr>
              <w:t>DCS</w:t>
            </w:r>
            <w:r>
              <w:rPr>
                <w:spacing w:val="5"/>
                <w:szCs w:val="21"/>
              </w:rPr>
              <w:t>自动化控制系统，未设</w:t>
            </w:r>
            <w:r>
              <w:rPr>
                <w:spacing w:val="4"/>
                <w:szCs w:val="21"/>
              </w:rPr>
              <w:t>置</w:t>
            </w:r>
            <w:r>
              <w:rPr>
                <w:rFonts w:eastAsia="Times New Roman"/>
                <w:spacing w:val="-1"/>
                <w:szCs w:val="21"/>
              </w:rPr>
              <w:t>SIS</w:t>
            </w:r>
            <w:r>
              <w:rPr>
                <w:spacing w:val="-1"/>
                <w:szCs w:val="21"/>
              </w:rPr>
              <w:t>安全仪表系统</w:t>
            </w:r>
          </w:p>
        </w:tc>
      </w:tr>
      <w:tr w14:paraId="03DFC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22" w:type="dxa"/>
          </w:tcPr>
          <w:p w14:paraId="2785EACA">
            <w:pPr>
              <w:spacing w:line="279" w:lineRule="auto"/>
            </w:pPr>
          </w:p>
          <w:p w14:paraId="6F93714B">
            <w:pPr>
              <w:spacing w:before="61" w:line="187" w:lineRule="auto"/>
              <w:ind w:left="150"/>
              <w:rPr>
                <w:rFonts w:eastAsia="Times New Roman"/>
                <w:szCs w:val="21"/>
              </w:rPr>
            </w:pPr>
            <w:r>
              <w:rPr>
                <w:rFonts w:eastAsia="Times New Roman"/>
                <w:szCs w:val="21"/>
              </w:rPr>
              <w:t>2</w:t>
            </w:r>
          </w:p>
        </w:tc>
        <w:tc>
          <w:tcPr>
            <w:tcW w:w="1288" w:type="dxa"/>
          </w:tcPr>
          <w:p w14:paraId="72CC7FD7">
            <w:pPr>
              <w:spacing w:before="308" w:line="218" w:lineRule="auto"/>
              <w:ind w:left="182"/>
              <w:rPr>
                <w:szCs w:val="21"/>
              </w:rPr>
            </w:pPr>
            <w:r>
              <w:rPr>
                <w:spacing w:val="-2"/>
                <w:szCs w:val="21"/>
              </w:rPr>
              <w:t>合</w:t>
            </w:r>
            <w:r>
              <w:rPr>
                <w:spacing w:val="-1"/>
                <w:szCs w:val="21"/>
              </w:rPr>
              <w:t>成氨工艺</w:t>
            </w:r>
          </w:p>
        </w:tc>
        <w:tc>
          <w:tcPr>
            <w:tcW w:w="1862" w:type="dxa"/>
          </w:tcPr>
          <w:p w14:paraId="2F652F50">
            <w:pPr>
              <w:spacing w:before="308" w:line="218" w:lineRule="auto"/>
              <w:ind w:left="575"/>
              <w:rPr>
                <w:szCs w:val="21"/>
              </w:rPr>
            </w:pPr>
            <w:r>
              <w:rPr>
                <w:spacing w:val="-2"/>
                <w:szCs w:val="21"/>
              </w:rPr>
              <w:t>氨</w:t>
            </w:r>
            <w:r>
              <w:rPr>
                <w:spacing w:val="-1"/>
                <w:szCs w:val="21"/>
              </w:rPr>
              <w:t>合成塔</w:t>
            </w:r>
          </w:p>
        </w:tc>
        <w:tc>
          <w:tcPr>
            <w:tcW w:w="1300" w:type="dxa"/>
          </w:tcPr>
          <w:p w14:paraId="2AEC644F">
            <w:pPr>
              <w:spacing w:before="308" w:line="221" w:lineRule="auto"/>
              <w:rPr>
                <w:szCs w:val="21"/>
              </w:rPr>
            </w:pPr>
            <w:r>
              <w:rPr>
                <w:spacing w:val="-2"/>
                <w:szCs w:val="21"/>
              </w:rPr>
              <w:t>德邦</w:t>
            </w:r>
            <w:r>
              <w:rPr>
                <w:spacing w:val="-1"/>
                <w:szCs w:val="21"/>
              </w:rPr>
              <w:t>化工</w:t>
            </w:r>
          </w:p>
        </w:tc>
        <w:tc>
          <w:tcPr>
            <w:tcW w:w="3625" w:type="dxa"/>
          </w:tcPr>
          <w:p w14:paraId="7FB6E75D">
            <w:pPr>
              <w:spacing w:before="150" w:line="288" w:lineRule="auto"/>
              <w:ind w:left="116" w:right="108" w:hanging="1"/>
              <w:rPr>
                <w:szCs w:val="21"/>
              </w:rPr>
            </w:pPr>
            <w:r>
              <w:rPr>
                <w:spacing w:val="5"/>
                <w:szCs w:val="21"/>
              </w:rPr>
              <w:t>设置</w:t>
            </w:r>
            <w:r>
              <w:rPr>
                <w:rFonts w:eastAsia="Times New Roman"/>
                <w:szCs w:val="21"/>
              </w:rPr>
              <w:t>DCS</w:t>
            </w:r>
            <w:r>
              <w:rPr>
                <w:spacing w:val="5"/>
                <w:szCs w:val="21"/>
              </w:rPr>
              <w:t>自动化控制系统，未设</w:t>
            </w:r>
            <w:r>
              <w:rPr>
                <w:spacing w:val="4"/>
                <w:szCs w:val="21"/>
              </w:rPr>
              <w:t>置</w:t>
            </w:r>
            <w:r>
              <w:rPr>
                <w:rFonts w:eastAsia="Times New Roman"/>
                <w:spacing w:val="-1"/>
                <w:szCs w:val="21"/>
              </w:rPr>
              <w:t>SIS</w:t>
            </w:r>
            <w:r>
              <w:rPr>
                <w:spacing w:val="-1"/>
                <w:szCs w:val="21"/>
              </w:rPr>
              <w:t>安全仪表系统</w:t>
            </w:r>
          </w:p>
        </w:tc>
      </w:tr>
      <w:tr w14:paraId="1307D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22" w:type="dxa"/>
          </w:tcPr>
          <w:p w14:paraId="43B5C3D5">
            <w:pPr>
              <w:spacing w:line="280" w:lineRule="auto"/>
            </w:pPr>
          </w:p>
          <w:p w14:paraId="5BF4081C">
            <w:pPr>
              <w:spacing w:before="61" w:line="187" w:lineRule="auto"/>
              <w:ind w:left="154"/>
              <w:rPr>
                <w:rFonts w:eastAsia="Times New Roman"/>
                <w:szCs w:val="21"/>
              </w:rPr>
            </w:pPr>
            <w:r>
              <w:rPr>
                <w:rFonts w:eastAsia="Times New Roman"/>
                <w:szCs w:val="21"/>
              </w:rPr>
              <w:t>3</w:t>
            </w:r>
          </w:p>
        </w:tc>
        <w:tc>
          <w:tcPr>
            <w:tcW w:w="1288" w:type="dxa"/>
          </w:tcPr>
          <w:p w14:paraId="761601F8">
            <w:pPr>
              <w:spacing w:before="308" w:line="217" w:lineRule="auto"/>
              <w:ind w:left="182"/>
              <w:rPr>
                <w:szCs w:val="21"/>
              </w:rPr>
            </w:pPr>
            <w:r>
              <w:rPr>
                <w:spacing w:val="-2"/>
                <w:szCs w:val="21"/>
              </w:rPr>
              <w:t>重</w:t>
            </w:r>
            <w:r>
              <w:rPr>
                <w:spacing w:val="-1"/>
                <w:szCs w:val="21"/>
              </w:rPr>
              <w:t>氮化工艺</w:t>
            </w:r>
          </w:p>
        </w:tc>
        <w:tc>
          <w:tcPr>
            <w:tcW w:w="1862" w:type="dxa"/>
          </w:tcPr>
          <w:p w14:paraId="5C8C12A3">
            <w:pPr>
              <w:spacing w:before="308" w:line="217" w:lineRule="auto"/>
              <w:ind w:left="595"/>
              <w:rPr>
                <w:szCs w:val="21"/>
              </w:rPr>
            </w:pPr>
            <w:r>
              <w:rPr>
                <w:spacing w:val="-7"/>
                <w:szCs w:val="21"/>
              </w:rPr>
              <w:t>中</w:t>
            </w:r>
            <w:r>
              <w:rPr>
                <w:spacing w:val="-6"/>
                <w:szCs w:val="21"/>
              </w:rPr>
              <w:t>试车间</w:t>
            </w:r>
          </w:p>
        </w:tc>
        <w:tc>
          <w:tcPr>
            <w:tcW w:w="1300" w:type="dxa"/>
          </w:tcPr>
          <w:p w14:paraId="46A31459">
            <w:pPr>
              <w:spacing w:before="309" w:line="221" w:lineRule="auto"/>
              <w:rPr>
                <w:szCs w:val="21"/>
              </w:rPr>
            </w:pPr>
            <w:r>
              <w:rPr>
                <w:spacing w:val="-8"/>
                <w:szCs w:val="21"/>
              </w:rPr>
              <w:t>国</w:t>
            </w:r>
            <w:r>
              <w:rPr>
                <w:spacing w:val="-6"/>
                <w:szCs w:val="21"/>
              </w:rPr>
              <w:t>瑞制药</w:t>
            </w:r>
          </w:p>
        </w:tc>
        <w:tc>
          <w:tcPr>
            <w:tcW w:w="3625" w:type="dxa"/>
          </w:tcPr>
          <w:p w14:paraId="0A3C5BF8">
            <w:pPr>
              <w:spacing w:before="152"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48D9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68AE1B4A">
            <w:pPr>
              <w:spacing w:line="284" w:lineRule="auto"/>
            </w:pPr>
          </w:p>
          <w:p w14:paraId="6F8169C6">
            <w:pPr>
              <w:spacing w:before="60" w:line="187" w:lineRule="auto"/>
              <w:ind w:left="149"/>
              <w:rPr>
                <w:rFonts w:eastAsia="Times New Roman"/>
                <w:szCs w:val="21"/>
              </w:rPr>
            </w:pPr>
            <w:r>
              <w:rPr>
                <w:rFonts w:eastAsia="Times New Roman"/>
                <w:szCs w:val="21"/>
              </w:rPr>
              <w:t>4</w:t>
            </w:r>
          </w:p>
        </w:tc>
        <w:tc>
          <w:tcPr>
            <w:tcW w:w="1288" w:type="dxa"/>
          </w:tcPr>
          <w:p w14:paraId="056618F7"/>
          <w:p w14:paraId="08939EBC">
            <w:pPr>
              <w:spacing w:before="68" w:line="222" w:lineRule="auto"/>
              <w:ind w:left="288"/>
              <w:rPr>
                <w:szCs w:val="21"/>
              </w:rPr>
            </w:pPr>
            <w:r>
              <w:rPr>
                <w:spacing w:val="-2"/>
                <w:szCs w:val="21"/>
              </w:rPr>
              <w:t>硝化工</w:t>
            </w:r>
            <w:r>
              <w:rPr>
                <w:spacing w:val="-1"/>
                <w:szCs w:val="21"/>
              </w:rPr>
              <w:t>艺</w:t>
            </w:r>
          </w:p>
        </w:tc>
        <w:tc>
          <w:tcPr>
            <w:tcW w:w="1862" w:type="dxa"/>
          </w:tcPr>
          <w:p w14:paraId="4A53500C"/>
          <w:p w14:paraId="32D8E1D7">
            <w:pPr>
              <w:spacing w:before="68" w:line="217" w:lineRule="auto"/>
              <w:ind w:left="595"/>
              <w:rPr>
                <w:szCs w:val="21"/>
              </w:rPr>
            </w:pPr>
            <w:r>
              <w:rPr>
                <w:spacing w:val="-7"/>
                <w:szCs w:val="21"/>
              </w:rPr>
              <w:t>中</w:t>
            </w:r>
            <w:r>
              <w:rPr>
                <w:spacing w:val="-6"/>
                <w:szCs w:val="21"/>
              </w:rPr>
              <w:t>试车间</w:t>
            </w:r>
          </w:p>
        </w:tc>
        <w:tc>
          <w:tcPr>
            <w:tcW w:w="1300" w:type="dxa"/>
          </w:tcPr>
          <w:p w14:paraId="71E861A0"/>
          <w:p w14:paraId="5768AAAB">
            <w:pPr>
              <w:spacing w:before="68" w:line="221" w:lineRule="auto"/>
              <w:rPr>
                <w:szCs w:val="21"/>
              </w:rPr>
            </w:pPr>
            <w:r>
              <w:rPr>
                <w:spacing w:val="-8"/>
                <w:szCs w:val="21"/>
              </w:rPr>
              <w:t>国</w:t>
            </w:r>
            <w:r>
              <w:rPr>
                <w:spacing w:val="-6"/>
                <w:szCs w:val="21"/>
              </w:rPr>
              <w:t>瑞制药</w:t>
            </w:r>
          </w:p>
        </w:tc>
        <w:tc>
          <w:tcPr>
            <w:tcW w:w="3625" w:type="dxa"/>
          </w:tcPr>
          <w:p w14:paraId="348F65A5">
            <w:pPr>
              <w:spacing w:before="153" w:line="290"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306FC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08B51D9">
            <w:pPr>
              <w:spacing w:line="283" w:lineRule="auto"/>
            </w:pPr>
          </w:p>
          <w:p w14:paraId="1492DF5E">
            <w:pPr>
              <w:spacing w:before="60" w:line="184" w:lineRule="auto"/>
              <w:ind w:left="156"/>
              <w:rPr>
                <w:rFonts w:eastAsia="Times New Roman"/>
                <w:szCs w:val="21"/>
              </w:rPr>
            </w:pPr>
            <w:r>
              <w:rPr>
                <w:rFonts w:eastAsia="Times New Roman"/>
                <w:szCs w:val="21"/>
              </w:rPr>
              <w:t>5</w:t>
            </w:r>
          </w:p>
        </w:tc>
        <w:tc>
          <w:tcPr>
            <w:tcW w:w="1288" w:type="dxa"/>
          </w:tcPr>
          <w:p w14:paraId="1F031D50">
            <w:pPr>
              <w:spacing w:before="309" w:line="221" w:lineRule="auto"/>
              <w:ind w:left="182"/>
              <w:rPr>
                <w:szCs w:val="21"/>
              </w:rPr>
            </w:pPr>
            <w:r>
              <w:rPr>
                <w:spacing w:val="-2"/>
                <w:szCs w:val="21"/>
              </w:rPr>
              <w:t>烷</w:t>
            </w:r>
            <w:r>
              <w:rPr>
                <w:spacing w:val="-1"/>
                <w:szCs w:val="21"/>
              </w:rPr>
              <w:t>基化工艺</w:t>
            </w:r>
          </w:p>
        </w:tc>
        <w:tc>
          <w:tcPr>
            <w:tcW w:w="1862" w:type="dxa"/>
          </w:tcPr>
          <w:p w14:paraId="3D9849F4">
            <w:pPr>
              <w:spacing w:before="308" w:line="217" w:lineRule="auto"/>
              <w:ind w:left="595"/>
              <w:rPr>
                <w:szCs w:val="21"/>
              </w:rPr>
            </w:pPr>
            <w:r>
              <w:rPr>
                <w:spacing w:val="-7"/>
                <w:szCs w:val="21"/>
              </w:rPr>
              <w:t>中</w:t>
            </w:r>
            <w:r>
              <w:rPr>
                <w:spacing w:val="-6"/>
                <w:szCs w:val="21"/>
              </w:rPr>
              <w:t>试车间</w:t>
            </w:r>
          </w:p>
        </w:tc>
        <w:tc>
          <w:tcPr>
            <w:tcW w:w="1300" w:type="dxa"/>
          </w:tcPr>
          <w:p w14:paraId="0E7E5F1C">
            <w:pPr>
              <w:spacing w:before="309" w:line="221" w:lineRule="auto"/>
              <w:rPr>
                <w:szCs w:val="21"/>
              </w:rPr>
            </w:pPr>
            <w:r>
              <w:rPr>
                <w:spacing w:val="-8"/>
                <w:szCs w:val="21"/>
              </w:rPr>
              <w:t>国</w:t>
            </w:r>
            <w:r>
              <w:rPr>
                <w:spacing w:val="-6"/>
                <w:szCs w:val="21"/>
              </w:rPr>
              <w:t>瑞制药</w:t>
            </w:r>
          </w:p>
        </w:tc>
        <w:tc>
          <w:tcPr>
            <w:tcW w:w="3625" w:type="dxa"/>
          </w:tcPr>
          <w:p w14:paraId="383A75F5">
            <w:pPr>
              <w:spacing w:before="152"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2FAAC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3587C16">
            <w:pPr>
              <w:spacing w:line="278" w:lineRule="auto"/>
            </w:pPr>
          </w:p>
          <w:p w14:paraId="44ED5E83">
            <w:pPr>
              <w:spacing w:before="60" w:line="187" w:lineRule="auto"/>
              <w:ind w:left="155"/>
              <w:rPr>
                <w:rFonts w:eastAsia="Times New Roman"/>
                <w:szCs w:val="21"/>
              </w:rPr>
            </w:pPr>
            <w:r>
              <w:rPr>
                <w:rFonts w:eastAsia="Times New Roman"/>
                <w:szCs w:val="21"/>
              </w:rPr>
              <w:t>6</w:t>
            </w:r>
          </w:p>
        </w:tc>
        <w:tc>
          <w:tcPr>
            <w:tcW w:w="1288" w:type="dxa"/>
          </w:tcPr>
          <w:p w14:paraId="57F8D465">
            <w:pPr>
              <w:spacing w:before="307" w:line="218" w:lineRule="auto"/>
              <w:ind w:left="182"/>
              <w:rPr>
                <w:szCs w:val="21"/>
              </w:rPr>
            </w:pPr>
            <w:r>
              <w:rPr>
                <w:spacing w:val="-2"/>
                <w:szCs w:val="21"/>
              </w:rPr>
              <w:t>合</w:t>
            </w:r>
            <w:r>
              <w:rPr>
                <w:spacing w:val="-1"/>
                <w:szCs w:val="21"/>
              </w:rPr>
              <w:t>成氨工艺</w:t>
            </w:r>
          </w:p>
        </w:tc>
        <w:tc>
          <w:tcPr>
            <w:tcW w:w="1862" w:type="dxa"/>
          </w:tcPr>
          <w:p w14:paraId="3B8EF8FA">
            <w:pPr>
              <w:spacing w:before="306" w:line="217" w:lineRule="auto"/>
              <w:ind w:left="595"/>
              <w:rPr>
                <w:szCs w:val="21"/>
              </w:rPr>
            </w:pPr>
            <w:r>
              <w:rPr>
                <w:spacing w:val="-7"/>
                <w:szCs w:val="21"/>
              </w:rPr>
              <w:t>中</w:t>
            </w:r>
            <w:r>
              <w:rPr>
                <w:spacing w:val="-6"/>
                <w:szCs w:val="21"/>
              </w:rPr>
              <w:t>试车间</w:t>
            </w:r>
          </w:p>
        </w:tc>
        <w:tc>
          <w:tcPr>
            <w:tcW w:w="1300" w:type="dxa"/>
          </w:tcPr>
          <w:p w14:paraId="24678349">
            <w:pPr>
              <w:spacing w:before="307" w:line="221" w:lineRule="auto"/>
              <w:rPr>
                <w:szCs w:val="21"/>
              </w:rPr>
            </w:pPr>
            <w:r>
              <w:rPr>
                <w:spacing w:val="-8"/>
                <w:szCs w:val="21"/>
              </w:rPr>
              <w:t>国</w:t>
            </w:r>
            <w:r>
              <w:rPr>
                <w:spacing w:val="-6"/>
                <w:szCs w:val="21"/>
              </w:rPr>
              <w:t>瑞制药</w:t>
            </w:r>
          </w:p>
        </w:tc>
        <w:tc>
          <w:tcPr>
            <w:tcW w:w="3625" w:type="dxa"/>
          </w:tcPr>
          <w:p w14:paraId="774536ED">
            <w:pPr>
              <w:spacing w:before="150"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65407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99ABA79">
            <w:pPr>
              <w:spacing w:line="284" w:lineRule="auto"/>
            </w:pPr>
          </w:p>
          <w:p w14:paraId="626410B5">
            <w:pPr>
              <w:spacing w:before="61" w:line="184" w:lineRule="auto"/>
              <w:ind w:left="154"/>
              <w:rPr>
                <w:rFonts w:eastAsia="Times New Roman"/>
                <w:szCs w:val="21"/>
              </w:rPr>
            </w:pPr>
            <w:r>
              <w:rPr>
                <w:rFonts w:eastAsia="Times New Roman"/>
                <w:szCs w:val="21"/>
              </w:rPr>
              <w:t>7</w:t>
            </w:r>
          </w:p>
        </w:tc>
        <w:tc>
          <w:tcPr>
            <w:tcW w:w="1288" w:type="dxa"/>
          </w:tcPr>
          <w:p w14:paraId="2009F26E">
            <w:pPr>
              <w:spacing w:before="307" w:line="220" w:lineRule="auto"/>
              <w:ind w:left="287"/>
              <w:rPr>
                <w:szCs w:val="21"/>
              </w:rPr>
            </w:pPr>
            <w:r>
              <w:rPr>
                <w:spacing w:val="-2"/>
                <w:szCs w:val="21"/>
              </w:rPr>
              <w:t>氧化</w:t>
            </w:r>
            <w:r>
              <w:rPr>
                <w:spacing w:val="-1"/>
                <w:szCs w:val="21"/>
              </w:rPr>
              <w:t>工艺</w:t>
            </w:r>
          </w:p>
        </w:tc>
        <w:tc>
          <w:tcPr>
            <w:tcW w:w="1862" w:type="dxa"/>
          </w:tcPr>
          <w:p w14:paraId="65BAEFAE">
            <w:pPr>
              <w:spacing w:before="307" w:line="217" w:lineRule="auto"/>
              <w:ind w:left="595"/>
              <w:rPr>
                <w:szCs w:val="21"/>
              </w:rPr>
            </w:pPr>
            <w:r>
              <w:rPr>
                <w:spacing w:val="-7"/>
                <w:szCs w:val="21"/>
              </w:rPr>
              <w:t>中</w:t>
            </w:r>
            <w:r>
              <w:rPr>
                <w:spacing w:val="-6"/>
                <w:szCs w:val="21"/>
              </w:rPr>
              <w:t>试车间</w:t>
            </w:r>
          </w:p>
        </w:tc>
        <w:tc>
          <w:tcPr>
            <w:tcW w:w="1300" w:type="dxa"/>
          </w:tcPr>
          <w:p w14:paraId="701712E7">
            <w:pPr>
              <w:spacing w:before="308" w:line="221" w:lineRule="auto"/>
              <w:rPr>
                <w:szCs w:val="21"/>
              </w:rPr>
            </w:pPr>
            <w:r>
              <w:rPr>
                <w:spacing w:val="-8"/>
                <w:szCs w:val="21"/>
              </w:rPr>
              <w:t>国</w:t>
            </w:r>
            <w:r>
              <w:rPr>
                <w:spacing w:val="-6"/>
                <w:szCs w:val="21"/>
              </w:rPr>
              <w:t>瑞制药</w:t>
            </w:r>
          </w:p>
        </w:tc>
        <w:tc>
          <w:tcPr>
            <w:tcW w:w="3625" w:type="dxa"/>
          </w:tcPr>
          <w:p w14:paraId="63671B16">
            <w:pPr>
              <w:spacing w:before="151"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6823C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4E24ABCF">
            <w:pPr>
              <w:spacing w:line="282" w:lineRule="auto"/>
            </w:pPr>
          </w:p>
          <w:p w14:paraId="0D5A9910">
            <w:pPr>
              <w:spacing w:before="61" w:line="187" w:lineRule="auto"/>
              <w:ind w:left="159"/>
              <w:rPr>
                <w:rFonts w:eastAsia="Times New Roman"/>
                <w:szCs w:val="21"/>
              </w:rPr>
            </w:pPr>
            <w:r>
              <w:rPr>
                <w:rFonts w:eastAsia="Times New Roman"/>
                <w:szCs w:val="21"/>
              </w:rPr>
              <w:t>8</w:t>
            </w:r>
          </w:p>
        </w:tc>
        <w:tc>
          <w:tcPr>
            <w:tcW w:w="1288" w:type="dxa"/>
          </w:tcPr>
          <w:p w14:paraId="7099F1F3">
            <w:pPr>
              <w:spacing w:before="308" w:line="220" w:lineRule="auto"/>
              <w:ind w:left="285"/>
              <w:rPr>
                <w:szCs w:val="21"/>
              </w:rPr>
            </w:pPr>
            <w:r>
              <w:rPr>
                <w:spacing w:val="-1"/>
                <w:szCs w:val="21"/>
              </w:rPr>
              <w:t>磺化工</w:t>
            </w:r>
            <w:r>
              <w:rPr>
                <w:szCs w:val="21"/>
              </w:rPr>
              <w:t>艺</w:t>
            </w:r>
          </w:p>
        </w:tc>
        <w:tc>
          <w:tcPr>
            <w:tcW w:w="1862" w:type="dxa"/>
          </w:tcPr>
          <w:p w14:paraId="07C9A22E">
            <w:pPr>
              <w:spacing w:before="308" w:line="217" w:lineRule="auto"/>
              <w:ind w:left="595"/>
              <w:rPr>
                <w:szCs w:val="21"/>
              </w:rPr>
            </w:pPr>
            <w:r>
              <w:rPr>
                <w:spacing w:val="-7"/>
                <w:szCs w:val="21"/>
              </w:rPr>
              <w:t>中</w:t>
            </w:r>
            <w:r>
              <w:rPr>
                <w:spacing w:val="-6"/>
                <w:szCs w:val="21"/>
              </w:rPr>
              <w:t>试车间</w:t>
            </w:r>
          </w:p>
        </w:tc>
        <w:tc>
          <w:tcPr>
            <w:tcW w:w="1300" w:type="dxa"/>
          </w:tcPr>
          <w:p w14:paraId="21C973BE">
            <w:pPr>
              <w:spacing w:before="309" w:line="221" w:lineRule="auto"/>
              <w:rPr>
                <w:szCs w:val="21"/>
              </w:rPr>
            </w:pPr>
            <w:r>
              <w:rPr>
                <w:spacing w:val="-8"/>
                <w:szCs w:val="21"/>
              </w:rPr>
              <w:t>国</w:t>
            </w:r>
            <w:r>
              <w:rPr>
                <w:spacing w:val="-6"/>
                <w:szCs w:val="21"/>
              </w:rPr>
              <w:t>瑞制药</w:t>
            </w:r>
          </w:p>
        </w:tc>
        <w:tc>
          <w:tcPr>
            <w:tcW w:w="3625" w:type="dxa"/>
          </w:tcPr>
          <w:p w14:paraId="38E610F2">
            <w:pPr>
              <w:spacing w:before="152" w:line="290" w:lineRule="auto"/>
              <w:ind w:left="112" w:right="45" w:hanging="1"/>
              <w:rPr>
                <w:szCs w:val="21"/>
              </w:rPr>
            </w:pPr>
            <w:r>
              <w:rPr>
                <w:spacing w:val="-6"/>
                <w:szCs w:val="21"/>
              </w:rPr>
              <w:t>根据安监总厅管三函 〔</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41D39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49F70C31">
            <w:pPr>
              <w:spacing w:line="284" w:lineRule="auto"/>
            </w:pPr>
          </w:p>
          <w:p w14:paraId="2013A825">
            <w:pPr>
              <w:spacing w:before="60" w:line="187" w:lineRule="auto"/>
              <w:ind w:left="154"/>
              <w:rPr>
                <w:rFonts w:eastAsia="Times New Roman"/>
                <w:szCs w:val="21"/>
              </w:rPr>
            </w:pPr>
            <w:r>
              <w:rPr>
                <w:rFonts w:eastAsia="Times New Roman"/>
                <w:szCs w:val="21"/>
              </w:rPr>
              <w:t>9</w:t>
            </w:r>
          </w:p>
        </w:tc>
        <w:tc>
          <w:tcPr>
            <w:tcW w:w="1288" w:type="dxa"/>
          </w:tcPr>
          <w:p w14:paraId="7F44C9F2">
            <w:pPr>
              <w:spacing w:line="243" w:lineRule="auto"/>
            </w:pPr>
          </w:p>
          <w:p w14:paraId="6AE7A457">
            <w:pPr>
              <w:spacing w:before="68" w:line="219" w:lineRule="auto"/>
              <w:ind w:left="286"/>
              <w:rPr>
                <w:szCs w:val="21"/>
              </w:rPr>
            </w:pPr>
            <w:r>
              <w:rPr>
                <w:spacing w:val="-2"/>
                <w:szCs w:val="21"/>
              </w:rPr>
              <w:t>加</w:t>
            </w:r>
            <w:r>
              <w:rPr>
                <w:spacing w:val="-1"/>
                <w:szCs w:val="21"/>
              </w:rPr>
              <w:t>氢工艺</w:t>
            </w:r>
          </w:p>
        </w:tc>
        <w:tc>
          <w:tcPr>
            <w:tcW w:w="1862" w:type="dxa"/>
          </w:tcPr>
          <w:p w14:paraId="2D3BE913">
            <w:pPr>
              <w:spacing w:line="242" w:lineRule="auto"/>
            </w:pPr>
          </w:p>
          <w:p w14:paraId="74E1E2AD">
            <w:pPr>
              <w:spacing w:before="69" w:line="217" w:lineRule="auto"/>
              <w:ind w:left="595"/>
              <w:rPr>
                <w:szCs w:val="21"/>
              </w:rPr>
            </w:pPr>
            <w:r>
              <w:rPr>
                <w:spacing w:val="-7"/>
                <w:szCs w:val="21"/>
              </w:rPr>
              <w:t>中</w:t>
            </w:r>
            <w:r>
              <w:rPr>
                <w:spacing w:val="-6"/>
                <w:szCs w:val="21"/>
              </w:rPr>
              <w:t>试车间</w:t>
            </w:r>
          </w:p>
        </w:tc>
        <w:tc>
          <w:tcPr>
            <w:tcW w:w="1300" w:type="dxa"/>
          </w:tcPr>
          <w:p w14:paraId="72EABA91">
            <w:pPr>
              <w:spacing w:line="243" w:lineRule="auto"/>
            </w:pPr>
          </w:p>
          <w:p w14:paraId="34569FB3">
            <w:pPr>
              <w:spacing w:before="68" w:line="221" w:lineRule="auto"/>
              <w:rPr>
                <w:szCs w:val="21"/>
              </w:rPr>
            </w:pPr>
            <w:r>
              <w:rPr>
                <w:spacing w:val="-8"/>
                <w:szCs w:val="21"/>
              </w:rPr>
              <w:t>国</w:t>
            </w:r>
            <w:r>
              <w:rPr>
                <w:spacing w:val="-6"/>
                <w:szCs w:val="21"/>
              </w:rPr>
              <w:t>瑞制药</w:t>
            </w:r>
          </w:p>
        </w:tc>
        <w:tc>
          <w:tcPr>
            <w:tcW w:w="3625" w:type="dxa"/>
          </w:tcPr>
          <w:p w14:paraId="2A5BF58D">
            <w:pPr>
              <w:spacing w:before="153" w:line="290" w:lineRule="auto"/>
              <w:ind w:left="112" w:right="45" w:hanging="1"/>
              <w:rPr>
                <w:szCs w:val="21"/>
              </w:rPr>
            </w:pPr>
            <w:r>
              <w:rPr>
                <w:spacing w:val="-6"/>
                <w:szCs w:val="21"/>
              </w:rPr>
              <w:t>根据安监总厅管三函 〔</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59B8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635FA13">
            <w:pPr>
              <w:spacing w:before="60" w:line="187" w:lineRule="auto"/>
              <w:ind w:left="154"/>
              <w:rPr>
                <w:szCs w:val="21"/>
              </w:rPr>
            </w:pPr>
            <w:r>
              <w:rPr>
                <w:szCs w:val="21"/>
              </w:rPr>
              <w:t>10</w:t>
            </w:r>
          </w:p>
        </w:tc>
        <w:tc>
          <w:tcPr>
            <w:tcW w:w="1288" w:type="dxa"/>
          </w:tcPr>
          <w:p w14:paraId="5C9199F5">
            <w:pPr>
              <w:spacing w:before="68" w:line="219" w:lineRule="auto"/>
              <w:jc w:val="center"/>
              <w:rPr>
                <w:spacing w:val="-2"/>
                <w:szCs w:val="21"/>
              </w:rPr>
            </w:pPr>
            <w:r>
              <w:rPr>
                <w:spacing w:val="-2"/>
                <w:szCs w:val="21"/>
              </w:rPr>
              <w:t>聚合工艺</w:t>
            </w:r>
          </w:p>
        </w:tc>
        <w:tc>
          <w:tcPr>
            <w:tcW w:w="1862" w:type="dxa"/>
          </w:tcPr>
          <w:p w14:paraId="008D800E">
            <w:pPr>
              <w:spacing w:before="69" w:line="217" w:lineRule="auto"/>
              <w:ind w:left="595"/>
              <w:rPr>
                <w:spacing w:val="-7"/>
                <w:szCs w:val="21"/>
              </w:rPr>
            </w:pPr>
            <w:r>
              <w:rPr>
                <w:spacing w:val="-7"/>
                <w:szCs w:val="21"/>
              </w:rPr>
              <w:t>生产车间</w:t>
            </w:r>
          </w:p>
        </w:tc>
        <w:tc>
          <w:tcPr>
            <w:tcW w:w="1300" w:type="dxa"/>
          </w:tcPr>
          <w:p w14:paraId="32D01D7C">
            <w:pPr>
              <w:spacing w:before="68" w:line="221" w:lineRule="auto"/>
              <w:rPr>
                <w:spacing w:val="-8"/>
                <w:szCs w:val="21"/>
              </w:rPr>
            </w:pPr>
            <w:r>
              <w:t>山河药辅</w:t>
            </w:r>
          </w:p>
        </w:tc>
        <w:tc>
          <w:tcPr>
            <w:tcW w:w="3625" w:type="dxa"/>
          </w:tcPr>
          <w:p w14:paraId="50DD8F51">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35F071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79588A31">
            <w:pPr>
              <w:spacing w:before="60" w:line="187" w:lineRule="auto"/>
              <w:ind w:left="154"/>
              <w:rPr>
                <w:szCs w:val="21"/>
              </w:rPr>
            </w:pPr>
            <w:r>
              <w:rPr>
                <w:szCs w:val="21"/>
              </w:rPr>
              <w:t>11</w:t>
            </w:r>
          </w:p>
        </w:tc>
        <w:tc>
          <w:tcPr>
            <w:tcW w:w="1288" w:type="dxa"/>
          </w:tcPr>
          <w:p w14:paraId="66AAB3EA">
            <w:pPr>
              <w:spacing w:before="68" w:line="219" w:lineRule="auto"/>
              <w:jc w:val="center"/>
              <w:rPr>
                <w:spacing w:val="-2"/>
                <w:szCs w:val="21"/>
              </w:rPr>
            </w:pPr>
            <w:r>
              <w:rPr>
                <w:spacing w:val="-2"/>
                <w:szCs w:val="21"/>
              </w:rPr>
              <w:t>烷基化工艺</w:t>
            </w:r>
          </w:p>
        </w:tc>
        <w:tc>
          <w:tcPr>
            <w:tcW w:w="1862" w:type="dxa"/>
          </w:tcPr>
          <w:p w14:paraId="555015FC">
            <w:pPr>
              <w:spacing w:before="69" w:line="217" w:lineRule="auto"/>
              <w:ind w:left="595"/>
              <w:rPr>
                <w:spacing w:val="-7"/>
                <w:szCs w:val="21"/>
              </w:rPr>
            </w:pPr>
            <w:r>
              <w:rPr>
                <w:spacing w:val="-7"/>
                <w:szCs w:val="21"/>
              </w:rPr>
              <w:t>生产车间</w:t>
            </w:r>
          </w:p>
        </w:tc>
        <w:tc>
          <w:tcPr>
            <w:tcW w:w="1300" w:type="dxa"/>
          </w:tcPr>
          <w:p w14:paraId="52EF8F3E">
            <w:pPr>
              <w:spacing w:before="68" w:line="221" w:lineRule="auto"/>
              <w:rPr>
                <w:spacing w:val="-8"/>
                <w:szCs w:val="21"/>
              </w:rPr>
            </w:pPr>
            <w:r>
              <w:t>山河药辅</w:t>
            </w:r>
          </w:p>
        </w:tc>
        <w:tc>
          <w:tcPr>
            <w:tcW w:w="3625" w:type="dxa"/>
          </w:tcPr>
          <w:p w14:paraId="27401AA6">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2E5F2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096FF4F4">
            <w:pPr>
              <w:spacing w:before="60" w:line="187" w:lineRule="auto"/>
              <w:ind w:left="154"/>
              <w:rPr>
                <w:szCs w:val="21"/>
              </w:rPr>
            </w:pPr>
            <w:r>
              <w:rPr>
                <w:szCs w:val="21"/>
              </w:rPr>
              <w:t>12</w:t>
            </w:r>
          </w:p>
        </w:tc>
        <w:tc>
          <w:tcPr>
            <w:tcW w:w="1288" w:type="dxa"/>
          </w:tcPr>
          <w:p w14:paraId="2C8720E2">
            <w:pPr>
              <w:spacing w:before="68" w:line="219" w:lineRule="auto"/>
              <w:jc w:val="center"/>
              <w:rPr>
                <w:spacing w:val="-2"/>
                <w:szCs w:val="21"/>
              </w:rPr>
            </w:pPr>
            <w:r>
              <w:rPr>
                <w:spacing w:val="-2"/>
                <w:szCs w:val="21"/>
                <w:lang w:val="zh-CN"/>
              </w:rPr>
              <w:t>氯化</w:t>
            </w:r>
            <w:r>
              <w:rPr>
                <w:spacing w:val="-2"/>
                <w:szCs w:val="21"/>
              </w:rPr>
              <w:t>工艺</w:t>
            </w:r>
          </w:p>
        </w:tc>
        <w:tc>
          <w:tcPr>
            <w:tcW w:w="1862" w:type="dxa"/>
          </w:tcPr>
          <w:p w14:paraId="751C6C12">
            <w:pPr>
              <w:spacing w:before="68" w:line="221" w:lineRule="auto"/>
              <w:ind w:firstLine="840" w:firstLineChars="300"/>
            </w:pPr>
            <w:r>
              <w:t>生产车间</w:t>
            </w:r>
          </w:p>
        </w:tc>
        <w:tc>
          <w:tcPr>
            <w:tcW w:w="1300" w:type="dxa"/>
          </w:tcPr>
          <w:p w14:paraId="708CDE78">
            <w:pPr>
              <w:spacing w:before="68" w:line="221" w:lineRule="auto"/>
            </w:pPr>
            <w:r>
              <w:t>森吉制药</w:t>
            </w:r>
          </w:p>
        </w:tc>
        <w:tc>
          <w:tcPr>
            <w:tcW w:w="3625" w:type="dxa"/>
          </w:tcPr>
          <w:p w14:paraId="08924E40">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74592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755A4D88">
            <w:pPr>
              <w:spacing w:before="60" w:line="187" w:lineRule="auto"/>
              <w:ind w:left="154"/>
              <w:rPr>
                <w:szCs w:val="21"/>
              </w:rPr>
            </w:pPr>
            <w:r>
              <w:rPr>
                <w:szCs w:val="21"/>
              </w:rPr>
              <w:t>13</w:t>
            </w:r>
          </w:p>
        </w:tc>
        <w:tc>
          <w:tcPr>
            <w:tcW w:w="1288" w:type="dxa"/>
          </w:tcPr>
          <w:p w14:paraId="5B6B5EDC">
            <w:pPr>
              <w:spacing w:before="68" w:line="219" w:lineRule="auto"/>
              <w:jc w:val="center"/>
              <w:rPr>
                <w:spacing w:val="-2"/>
                <w:szCs w:val="21"/>
              </w:rPr>
            </w:pPr>
            <w:r>
              <w:rPr>
                <w:spacing w:val="-2"/>
                <w:szCs w:val="21"/>
                <w:lang w:val="zh-CN"/>
              </w:rPr>
              <w:t>加氢化</w:t>
            </w:r>
            <w:r>
              <w:rPr>
                <w:spacing w:val="-2"/>
                <w:szCs w:val="21"/>
              </w:rPr>
              <w:t>工艺</w:t>
            </w:r>
          </w:p>
        </w:tc>
        <w:tc>
          <w:tcPr>
            <w:tcW w:w="1862" w:type="dxa"/>
          </w:tcPr>
          <w:p w14:paraId="4D30EFAA">
            <w:pPr>
              <w:spacing w:before="69" w:line="217" w:lineRule="auto"/>
              <w:ind w:left="595"/>
              <w:rPr>
                <w:spacing w:val="-7"/>
                <w:szCs w:val="21"/>
              </w:rPr>
            </w:pPr>
            <w:r>
              <w:rPr>
                <w:spacing w:val="-7"/>
                <w:szCs w:val="21"/>
              </w:rPr>
              <w:t>生产车间</w:t>
            </w:r>
          </w:p>
        </w:tc>
        <w:tc>
          <w:tcPr>
            <w:tcW w:w="1300" w:type="dxa"/>
          </w:tcPr>
          <w:p w14:paraId="5C0ACE47">
            <w:pPr>
              <w:spacing w:before="68" w:line="221" w:lineRule="auto"/>
              <w:rPr>
                <w:spacing w:val="-8"/>
                <w:szCs w:val="21"/>
              </w:rPr>
            </w:pPr>
            <w:r>
              <w:t>森吉制药</w:t>
            </w:r>
          </w:p>
        </w:tc>
        <w:tc>
          <w:tcPr>
            <w:tcW w:w="3625" w:type="dxa"/>
          </w:tcPr>
          <w:p w14:paraId="5794D245">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58D50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3963C528">
            <w:pPr>
              <w:spacing w:before="60" w:line="187" w:lineRule="auto"/>
              <w:ind w:left="154"/>
              <w:rPr>
                <w:szCs w:val="21"/>
              </w:rPr>
            </w:pPr>
            <w:r>
              <w:rPr>
                <w:szCs w:val="21"/>
              </w:rPr>
              <w:t>14</w:t>
            </w:r>
          </w:p>
        </w:tc>
        <w:tc>
          <w:tcPr>
            <w:tcW w:w="1288" w:type="dxa"/>
          </w:tcPr>
          <w:p w14:paraId="095977F0">
            <w:pPr>
              <w:spacing w:before="68" w:line="219" w:lineRule="auto"/>
              <w:jc w:val="center"/>
              <w:rPr>
                <w:spacing w:val="-2"/>
                <w:szCs w:val="21"/>
              </w:rPr>
            </w:pPr>
            <w:r>
              <w:rPr>
                <w:spacing w:val="-2"/>
                <w:szCs w:val="21"/>
                <w:lang w:val="zh-CN"/>
              </w:rPr>
              <w:t>烷基化</w:t>
            </w:r>
            <w:r>
              <w:rPr>
                <w:spacing w:val="-2"/>
                <w:szCs w:val="21"/>
              </w:rPr>
              <w:t>工艺</w:t>
            </w:r>
          </w:p>
        </w:tc>
        <w:tc>
          <w:tcPr>
            <w:tcW w:w="1862" w:type="dxa"/>
          </w:tcPr>
          <w:p w14:paraId="47F4AF4B">
            <w:pPr>
              <w:spacing w:before="69" w:line="217" w:lineRule="auto"/>
              <w:ind w:left="595"/>
              <w:rPr>
                <w:spacing w:val="-7"/>
                <w:szCs w:val="21"/>
              </w:rPr>
            </w:pPr>
            <w:r>
              <w:rPr>
                <w:spacing w:val="-7"/>
                <w:szCs w:val="21"/>
              </w:rPr>
              <w:t>生产车间</w:t>
            </w:r>
          </w:p>
        </w:tc>
        <w:tc>
          <w:tcPr>
            <w:tcW w:w="1300" w:type="dxa"/>
          </w:tcPr>
          <w:p w14:paraId="75EAD8D9">
            <w:pPr>
              <w:spacing w:before="68" w:line="221" w:lineRule="auto"/>
              <w:rPr>
                <w:spacing w:val="-8"/>
                <w:szCs w:val="21"/>
              </w:rPr>
            </w:pPr>
            <w:r>
              <w:t>森吉制药</w:t>
            </w:r>
          </w:p>
        </w:tc>
        <w:tc>
          <w:tcPr>
            <w:tcW w:w="3625" w:type="dxa"/>
          </w:tcPr>
          <w:p w14:paraId="7575E7AF">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bl>
    <w:p w14:paraId="2781A5EE">
      <w:pPr>
        <w:spacing w:before="325" w:line="221" w:lineRule="auto"/>
        <w:outlineLvl w:val="2"/>
        <w:rPr>
          <w:rFonts w:eastAsiaTheme="minorEastAsia"/>
          <w:b/>
          <w:bCs/>
          <w:kern w:val="0"/>
          <w:sz w:val="24"/>
          <w:szCs w:val="24"/>
        </w:rPr>
      </w:pPr>
      <w:r>
        <w:rPr>
          <w:rFonts w:eastAsiaTheme="minorEastAsia"/>
          <w:b/>
          <w:bCs/>
          <w:kern w:val="0"/>
          <w:sz w:val="24"/>
          <w:szCs w:val="24"/>
        </w:rPr>
        <w:t>7.1.3 重大危险源辨识</w:t>
      </w:r>
    </w:p>
    <w:p w14:paraId="1E8DFAC5">
      <w:pPr>
        <w:widowControl/>
        <w:spacing w:line="360" w:lineRule="auto"/>
        <w:ind w:firstLine="480" w:firstLineChars="200"/>
        <w:jc w:val="left"/>
        <w:rPr>
          <w:sz w:val="24"/>
        </w:rPr>
      </w:pPr>
      <w:r>
        <w:rPr>
          <w:sz w:val="24"/>
        </w:rPr>
        <w:t>根据《安徽德邦化工有限公司安全生产许可证换证评价》《安徽德邦化工有限公司60万吨/年联碱技改工程安全验收评价报告》《国药集团国瑞药业有限公司国药集团医药产业基地项目安全验收评价报告》《国药集团国瑞药业有限公司”退城进园”项目(二期)安全条件评价》《安徽水卫士环保科技有限公司WL-水处理系列药剂项目安全设计诊断报告》《安徽东盛制药有限公司400吨/年氯硝柳胺系列产品及固体制片项目安全设计诊断报告》以及现场调查，块二正在建设的三家化工为企业淮南锦德生物科技有限公司、安徽森吉制药有限公司和安徽山河药用辅料股份有限公司，根据《危险化学品重大危险源辨识》(GB18218-2018)初步辨识，化工园区危险化学品重大危险源辨识结果见表</w:t>
      </w:r>
      <w:r>
        <w:rPr>
          <w:spacing w:val="-1"/>
          <w:sz w:val="24"/>
          <w:szCs w:val="24"/>
        </w:rPr>
        <w:t>7.1-10</w:t>
      </w:r>
      <w:r>
        <w:rPr>
          <w:sz w:val="24"/>
        </w:rPr>
        <w:t>。</w:t>
      </w:r>
    </w:p>
    <w:p w14:paraId="612124CB">
      <w:pPr>
        <w:spacing w:before="180" w:line="220" w:lineRule="auto"/>
        <w:ind w:left="1743"/>
        <w:rPr>
          <w:sz w:val="24"/>
          <w:szCs w:val="24"/>
        </w:rPr>
      </w:pPr>
      <w:r>
        <w:rPr>
          <w:spacing w:val="-1"/>
          <w:sz w:val="24"/>
          <w:szCs w:val="24"/>
        </w:rPr>
        <w:t>表7.1-10、化工园区</w:t>
      </w:r>
      <w:r>
        <w:rPr>
          <w:sz w:val="24"/>
          <w:szCs w:val="24"/>
        </w:rPr>
        <w:t>危险化学品重大危险源辨识结果汇总表</w:t>
      </w:r>
    </w:p>
    <w:p w14:paraId="3347D494">
      <w:pPr>
        <w:spacing w:line="146" w:lineRule="exact"/>
      </w:pPr>
    </w:p>
    <w:tbl>
      <w:tblPr>
        <w:tblStyle w:val="58"/>
        <w:tblW w:w="8750" w:type="dxa"/>
        <w:tblInd w:w="1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2"/>
        <w:gridCol w:w="1049"/>
        <w:gridCol w:w="3122"/>
        <w:gridCol w:w="1410"/>
        <w:gridCol w:w="2507"/>
      </w:tblGrid>
      <w:tr w14:paraId="6DC44B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662" w:type="dxa"/>
          </w:tcPr>
          <w:p w14:paraId="61D06FF3">
            <w:pPr>
              <w:spacing w:before="171" w:line="222" w:lineRule="auto"/>
              <w:ind w:left="127"/>
              <w:rPr>
                <w:szCs w:val="21"/>
              </w:rPr>
            </w:pPr>
            <w:r>
              <w:rPr>
                <w:spacing w:val="-2"/>
                <w:szCs w:val="21"/>
              </w:rPr>
              <w:t>序</w:t>
            </w:r>
            <w:r>
              <w:rPr>
                <w:spacing w:val="-1"/>
                <w:szCs w:val="21"/>
              </w:rPr>
              <w:t>号</w:t>
            </w:r>
          </w:p>
        </w:tc>
        <w:tc>
          <w:tcPr>
            <w:tcW w:w="1049" w:type="dxa"/>
          </w:tcPr>
          <w:p w14:paraId="2F0DE233">
            <w:pPr>
              <w:spacing w:before="170" w:line="231" w:lineRule="auto"/>
              <w:ind w:left="367"/>
              <w:rPr>
                <w:szCs w:val="21"/>
              </w:rPr>
            </w:pPr>
            <w:r>
              <w:rPr>
                <w:spacing w:val="-3"/>
                <w:szCs w:val="21"/>
              </w:rPr>
              <w:t>企</w:t>
            </w:r>
            <w:r>
              <w:rPr>
                <w:spacing w:val="-2"/>
                <w:szCs w:val="21"/>
              </w:rPr>
              <w:t>业</w:t>
            </w:r>
          </w:p>
        </w:tc>
        <w:tc>
          <w:tcPr>
            <w:tcW w:w="3122" w:type="dxa"/>
          </w:tcPr>
          <w:p w14:paraId="14A7F292">
            <w:pPr>
              <w:spacing w:before="171" w:line="221" w:lineRule="auto"/>
              <w:ind w:left="1261"/>
              <w:rPr>
                <w:szCs w:val="21"/>
              </w:rPr>
            </w:pPr>
            <w:r>
              <w:rPr>
                <w:spacing w:val="-1"/>
                <w:szCs w:val="21"/>
              </w:rPr>
              <w:t>重</w:t>
            </w:r>
            <w:r>
              <w:rPr>
                <w:szCs w:val="21"/>
              </w:rPr>
              <w:t>大危险源单元</w:t>
            </w:r>
          </w:p>
        </w:tc>
        <w:tc>
          <w:tcPr>
            <w:tcW w:w="1410" w:type="dxa"/>
          </w:tcPr>
          <w:p w14:paraId="238E4427">
            <w:pPr>
              <w:rPr>
                <w:szCs w:val="21"/>
              </w:rPr>
            </w:pPr>
            <w:r>
              <w:rPr>
                <w:spacing w:val="-1"/>
                <w:szCs w:val="21"/>
              </w:rPr>
              <w:t>重大危险</w:t>
            </w:r>
            <w:r>
              <w:rPr>
                <w:szCs w:val="21"/>
              </w:rPr>
              <w:t>源</w:t>
            </w:r>
            <w:r>
              <w:rPr>
                <w:spacing w:val="-3"/>
                <w:szCs w:val="21"/>
              </w:rPr>
              <w:t>级</w:t>
            </w:r>
            <w:r>
              <w:rPr>
                <w:spacing w:val="-2"/>
                <w:szCs w:val="21"/>
              </w:rPr>
              <w:t>别</w:t>
            </w:r>
          </w:p>
        </w:tc>
        <w:tc>
          <w:tcPr>
            <w:tcW w:w="2507" w:type="dxa"/>
          </w:tcPr>
          <w:p w14:paraId="51C89B4E">
            <w:pPr>
              <w:spacing w:before="171" w:line="221" w:lineRule="auto"/>
              <w:ind w:left="329"/>
              <w:rPr>
                <w:szCs w:val="21"/>
              </w:rPr>
            </w:pPr>
            <w:r>
              <w:rPr>
                <w:szCs w:val="21"/>
              </w:rPr>
              <w:t>配备的自控系统</w:t>
            </w:r>
          </w:p>
        </w:tc>
      </w:tr>
      <w:tr w14:paraId="0B661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9" w:hRule="atLeast"/>
        </w:trPr>
        <w:tc>
          <w:tcPr>
            <w:tcW w:w="662" w:type="dxa"/>
          </w:tcPr>
          <w:p w14:paraId="0FD566C6">
            <w:pPr>
              <w:spacing w:line="396" w:lineRule="auto"/>
            </w:pPr>
          </w:p>
          <w:p w14:paraId="633E62DD">
            <w:pPr>
              <w:spacing w:before="60" w:line="187" w:lineRule="auto"/>
              <w:ind w:left="302"/>
              <w:rPr>
                <w:rFonts w:eastAsia="Times New Roman"/>
                <w:szCs w:val="21"/>
              </w:rPr>
            </w:pPr>
            <w:r>
              <w:rPr>
                <w:rFonts w:eastAsia="Times New Roman"/>
                <w:szCs w:val="21"/>
              </w:rPr>
              <w:t>1</w:t>
            </w:r>
          </w:p>
        </w:tc>
        <w:tc>
          <w:tcPr>
            <w:tcW w:w="1049" w:type="dxa"/>
          </w:tcPr>
          <w:p w14:paraId="440A9589">
            <w:pPr>
              <w:spacing w:line="395" w:lineRule="auto"/>
            </w:pPr>
          </w:p>
          <w:p w14:paraId="0935CF4C">
            <w:pPr>
              <w:spacing w:before="68" w:line="221" w:lineRule="auto"/>
              <w:rPr>
                <w:szCs w:val="21"/>
              </w:rPr>
            </w:pPr>
            <w:r>
              <w:rPr>
                <w:spacing w:val="-2"/>
                <w:szCs w:val="21"/>
              </w:rPr>
              <w:t>德邦</w:t>
            </w:r>
            <w:r>
              <w:rPr>
                <w:spacing w:val="-1"/>
                <w:szCs w:val="21"/>
              </w:rPr>
              <w:t>化工</w:t>
            </w:r>
          </w:p>
        </w:tc>
        <w:tc>
          <w:tcPr>
            <w:tcW w:w="3122" w:type="dxa"/>
          </w:tcPr>
          <w:p w14:paraId="781A093A">
            <w:pPr>
              <w:rPr>
                <w:szCs w:val="21"/>
              </w:rPr>
            </w:pPr>
            <w:r>
              <w:rPr>
                <w:spacing w:val="-2"/>
                <w:szCs w:val="21"/>
              </w:rPr>
              <w:t>液氨罐区</w:t>
            </w:r>
          </w:p>
          <w:p w14:paraId="76E68C94">
            <w:pPr>
              <w:rPr>
                <w:szCs w:val="21"/>
              </w:rPr>
            </w:pPr>
            <w:r>
              <w:rPr>
                <w:rFonts w:eastAsia="Times New Roman"/>
                <w:spacing w:val="-2"/>
                <w:position w:val="1"/>
                <w:szCs w:val="21"/>
              </w:rPr>
              <w:t>1</w:t>
            </w:r>
            <w:r>
              <w:rPr>
                <w:spacing w:val="-2"/>
                <w:position w:val="1"/>
                <w:szCs w:val="21"/>
              </w:rPr>
              <w:t>座</w:t>
            </w:r>
            <w:r>
              <w:rPr>
                <w:rFonts w:eastAsia="Times New Roman"/>
                <w:spacing w:val="-1"/>
                <w:position w:val="1"/>
                <w:szCs w:val="21"/>
              </w:rPr>
              <w:t>V</w:t>
            </w:r>
            <w:r>
              <w:rPr>
                <w:rFonts w:eastAsia="Times New Roman"/>
                <w:spacing w:val="-2"/>
                <w:position w:val="1"/>
                <w:szCs w:val="21"/>
              </w:rPr>
              <w:t>=50</w:t>
            </w:r>
            <w:r>
              <w:rPr>
                <w:rFonts w:eastAsia="Times New Roman"/>
                <w:spacing w:val="-1"/>
                <w:position w:val="1"/>
                <w:szCs w:val="21"/>
              </w:rPr>
              <w:t>m</w:t>
            </w:r>
            <w:r>
              <w:rPr>
                <w:rFonts w:eastAsia="Times New Roman"/>
                <w:spacing w:val="-1"/>
                <w:position w:val="10"/>
                <w:sz w:val="13"/>
                <w:szCs w:val="13"/>
              </w:rPr>
              <w:t>3</w:t>
            </w:r>
            <w:r>
              <w:rPr>
                <w:spacing w:val="-1"/>
                <w:position w:val="1"/>
                <w:szCs w:val="21"/>
              </w:rPr>
              <w:t>内全压式液氨储罐</w:t>
            </w:r>
          </w:p>
          <w:p w14:paraId="78F6CD51">
            <w:pPr>
              <w:rPr>
                <w:rFonts w:eastAsia="Times New Roman"/>
                <w:spacing w:val="-2"/>
                <w:position w:val="1"/>
                <w:szCs w:val="21"/>
              </w:rPr>
            </w:pPr>
            <w:r>
              <w:rPr>
                <w:rFonts w:eastAsia="Times New Roman"/>
                <w:spacing w:val="-2"/>
                <w:position w:val="1"/>
                <w:szCs w:val="21"/>
              </w:rPr>
              <w:t>1</w:t>
            </w:r>
            <w:r>
              <w:rPr>
                <w:spacing w:val="-2"/>
                <w:position w:val="1"/>
                <w:szCs w:val="21"/>
              </w:rPr>
              <w:t>座</w:t>
            </w:r>
            <w:r>
              <w:rPr>
                <w:rFonts w:eastAsia="Times New Roman"/>
                <w:spacing w:val="-1"/>
                <w:position w:val="1"/>
                <w:szCs w:val="21"/>
              </w:rPr>
              <w:t>V</w:t>
            </w:r>
            <w:r>
              <w:rPr>
                <w:rFonts w:eastAsia="Times New Roman"/>
                <w:spacing w:val="-2"/>
                <w:position w:val="1"/>
                <w:szCs w:val="21"/>
              </w:rPr>
              <w:t>=48</w:t>
            </w:r>
            <w:r>
              <w:rPr>
                <w:rFonts w:eastAsia="Times New Roman"/>
                <w:spacing w:val="-1"/>
                <w:position w:val="1"/>
                <w:szCs w:val="21"/>
              </w:rPr>
              <w:t>m</w:t>
            </w:r>
            <w:r>
              <w:rPr>
                <w:rFonts w:eastAsia="Times New Roman"/>
                <w:spacing w:val="-1"/>
                <w:position w:val="10"/>
                <w:sz w:val="13"/>
                <w:szCs w:val="13"/>
              </w:rPr>
              <w:t>3</w:t>
            </w:r>
            <w:r>
              <w:rPr>
                <w:spacing w:val="-1"/>
                <w:position w:val="1"/>
                <w:szCs w:val="21"/>
              </w:rPr>
              <w:t>内全压式液氨储罐</w:t>
            </w:r>
          </w:p>
        </w:tc>
        <w:tc>
          <w:tcPr>
            <w:tcW w:w="1410" w:type="dxa"/>
          </w:tcPr>
          <w:p w14:paraId="46F049F0">
            <w:pPr>
              <w:spacing w:before="68" w:line="221" w:lineRule="auto"/>
            </w:pPr>
            <w:r>
              <w:rPr>
                <w:rFonts w:hint="eastAsia"/>
              </w:rPr>
              <w:t>三</w:t>
            </w:r>
            <w:r>
              <w:t>级</w:t>
            </w:r>
          </w:p>
        </w:tc>
        <w:tc>
          <w:tcPr>
            <w:tcW w:w="2507" w:type="dxa"/>
          </w:tcPr>
          <w:p w14:paraId="6C8DAEC4">
            <w:pPr>
              <w:rPr>
                <w:szCs w:val="21"/>
              </w:rPr>
            </w:pPr>
            <w:r>
              <w:rPr>
                <w:spacing w:val="-1"/>
                <w:szCs w:val="21"/>
              </w:rPr>
              <w:t>设置</w:t>
            </w:r>
            <w:r>
              <w:rPr>
                <w:rFonts w:eastAsia="Times New Roman"/>
                <w:szCs w:val="21"/>
              </w:rPr>
              <w:t>DCS</w:t>
            </w:r>
            <w:r>
              <w:rPr>
                <w:spacing w:val="-1"/>
                <w:szCs w:val="21"/>
              </w:rPr>
              <w:t>自动化控</w:t>
            </w:r>
          </w:p>
          <w:p w14:paraId="73453348">
            <w:pPr>
              <w:rPr>
                <w:rFonts w:eastAsia="Times New Roman"/>
                <w:szCs w:val="21"/>
              </w:rPr>
            </w:pPr>
            <w:r>
              <w:rPr>
                <w:spacing w:val="-10"/>
                <w:szCs w:val="21"/>
              </w:rPr>
              <w:t>制</w:t>
            </w:r>
            <w:r>
              <w:rPr>
                <w:spacing w:val="-5"/>
                <w:szCs w:val="21"/>
              </w:rPr>
              <w:t>系统，未设置</w:t>
            </w:r>
            <w:r>
              <w:rPr>
                <w:rFonts w:eastAsia="Times New Roman"/>
                <w:spacing w:val="-5"/>
                <w:szCs w:val="21"/>
              </w:rPr>
              <w:t>SIS</w:t>
            </w:r>
          </w:p>
          <w:p w14:paraId="78B31948">
            <w:pPr>
              <w:rPr>
                <w:spacing w:val="-2"/>
                <w:szCs w:val="21"/>
              </w:rPr>
            </w:pPr>
            <w:r>
              <w:rPr>
                <w:spacing w:val="-2"/>
                <w:szCs w:val="21"/>
              </w:rPr>
              <w:t>安全仪</w:t>
            </w:r>
            <w:r>
              <w:rPr>
                <w:spacing w:val="-1"/>
                <w:szCs w:val="21"/>
              </w:rPr>
              <w:t>表系统</w:t>
            </w:r>
          </w:p>
        </w:tc>
      </w:tr>
      <w:tr w14:paraId="6725C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662" w:type="dxa"/>
            <w:vMerge w:val="restart"/>
          </w:tcPr>
          <w:p w14:paraId="4C8D996E">
            <w:pPr>
              <w:spacing w:before="61" w:line="187" w:lineRule="auto"/>
              <w:ind w:left="282"/>
              <w:rPr>
                <w:rFonts w:eastAsia="宋体"/>
                <w:szCs w:val="21"/>
              </w:rPr>
            </w:pPr>
            <w:r>
              <w:rPr>
                <w:rFonts w:hint="eastAsia"/>
                <w:szCs w:val="21"/>
              </w:rPr>
              <w:t>2</w:t>
            </w:r>
          </w:p>
        </w:tc>
        <w:tc>
          <w:tcPr>
            <w:tcW w:w="1049" w:type="dxa"/>
            <w:vMerge w:val="restart"/>
          </w:tcPr>
          <w:p w14:paraId="7FA3BD27">
            <w:pPr>
              <w:spacing w:before="68" w:line="221" w:lineRule="auto"/>
              <w:rPr>
                <w:spacing w:val="-2"/>
                <w:szCs w:val="21"/>
              </w:rPr>
            </w:pPr>
            <w:r>
              <w:t>山河药辅</w:t>
            </w:r>
          </w:p>
        </w:tc>
        <w:tc>
          <w:tcPr>
            <w:tcW w:w="3122" w:type="dxa"/>
          </w:tcPr>
          <w:p w14:paraId="1C299F8C">
            <w:pPr>
              <w:spacing w:before="68" w:line="221" w:lineRule="auto"/>
            </w:pPr>
            <w:r>
              <w:t>氯甲烷罐区</w:t>
            </w:r>
          </w:p>
        </w:tc>
        <w:tc>
          <w:tcPr>
            <w:tcW w:w="1410" w:type="dxa"/>
          </w:tcPr>
          <w:p w14:paraId="347ADBF8">
            <w:pPr>
              <w:spacing w:before="68" w:line="221" w:lineRule="auto"/>
            </w:pPr>
            <w:r>
              <w:t>三级</w:t>
            </w:r>
          </w:p>
        </w:tc>
        <w:tc>
          <w:tcPr>
            <w:tcW w:w="2507" w:type="dxa"/>
          </w:tcPr>
          <w:p w14:paraId="107FB4C6">
            <w:pPr>
              <w:spacing w:before="68" w:line="221" w:lineRule="auto"/>
            </w:pPr>
            <w:r>
              <w:t>设置</w:t>
            </w:r>
            <w:r>
              <w:rPr>
                <w:rFonts w:hint="eastAsia"/>
              </w:rPr>
              <w:t>DSC自动</w:t>
            </w:r>
            <w:r>
              <w:t>化控</w:t>
            </w:r>
          </w:p>
          <w:p w14:paraId="23E49A88">
            <w:pPr>
              <w:spacing w:before="68" w:line="221" w:lineRule="auto"/>
            </w:pPr>
            <w:r>
              <w:t>制系统SIS安全仪表系统</w:t>
            </w:r>
          </w:p>
        </w:tc>
      </w:tr>
      <w:tr w14:paraId="41395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7" w:hRule="atLeast"/>
        </w:trPr>
        <w:tc>
          <w:tcPr>
            <w:tcW w:w="662" w:type="dxa"/>
            <w:vMerge w:val="continue"/>
          </w:tcPr>
          <w:p w14:paraId="19285014">
            <w:pPr>
              <w:spacing w:before="61" w:line="187" w:lineRule="auto"/>
              <w:ind w:left="282"/>
              <w:rPr>
                <w:szCs w:val="21"/>
              </w:rPr>
            </w:pPr>
          </w:p>
        </w:tc>
        <w:tc>
          <w:tcPr>
            <w:tcW w:w="1049" w:type="dxa"/>
            <w:vMerge w:val="continue"/>
          </w:tcPr>
          <w:p w14:paraId="52C4B2D4">
            <w:pPr>
              <w:spacing w:before="68" w:line="221" w:lineRule="auto"/>
              <w:rPr>
                <w:spacing w:val="-2"/>
                <w:szCs w:val="21"/>
              </w:rPr>
            </w:pPr>
          </w:p>
        </w:tc>
        <w:tc>
          <w:tcPr>
            <w:tcW w:w="3122" w:type="dxa"/>
          </w:tcPr>
          <w:p w14:paraId="6D9CEACD">
            <w:pPr>
              <w:spacing w:before="68" w:line="221" w:lineRule="auto"/>
            </w:pPr>
            <w:r>
              <w:t>环氧丙烷罐区</w:t>
            </w:r>
          </w:p>
        </w:tc>
        <w:tc>
          <w:tcPr>
            <w:tcW w:w="1410" w:type="dxa"/>
          </w:tcPr>
          <w:p w14:paraId="4B95A85F">
            <w:pPr>
              <w:spacing w:before="68" w:line="221" w:lineRule="auto"/>
            </w:pPr>
            <w:r>
              <w:t>三级</w:t>
            </w:r>
          </w:p>
        </w:tc>
        <w:tc>
          <w:tcPr>
            <w:tcW w:w="2507" w:type="dxa"/>
          </w:tcPr>
          <w:p w14:paraId="3F12D669">
            <w:pPr>
              <w:spacing w:before="68" w:line="221" w:lineRule="auto"/>
            </w:pPr>
            <w:r>
              <w:t>设置</w:t>
            </w:r>
            <w:r>
              <w:rPr>
                <w:rFonts w:hint="eastAsia"/>
              </w:rPr>
              <w:t>DSC自动</w:t>
            </w:r>
            <w:r>
              <w:t>化控</w:t>
            </w:r>
          </w:p>
          <w:p w14:paraId="2E4E5D2D">
            <w:pPr>
              <w:spacing w:before="68" w:line="221" w:lineRule="auto"/>
            </w:pPr>
            <w:r>
              <w:t>制系统SIS安全仪表系统</w:t>
            </w:r>
          </w:p>
        </w:tc>
      </w:tr>
      <w:tr w14:paraId="6213C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7" w:hRule="atLeast"/>
        </w:trPr>
        <w:tc>
          <w:tcPr>
            <w:tcW w:w="662" w:type="dxa"/>
            <w:vMerge w:val="continue"/>
          </w:tcPr>
          <w:p w14:paraId="7B2FFA67">
            <w:pPr>
              <w:spacing w:before="61" w:line="187" w:lineRule="auto"/>
              <w:ind w:left="282"/>
              <w:rPr>
                <w:szCs w:val="21"/>
              </w:rPr>
            </w:pPr>
          </w:p>
        </w:tc>
        <w:tc>
          <w:tcPr>
            <w:tcW w:w="1049" w:type="dxa"/>
            <w:vMerge w:val="continue"/>
          </w:tcPr>
          <w:p w14:paraId="4E49D84E">
            <w:pPr>
              <w:spacing w:before="68" w:line="221" w:lineRule="auto"/>
              <w:rPr>
                <w:spacing w:val="-2"/>
                <w:szCs w:val="21"/>
              </w:rPr>
            </w:pPr>
          </w:p>
        </w:tc>
        <w:tc>
          <w:tcPr>
            <w:tcW w:w="3122" w:type="dxa"/>
          </w:tcPr>
          <w:p w14:paraId="42AAD330">
            <w:pPr>
              <w:spacing w:before="68" w:line="221" w:lineRule="auto"/>
            </w:pPr>
            <w:r>
              <w:t>羟丙甲纤维素主反应车间</w:t>
            </w:r>
          </w:p>
        </w:tc>
        <w:tc>
          <w:tcPr>
            <w:tcW w:w="1410" w:type="dxa"/>
          </w:tcPr>
          <w:p w14:paraId="796395F0">
            <w:pPr>
              <w:spacing w:before="68" w:line="221" w:lineRule="auto"/>
            </w:pPr>
            <w:r>
              <w:t>四级</w:t>
            </w:r>
          </w:p>
        </w:tc>
        <w:tc>
          <w:tcPr>
            <w:tcW w:w="2507" w:type="dxa"/>
          </w:tcPr>
          <w:p w14:paraId="5E60A0AB">
            <w:pPr>
              <w:spacing w:before="68" w:line="221" w:lineRule="auto"/>
            </w:pPr>
            <w:r>
              <w:t>设置</w:t>
            </w:r>
            <w:r>
              <w:rPr>
                <w:rFonts w:hint="eastAsia"/>
              </w:rPr>
              <w:t>DSC自动</w:t>
            </w:r>
            <w:r>
              <w:t>化控</w:t>
            </w:r>
          </w:p>
          <w:p w14:paraId="73FB5753">
            <w:pPr>
              <w:spacing w:before="68" w:line="221" w:lineRule="auto"/>
            </w:pPr>
            <w:r>
              <w:t>制系统SIS安全仪表系统</w:t>
            </w:r>
          </w:p>
        </w:tc>
      </w:tr>
    </w:tbl>
    <w:p w14:paraId="621E2AC5">
      <w:pPr>
        <w:spacing w:before="325" w:line="221" w:lineRule="auto"/>
        <w:outlineLvl w:val="2"/>
      </w:pPr>
      <w:r>
        <w:rPr>
          <w:rFonts w:eastAsiaTheme="minorEastAsia"/>
          <w:b/>
          <w:bCs/>
          <w:kern w:val="0"/>
          <w:sz w:val="24"/>
          <w:szCs w:val="24"/>
        </w:rPr>
        <w:t>7.1.4 化工园区罐区辨识</w:t>
      </w:r>
    </w:p>
    <w:p w14:paraId="7E9FDE56">
      <w:pPr>
        <w:widowControl/>
        <w:spacing w:line="360" w:lineRule="auto"/>
        <w:ind w:firstLine="480" w:firstLineChars="200"/>
        <w:jc w:val="left"/>
        <w:rPr>
          <w:sz w:val="24"/>
        </w:rPr>
      </w:pPr>
      <w:r>
        <w:rPr>
          <w:sz w:val="24"/>
        </w:rPr>
        <w:t>危险化学品罐区为危险化学品集中储存的地点，危化品储存量较大，甚至构成重大危险源，若发生事故，将造成严重后果。如罐区内储存的危化品具有易燃、易爆性，在储存、装卸的过程中发生泄漏，遇到明火将会导致火灾、爆炸事故，产生重大后果，存储有毒气体的罐区发生泄漏，将对下风向的人员造成群体中毒伤亡，存储强氧化性物质的罐区发生泄漏遇到可燃物，则可能发生火灾或爆炸事故。为了掌握化工园区主要风险点位置，明确重点防控区域和重点防控目标，评价组对化工园区内存在的罐区进行了调查和统计，具体见下表。因恒诚制药部分已停产，涉及的甲苯、甲醇罐区已全部清料，不再进行辨识和分析。</w:t>
      </w:r>
    </w:p>
    <w:p w14:paraId="7C9C5399">
      <w:pPr>
        <w:spacing w:before="61" w:line="214" w:lineRule="auto"/>
        <w:ind w:left="2984"/>
        <w:rPr>
          <w:sz w:val="24"/>
          <w:szCs w:val="24"/>
        </w:rPr>
      </w:pPr>
      <w:r>
        <w:rPr>
          <w:spacing w:val="-1"/>
          <w:sz w:val="24"/>
          <w:szCs w:val="24"/>
        </w:rPr>
        <w:t>表7.1-11、化工园区</w:t>
      </w:r>
      <w:r>
        <w:rPr>
          <w:sz w:val="24"/>
          <w:szCs w:val="24"/>
        </w:rPr>
        <w:t>罐区调查一览表</w:t>
      </w:r>
    </w:p>
    <w:tbl>
      <w:tblPr>
        <w:tblStyle w:val="58"/>
        <w:tblW w:w="86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0"/>
        <w:gridCol w:w="1264"/>
        <w:gridCol w:w="2271"/>
        <w:gridCol w:w="1269"/>
        <w:gridCol w:w="1421"/>
        <w:gridCol w:w="1899"/>
      </w:tblGrid>
      <w:tr w14:paraId="004B9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tcPr>
          <w:p w14:paraId="1F0C4FA0">
            <w:pPr>
              <w:spacing w:before="154" w:line="222" w:lineRule="auto"/>
              <w:ind w:left="134"/>
              <w:rPr>
                <w:szCs w:val="21"/>
              </w:rPr>
            </w:pPr>
            <w:r>
              <w:rPr>
                <w:spacing w:val="-2"/>
                <w:szCs w:val="21"/>
              </w:rPr>
              <w:t>序</w:t>
            </w:r>
            <w:r>
              <w:rPr>
                <w:spacing w:val="-1"/>
                <w:szCs w:val="21"/>
              </w:rPr>
              <w:t>号</w:t>
            </w:r>
          </w:p>
        </w:tc>
        <w:tc>
          <w:tcPr>
            <w:tcW w:w="1264" w:type="dxa"/>
          </w:tcPr>
          <w:p w14:paraId="425FB23A">
            <w:pPr>
              <w:spacing w:before="153" w:line="221" w:lineRule="auto"/>
              <w:ind w:left="533"/>
              <w:rPr>
                <w:szCs w:val="21"/>
              </w:rPr>
            </w:pPr>
            <w:r>
              <w:rPr>
                <w:spacing w:val="-1"/>
                <w:szCs w:val="21"/>
              </w:rPr>
              <w:t>罐区名称</w:t>
            </w:r>
          </w:p>
        </w:tc>
        <w:tc>
          <w:tcPr>
            <w:tcW w:w="2271" w:type="dxa"/>
          </w:tcPr>
          <w:p w14:paraId="1B5BE2FF">
            <w:pPr>
              <w:spacing w:before="154" w:line="221" w:lineRule="auto"/>
              <w:ind w:left="721"/>
              <w:rPr>
                <w:szCs w:val="21"/>
              </w:rPr>
            </w:pPr>
            <w:r>
              <w:rPr>
                <w:spacing w:val="-1"/>
                <w:szCs w:val="21"/>
              </w:rPr>
              <w:t>主要装置</w:t>
            </w:r>
          </w:p>
        </w:tc>
        <w:tc>
          <w:tcPr>
            <w:tcW w:w="1269" w:type="dxa"/>
          </w:tcPr>
          <w:p w14:paraId="72B395B3">
            <w:pPr>
              <w:spacing w:before="153" w:line="221" w:lineRule="auto"/>
              <w:ind w:left="430"/>
              <w:rPr>
                <w:szCs w:val="21"/>
              </w:rPr>
            </w:pPr>
            <w:r>
              <w:rPr>
                <w:spacing w:val="-2"/>
                <w:szCs w:val="21"/>
              </w:rPr>
              <w:t>规格</w:t>
            </w:r>
          </w:p>
        </w:tc>
        <w:tc>
          <w:tcPr>
            <w:tcW w:w="1421" w:type="dxa"/>
          </w:tcPr>
          <w:p w14:paraId="50DBA90B">
            <w:pPr>
              <w:spacing w:before="153" w:line="221" w:lineRule="auto"/>
              <w:ind w:left="191"/>
              <w:rPr>
                <w:szCs w:val="21"/>
              </w:rPr>
            </w:pPr>
            <w:r>
              <w:rPr>
                <w:spacing w:val="18"/>
                <w:szCs w:val="21"/>
              </w:rPr>
              <w:t>数</w:t>
            </w:r>
            <w:r>
              <w:rPr>
                <w:spacing w:val="17"/>
                <w:szCs w:val="21"/>
              </w:rPr>
              <w:t>量(座)</w:t>
            </w:r>
          </w:p>
        </w:tc>
        <w:tc>
          <w:tcPr>
            <w:tcW w:w="1899" w:type="dxa"/>
          </w:tcPr>
          <w:p w14:paraId="3ECF30A0">
            <w:pPr>
              <w:spacing w:before="154" w:line="221" w:lineRule="auto"/>
              <w:ind w:left="266"/>
              <w:rPr>
                <w:szCs w:val="21"/>
              </w:rPr>
            </w:pPr>
            <w:r>
              <w:rPr>
                <w:spacing w:val="-1"/>
                <w:szCs w:val="21"/>
              </w:rPr>
              <w:t>可能</w:t>
            </w:r>
            <w:r>
              <w:rPr>
                <w:szCs w:val="21"/>
              </w:rPr>
              <w:t>发生的事故</w:t>
            </w:r>
          </w:p>
        </w:tc>
      </w:tr>
      <w:tr w14:paraId="0BEDC5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50" w:type="dxa"/>
            <w:vMerge w:val="restart"/>
            <w:tcBorders>
              <w:bottom w:val="single" w:color="000000" w:sz="4" w:space="0"/>
              <w:right w:val="single" w:color="000000" w:sz="4" w:space="0"/>
            </w:tcBorders>
          </w:tcPr>
          <w:p w14:paraId="1A80C25B">
            <w:pPr>
              <w:spacing w:line="289" w:lineRule="auto"/>
            </w:pPr>
          </w:p>
          <w:p w14:paraId="753045C1">
            <w:pPr>
              <w:spacing w:before="61" w:line="187" w:lineRule="auto"/>
              <w:rPr>
                <w:rFonts w:eastAsia="Times New Roman"/>
                <w:szCs w:val="21"/>
              </w:rPr>
            </w:pPr>
            <w:r>
              <w:rPr>
                <w:rFonts w:eastAsia="Times New Roman"/>
                <w:szCs w:val="21"/>
              </w:rPr>
              <w:t>1</w:t>
            </w:r>
          </w:p>
        </w:tc>
        <w:tc>
          <w:tcPr>
            <w:tcW w:w="1264" w:type="dxa"/>
            <w:vMerge w:val="restart"/>
            <w:tcBorders>
              <w:left w:val="single" w:color="000000" w:sz="4" w:space="0"/>
              <w:bottom w:val="single" w:color="000000" w:sz="4" w:space="0"/>
              <w:right w:val="single" w:color="000000" w:sz="4" w:space="0"/>
            </w:tcBorders>
          </w:tcPr>
          <w:p w14:paraId="0C86275C">
            <w:pPr>
              <w:rPr>
                <w:szCs w:val="21"/>
              </w:rPr>
            </w:pPr>
            <w:r>
              <w:rPr>
                <w:spacing w:val="-2"/>
                <w:szCs w:val="21"/>
              </w:rPr>
              <w:t>德邦</w:t>
            </w:r>
            <w:r>
              <w:rPr>
                <w:spacing w:val="-1"/>
                <w:szCs w:val="21"/>
              </w:rPr>
              <w:t>化工</w:t>
            </w:r>
          </w:p>
        </w:tc>
        <w:tc>
          <w:tcPr>
            <w:tcW w:w="2271" w:type="dxa"/>
            <w:tcBorders>
              <w:left w:val="single" w:color="000000" w:sz="4" w:space="0"/>
              <w:bottom w:val="single" w:color="000000" w:sz="4" w:space="0"/>
              <w:right w:val="single" w:color="000000" w:sz="4" w:space="0"/>
            </w:tcBorders>
          </w:tcPr>
          <w:p w14:paraId="42CE45FB">
            <w:pPr>
              <w:spacing w:before="150" w:line="221" w:lineRule="auto"/>
              <w:ind w:left="747"/>
              <w:rPr>
                <w:szCs w:val="21"/>
              </w:rPr>
            </w:pPr>
            <w:r>
              <w:rPr>
                <w:spacing w:val="-8"/>
                <w:szCs w:val="21"/>
              </w:rPr>
              <w:t>甲醇储罐</w:t>
            </w:r>
          </w:p>
        </w:tc>
        <w:tc>
          <w:tcPr>
            <w:tcW w:w="1269" w:type="dxa"/>
            <w:tcBorders>
              <w:left w:val="single" w:color="000000" w:sz="4" w:space="0"/>
              <w:bottom w:val="single" w:color="000000" w:sz="4" w:space="0"/>
              <w:right w:val="single" w:color="000000" w:sz="4" w:space="0"/>
            </w:tcBorders>
          </w:tcPr>
          <w:p w14:paraId="2D394B08">
            <w:pPr>
              <w:spacing w:before="129" w:line="284" w:lineRule="exact"/>
              <w:ind w:left="367"/>
              <w:rPr>
                <w:rFonts w:eastAsia="Times New Roman"/>
                <w:sz w:val="13"/>
                <w:szCs w:val="13"/>
              </w:rPr>
            </w:pPr>
            <w:r>
              <w:rPr>
                <w:rFonts w:eastAsia="Times New Roman"/>
                <w:spacing w:val="-1"/>
                <w:szCs w:val="21"/>
              </w:rPr>
              <w:t>300m</w:t>
            </w:r>
            <w:r>
              <w:rPr>
                <w:rFonts w:eastAsia="Times New Roman"/>
                <w:spacing w:val="-1"/>
                <w:position w:val="9"/>
                <w:sz w:val="13"/>
                <w:szCs w:val="13"/>
              </w:rPr>
              <w:t>3</w:t>
            </w:r>
          </w:p>
        </w:tc>
        <w:tc>
          <w:tcPr>
            <w:tcW w:w="1421" w:type="dxa"/>
            <w:tcBorders>
              <w:left w:val="single" w:color="000000" w:sz="4" w:space="0"/>
              <w:bottom w:val="single" w:color="000000" w:sz="4" w:space="0"/>
              <w:right w:val="single" w:color="000000" w:sz="4" w:space="0"/>
            </w:tcBorders>
          </w:tcPr>
          <w:p w14:paraId="19B724FA">
            <w:pPr>
              <w:spacing w:before="182" w:line="187" w:lineRule="auto"/>
              <w:ind w:left="660"/>
              <w:rPr>
                <w:rFonts w:eastAsia="Times New Roman"/>
                <w:szCs w:val="21"/>
              </w:rPr>
            </w:pPr>
            <w:r>
              <w:rPr>
                <w:rFonts w:eastAsia="Times New Roman"/>
                <w:szCs w:val="21"/>
              </w:rPr>
              <w:t>4</w:t>
            </w:r>
          </w:p>
        </w:tc>
        <w:tc>
          <w:tcPr>
            <w:tcW w:w="1899" w:type="dxa"/>
            <w:tcBorders>
              <w:left w:val="single" w:color="000000" w:sz="4" w:space="0"/>
              <w:bottom w:val="single" w:color="000000" w:sz="4" w:space="0"/>
            </w:tcBorders>
          </w:tcPr>
          <w:p w14:paraId="15180721">
            <w:pPr>
              <w:spacing w:before="150" w:line="219" w:lineRule="auto"/>
              <w:ind w:left="480"/>
              <w:rPr>
                <w:szCs w:val="21"/>
              </w:rPr>
            </w:pPr>
            <w:r>
              <w:rPr>
                <w:spacing w:val="-2"/>
                <w:szCs w:val="21"/>
              </w:rPr>
              <w:t>火灾</w:t>
            </w:r>
            <w:r>
              <w:rPr>
                <w:spacing w:val="-1"/>
                <w:szCs w:val="21"/>
              </w:rPr>
              <w:t>、爆炸</w:t>
            </w:r>
          </w:p>
        </w:tc>
      </w:tr>
      <w:tr w14:paraId="3EAEF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550" w:type="dxa"/>
            <w:vMerge w:val="continue"/>
            <w:tcBorders>
              <w:top w:val="single" w:color="000000" w:sz="4" w:space="0"/>
              <w:bottom w:val="single" w:color="000000" w:sz="4" w:space="0"/>
              <w:right w:val="single" w:color="000000" w:sz="4" w:space="0"/>
            </w:tcBorders>
          </w:tcPr>
          <w:p w14:paraId="480EA039"/>
        </w:tc>
        <w:tc>
          <w:tcPr>
            <w:tcW w:w="1264" w:type="dxa"/>
            <w:vMerge w:val="continue"/>
            <w:tcBorders>
              <w:top w:val="single" w:color="000000" w:sz="4" w:space="0"/>
              <w:left w:val="single" w:color="000000" w:sz="4" w:space="0"/>
              <w:bottom w:val="single" w:color="000000" w:sz="4" w:space="0"/>
              <w:right w:val="single" w:color="000000" w:sz="4" w:space="0"/>
            </w:tcBorders>
          </w:tcPr>
          <w:p w14:paraId="02DF9C85"/>
        </w:tc>
        <w:tc>
          <w:tcPr>
            <w:tcW w:w="2271" w:type="dxa"/>
            <w:tcBorders>
              <w:top w:val="single" w:color="000000" w:sz="4" w:space="0"/>
              <w:left w:val="single" w:color="000000" w:sz="4" w:space="0"/>
              <w:right w:val="single" w:color="000000" w:sz="4" w:space="0"/>
            </w:tcBorders>
          </w:tcPr>
          <w:p w14:paraId="2A0815C8">
            <w:pPr>
              <w:spacing w:before="154" w:line="218" w:lineRule="auto"/>
              <w:jc w:val="center"/>
              <w:rPr>
                <w:szCs w:val="21"/>
              </w:rPr>
            </w:pPr>
            <w:r>
              <w:rPr>
                <w:spacing w:val="-2"/>
                <w:szCs w:val="21"/>
              </w:rPr>
              <w:t>液氨储罐</w:t>
            </w:r>
          </w:p>
        </w:tc>
        <w:tc>
          <w:tcPr>
            <w:tcW w:w="1269" w:type="dxa"/>
            <w:tcBorders>
              <w:top w:val="single" w:color="000000" w:sz="4" w:space="0"/>
              <w:left w:val="single" w:color="000000" w:sz="4" w:space="0"/>
              <w:right w:val="single" w:color="000000" w:sz="4" w:space="0"/>
            </w:tcBorders>
          </w:tcPr>
          <w:p w14:paraId="69F7D656">
            <w:pPr>
              <w:spacing w:before="135" w:line="284" w:lineRule="exact"/>
              <w:ind w:left="436"/>
              <w:rPr>
                <w:rFonts w:eastAsia="Times New Roman"/>
                <w:sz w:val="13"/>
                <w:szCs w:val="13"/>
              </w:rPr>
            </w:pPr>
            <w:r>
              <w:rPr>
                <w:rFonts w:eastAsia="Times New Roman"/>
                <w:spacing w:val="-7"/>
                <w:position w:val="-1"/>
                <w:szCs w:val="21"/>
              </w:rPr>
              <w:t>1</w:t>
            </w:r>
            <w:r>
              <w:rPr>
                <w:rFonts w:eastAsia="Times New Roman"/>
                <w:spacing w:val="-5"/>
                <w:position w:val="-1"/>
                <w:szCs w:val="21"/>
              </w:rPr>
              <w:t>6m</w:t>
            </w:r>
            <w:r>
              <w:rPr>
                <w:rFonts w:eastAsia="Times New Roman"/>
                <w:spacing w:val="-5"/>
                <w:position w:val="9"/>
                <w:sz w:val="13"/>
                <w:szCs w:val="13"/>
              </w:rPr>
              <w:t>3</w:t>
            </w:r>
          </w:p>
        </w:tc>
        <w:tc>
          <w:tcPr>
            <w:tcW w:w="1421" w:type="dxa"/>
            <w:tcBorders>
              <w:top w:val="single" w:color="000000" w:sz="4" w:space="0"/>
              <w:left w:val="single" w:color="000000" w:sz="4" w:space="0"/>
              <w:bottom w:val="single" w:color="000000" w:sz="4" w:space="0"/>
              <w:right w:val="single" w:color="000000" w:sz="4" w:space="0"/>
            </w:tcBorders>
          </w:tcPr>
          <w:p w14:paraId="5B2DB36C">
            <w:pPr>
              <w:spacing w:before="187" w:line="187" w:lineRule="auto"/>
              <w:ind w:left="660"/>
              <w:rPr>
                <w:rFonts w:eastAsia="Times New Roman"/>
                <w:szCs w:val="21"/>
              </w:rPr>
            </w:pPr>
            <w:r>
              <w:rPr>
                <w:rFonts w:eastAsia="Times New Roman"/>
                <w:szCs w:val="21"/>
              </w:rPr>
              <w:t>4</w:t>
            </w:r>
          </w:p>
        </w:tc>
        <w:tc>
          <w:tcPr>
            <w:tcW w:w="1899" w:type="dxa"/>
            <w:vMerge w:val="restart"/>
            <w:tcBorders>
              <w:top w:val="single" w:color="000000" w:sz="4" w:space="0"/>
              <w:left w:val="single" w:color="000000" w:sz="4" w:space="0"/>
              <w:bottom w:val="single" w:color="000000" w:sz="4" w:space="0"/>
            </w:tcBorders>
          </w:tcPr>
          <w:p w14:paraId="23A3E95E">
            <w:pPr>
              <w:spacing w:before="69" w:line="219" w:lineRule="auto"/>
              <w:rPr>
                <w:szCs w:val="21"/>
              </w:rPr>
            </w:pPr>
            <w:r>
              <w:rPr>
                <w:spacing w:val="-1"/>
                <w:szCs w:val="21"/>
              </w:rPr>
              <w:t>火灾、爆炸、中毒</w:t>
            </w:r>
          </w:p>
        </w:tc>
      </w:tr>
      <w:tr w14:paraId="27A2B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restart"/>
            <w:tcBorders>
              <w:top w:val="single" w:color="000000" w:sz="4" w:space="0"/>
              <w:right w:val="single" w:color="000000" w:sz="4" w:space="0"/>
            </w:tcBorders>
          </w:tcPr>
          <w:p w14:paraId="7BAC13AE">
            <w:r>
              <w:t>2</w:t>
            </w:r>
          </w:p>
        </w:tc>
        <w:tc>
          <w:tcPr>
            <w:tcW w:w="1264" w:type="dxa"/>
            <w:vMerge w:val="restart"/>
            <w:tcBorders>
              <w:top w:val="single" w:color="000000" w:sz="4" w:space="0"/>
              <w:left w:val="single" w:color="000000" w:sz="4" w:space="0"/>
              <w:right w:val="single" w:color="000000" w:sz="4" w:space="0"/>
            </w:tcBorders>
          </w:tcPr>
          <w:p w14:paraId="33F095F8">
            <w:r>
              <w:t>山河药辅</w:t>
            </w:r>
          </w:p>
        </w:tc>
        <w:tc>
          <w:tcPr>
            <w:tcW w:w="2271" w:type="dxa"/>
            <w:tcBorders>
              <w:top w:val="single" w:color="000000" w:sz="4" w:space="0"/>
              <w:left w:val="single" w:color="000000" w:sz="4" w:space="0"/>
              <w:bottom w:val="single" w:color="000000" w:sz="4" w:space="0"/>
              <w:right w:val="single" w:color="000000" w:sz="4" w:space="0"/>
            </w:tcBorders>
            <w:vAlign w:val="center"/>
          </w:tcPr>
          <w:p w14:paraId="219A54BB">
            <w:pPr>
              <w:ind w:left="-140" w:leftChars="-50" w:right="-140" w:rightChars="-50"/>
              <w:jc w:val="center"/>
              <w:rPr>
                <w:spacing w:val="-2"/>
                <w:szCs w:val="21"/>
              </w:rPr>
            </w:pPr>
            <w:r>
              <w:rPr>
                <w:szCs w:val="21"/>
              </w:rPr>
              <w:t>异丙醇储罐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003756C4">
            <w:pPr>
              <w:pStyle w:val="13"/>
              <w:jc w:val="center"/>
              <w:rPr>
                <w:rFonts w:eastAsia="Times New Roman"/>
                <w:spacing w:val="-7"/>
                <w:position w:val="-1"/>
                <w:szCs w:val="21"/>
              </w:rPr>
            </w:pPr>
            <w:r>
              <w:rPr>
                <w:szCs w:val="21"/>
              </w:rPr>
              <w:t>30m³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18195EF4">
            <w:pPr>
              <w:ind w:left="-140" w:leftChars="-50" w:right="-140" w:rightChars="-50"/>
              <w:jc w:val="center"/>
              <w:rPr>
                <w:rFonts w:eastAsia="Times New Roman"/>
                <w:szCs w:val="21"/>
              </w:rPr>
            </w:pPr>
            <w:r>
              <w:rPr>
                <w:szCs w:val="21"/>
              </w:rPr>
              <w:t>1</w:t>
            </w:r>
          </w:p>
        </w:tc>
        <w:tc>
          <w:tcPr>
            <w:tcW w:w="1899" w:type="dxa"/>
            <w:vMerge w:val="restart"/>
            <w:tcBorders>
              <w:top w:val="single" w:color="000000" w:sz="4" w:space="0"/>
              <w:left w:val="single" w:color="000000" w:sz="4" w:space="0"/>
            </w:tcBorders>
          </w:tcPr>
          <w:p w14:paraId="4B907844">
            <w:r>
              <w:rPr>
                <w:spacing w:val="-1"/>
                <w:szCs w:val="21"/>
              </w:rPr>
              <w:t>火灾、爆炸、中毒</w:t>
            </w:r>
          </w:p>
        </w:tc>
      </w:tr>
      <w:tr w14:paraId="41A70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56AE7A84"/>
        </w:tc>
        <w:tc>
          <w:tcPr>
            <w:tcW w:w="1264" w:type="dxa"/>
            <w:vMerge w:val="continue"/>
            <w:tcBorders>
              <w:left w:val="single" w:color="000000" w:sz="4" w:space="0"/>
              <w:right w:val="single" w:color="000000" w:sz="4" w:space="0"/>
            </w:tcBorders>
          </w:tcPr>
          <w:p w14:paraId="5CCF5ED9"/>
        </w:tc>
        <w:tc>
          <w:tcPr>
            <w:tcW w:w="2271" w:type="dxa"/>
            <w:tcBorders>
              <w:top w:val="single" w:color="000000" w:sz="4" w:space="0"/>
              <w:left w:val="single" w:color="000000" w:sz="4" w:space="0"/>
              <w:bottom w:val="single" w:color="000000" w:sz="4" w:space="0"/>
              <w:right w:val="single" w:color="000000" w:sz="4" w:space="0"/>
            </w:tcBorders>
            <w:vAlign w:val="center"/>
          </w:tcPr>
          <w:p w14:paraId="22B6CFDC">
            <w:pPr>
              <w:ind w:left="-140" w:leftChars="-50" w:right="-140" w:rightChars="-50"/>
              <w:jc w:val="center"/>
              <w:rPr>
                <w:spacing w:val="-2"/>
                <w:szCs w:val="21"/>
              </w:rPr>
            </w:pPr>
            <w:r>
              <w:rPr>
                <w:szCs w:val="21"/>
              </w:rPr>
              <w:t>甲苯储罐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3BD61AE5">
            <w:pPr>
              <w:pStyle w:val="13"/>
              <w:jc w:val="center"/>
              <w:rPr>
                <w:rFonts w:eastAsia="Times New Roman"/>
                <w:spacing w:val="-7"/>
                <w:position w:val="-1"/>
                <w:szCs w:val="21"/>
              </w:rPr>
            </w:pPr>
            <w:r>
              <w:rPr>
                <w:szCs w:val="21"/>
              </w:rPr>
              <w:t>30m³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4E6168DA">
            <w:pPr>
              <w:ind w:left="-140" w:leftChars="-50" w:right="-140" w:rightChars="-50"/>
              <w:jc w:val="center"/>
              <w:rPr>
                <w:rFonts w:eastAsia="Times New Roman"/>
                <w:szCs w:val="21"/>
              </w:rPr>
            </w:pPr>
            <w:r>
              <w:rPr>
                <w:szCs w:val="21"/>
              </w:rPr>
              <w:t>1</w:t>
            </w:r>
          </w:p>
        </w:tc>
        <w:tc>
          <w:tcPr>
            <w:tcW w:w="1899" w:type="dxa"/>
            <w:vMerge w:val="continue"/>
            <w:tcBorders>
              <w:left w:val="single" w:color="000000" w:sz="4" w:space="0"/>
            </w:tcBorders>
          </w:tcPr>
          <w:p w14:paraId="424E5D48"/>
        </w:tc>
      </w:tr>
      <w:tr w14:paraId="6DE6F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341F9C6C"/>
        </w:tc>
        <w:tc>
          <w:tcPr>
            <w:tcW w:w="1264" w:type="dxa"/>
            <w:vMerge w:val="continue"/>
            <w:tcBorders>
              <w:left w:val="single" w:color="000000" w:sz="4" w:space="0"/>
              <w:right w:val="single" w:color="000000" w:sz="4" w:space="0"/>
            </w:tcBorders>
          </w:tcPr>
          <w:p w14:paraId="354BDEF3"/>
        </w:tc>
        <w:tc>
          <w:tcPr>
            <w:tcW w:w="2271" w:type="dxa"/>
            <w:tcBorders>
              <w:top w:val="single" w:color="000000" w:sz="4" w:space="0"/>
              <w:left w:val="single" w:color="000000" w:sz="4" w:space="0"/>
              <w:bottom w:val="single" w:color="000000" w:sz="4" w:space="0"/>
              <w:right w:val="single" w:color="000000" w:sz="4" w:space="0"/>
            </w:tcBorders>
            <w:vAlign w:val="center"/>
          </w:tcPr>
          <w:p w14:paraId="0BAE0765">
            <w:pPr>
              <w:ind w:left="-140" w:leftChars="-50" w:right="-140" w:rightChars="-50"/>
              <w:jc w:val="center"/>
              <w:rPr>
                <w:spacing w:val="-2"/>
                <w:szCs w:val="21"/>
              </w:rPr>
            </w:pPr>
            <w:r>
              <w:rPr>
                <w:szCs w:val="21"/>
              </w:rPr>
              <w:t>乙醇储罐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3CE03247">
            <w:pPr>
              <w:pStyle w:val="13"/>
              <w:jc w:val="center"/>
              <w:rPr>
                <w:rFonts w:eastAsia="Times New Roman"/>
                <w:spacing w:val="-7"/>
                <w:position w:val="-1"/>
                <w:szCs w:val="21"/>
              </w:rPr>
            </w:pPr>
            <w:r>
              <w:rPr>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00CC4027">
            <w:pPr>
              <w:ind w:left="-140" w:leftChars="-50" w:right="-140" w:rightChars="-50"/>
              <w:jc w:val="center"/>
              <w:rPr>
                <w:rFonts w:eastAsia="Times New Roman"/>
                <w:szCs w:val="21"/>
              </w:rPr>
            </w:pPr>
            <w:r>
              <w:rPr>
                <w:szCs w:val="21"/>
              </w:rPr>
              <w:t>2</w:t>
            </w:r>
          </w:p>
        </w:tc>
        <w:tc>
          <w:tcPr>
            <w:tcW w:w="1899" w:type="dxa"/>
            <w:vMerge w:val="continue"/>
            <w:tcBorders>
              <w:left w:val="single" w:color="000000" w:sz="4" w:space="0"/>
            </w:tcBorders>
          </w:tcPr>
          <w:p w14:paraId="3490FFD2"/>
        </w:tc>
      </w:tr>
      <w:tr w14:paraId="250F0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4FC0BCC6"/>
        </w:tc>
        <w:tc>
          <w:tcPr>
            <w:tcW w:w="1264" w:type="dxa"/>
            <w:vMerge w:val="continue"/>
            <w:tcBorders>
              <w:left w:val="single" w:color="000000" w:sz="4" w:space="0"/>
              <w:right w:val="single" w:color="000000" w:sz="4" w:space="0"/>
            </w:tcBorders>
          </w:tcPr>
          <w:p w14:paraId="1D6B7618"/>
        </w:tc>
        <w:tc>
          <w:tcPr>
            <w:tcW w:w="2271" w:type="dxa"/>
            <w:tcBorders>
              <w:top w:val="single" w:color="000000" w:sz="4" w:space="0"/>
              <w:left w:val="single" w:color="000000" w:sz="4" w:space="0"/>
              <w:bottom w:val="single" w:color="000000" w:sz="4" w:space="0"/>
              <w:right w:val="single" w:color="000000" w:sz="4" w:space="0"/>
            </w:tcBorders>
            <w:vAlign w:val="center"/>
          </w:tcPr>
          <w:p w14:paraId="2E6E33B2">
            <w:pPr>
              <w:ind w:left="-140" w:leftChars="-50" w:right="-140" w:rightChars="-50"/>
              <w:jc w:val="center"/>
              <w:rPr>
                <w:spacing w:val="-2"/>
                <w:szCs w:val="21"/>
              </w:rPr>
            </w:pPr>
            <w:r>
              <w:rPr>
                <w:szCs w:val="21"/>
              </w:rPr>
              <w:t>盐酸储罐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31B9AAC2">
            <w:pPr>
              <w:pStyle w:val="13"/>
              <w:jc w:val="center"/>
              <w:rPr>
                <w:rFonts w:eastAsia="Times New Roman"/>
                <w:spacing w:val="-7"/>
                <w:position w:val="-1"/>
                <w:szCs w:val="21"/>
              </w:rPr>
            </w:pPr>
            <w:r>
              <w:rPr>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57ABB872">
            <w:pPr>
              <w:ind w:left="-140" w:leftChars="-50" w:right="-140" w:rightChars="-50"/>
              <w:jc w:val="center"/>
              <w:rPr>
                <w:rFonts w:eastAsia="Times New Roman"/>
                <w:szCs w:val="21"/>
              </w:rPr>
            </w:pPr>
            <w:r>
              <w:rPr>
                <w:szCs w:val="21"/>
              </w:rPr>
              <w:t>2</w:t>
            </w:r>
          </w:p>
        </w:tc>
        <w:tc>
          <w:tcPr>
            <w:tcW w:w="1899" w:type="dxa"/>
            <w:vMerge w:val="continue"/>
            <w:tcBorders>
              <w:left w:val="single" w:color="000000" w:sz="4" w:space="0"/>
            </w:tcBorders>
          </w:tcPr>
          <w:p w14:paraId="509B726B"/>
        </w:tc>
      </w:tr>
      <w:tr w14:paraId="4CF5D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13136D62"/>
        </w:tc>
        <w:tc>
          <w:tcPr>
            <w:tcW w:w="1264" w:type="dxa"/>
            <w:vMerge w:val="continue"/>
            <w:tcBorders>
              <w:left w:val="single" w:color="000000" w:sz="4" w:space="0"/>
              <w:right w:val="single" w:color="000000" w:sz="4" w:space="0"/>
            </w:tcBorders>
          </w:tcPr>
          <w:p w14:paraId="25870AAC"/>
        </w:tc>
        <w:tc>
          <w:tcPr>
            <w:tcW w:w="2271" w:type="dxa"/>
            <w:tcBorders>
              <w:top w:val="single" w:color="000000" w:sz="4" w:space="0"/>
              <w:left w:val="single" w:color="000000" w:sz="4" w:space="0"/>
              <w:bottom w:val="single" w:color="000000" w:sz="4" w:space="0"/>
              <w:right w:val="single" w:color="000000" w:sz="4" w:space="0"/>
            </w:tcBorders>
            <w:vAlign w:val="center"/>
          </w:tcPr>
          <w:p w14:paraId="5C466125">
            <w:pPr>
              <w:ind w:left="-140" w:leftChars="-50" w:right="-140" w:rightChars="-50"/>
              <w:jc w:val="center"/>
              <w:rPr>
                <w:spacing w:val="-2"/>
                <w:szCs w:val="21"/>
              </w:rPr>
            </w:pPr>
            <w:r>
              <w:rPr>
                <w:szCs w:val="21"/>
              </w:rPr>
              <w:t>硫酸储罐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579E3B3C">
            <w:pPr>
              <w:pStyle w:val="13"/>
              <w:jc w:val="center"/>
              <w:rPr>
                <w:rFonts w:eastAsia="Times New Roman"/>
                <w:spacing w:val="-7"/>
                <w:position w:val="-1"/>
                <w:szCs w:val="21"/>
              </w:rPr>
            </w:pPr>
            <w:r>
              <w:rPr>
                <w:szCs w:val="21"/>
              </w:rPr>
              <w:t>20m³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4E531622">
            <w:pPr>
              <w:ind w:left="-140" w:leftChars="-50" w:right="-140" w:rightChars="-50"/>
              <w:jc w:val="center"/>
              <w:rPr>
                <w:rFonts w:eastAsia="Times New Roman"/>
                <w:szCs w:val="21"/>
              </w:rPr>
            </w:pPr>
            <w:r>
              <w:rPr>
                <w:szCs w:val="21"/>
              </w:rPr>
              <w:t>1</w:t>
            </w:r>
          </w:p>
        </w:tc>
        <w:tc>
          <w:tcPr>
            <w:tcW w:w="1899" w:type="dxa"/>
            <w:vMerge w:val="continue"/>
            <w:tcBorders>
              <w:left w:val="single" w:color="000000" w:sz="4" w:space="0"/>
            </w:tcBorders>
          </w:tcPr>
          <w:p w14:paraId="48E8706C"/>
        </w:tc>
      </w:tr>
      <w:tr w14:paraId="7592E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3A6F97E9"/>
        </w:tc>
        <w:tc>
          <w:tcPr>
            <w:tcW w:w="1264" w:type="dxa"/>
            <w:vMerge w:val="continue"/>
            <w:tcBorders>
              <w:left w:val="single" w:color="000000" w:sz="4" w:space="0"/>
              <w:right w:val="single" w:color="000000" w:sz="4" w:space="0"/>
            </w:tcBorders>
          </w:tcPr>
          <w:p w14:paraId="2D34F39F"/>
        </w:tc>
        <w:tc>
          <w:tcPr>
            <w:tcW w:w="2271" w:type="dxa"/>
            <w:tcBorders>
              <w:top w:val="single" w:color="000000" w:sz="4" w:space="0"/>
              <w:left w:val="single" w:color="000000" w:sz="4" w:space="0"/>
              <w:bottom w:val="single" w:color="000000" w:sz="4" w:space="0"/>
              <w:right w:val="single" w:color="000000" w:sz="4" w:space="0"/>
            </w:tcBorders>
            <w:vAlign w:val="center"/>
          </w:tcPr>
          <w:p w14:paraId="7E1ED6A1">
            <w:pPr>
              <w:ind w:left="-140" w:leftChars="-50" w:right="-140" w:rightChars="-50"/>
              <w:jc w:val="center"/>
              <w:rPr>
                <w:spacing w:val="-2"/>
                <w:szCs w:val="21"/>
              </w:rPr>
            </w:pPr>
            <w:r>
              <w:rPr>
                <w:szCs w:val="21"/>
              </w:rPr>
              <w:t>液碱储罐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10661936">
            <w:pPr>
              <w:pStyle w:val="13"/>
              <w:jc w:val="center"/>
              <w:rPr>
                <w:rFonts w:eastAsia="Times New Roman"/>
                <w:spacing w:val="-7"/>
                <w:position w:val="-1"/>
                <w:szCs w:val="21"/>
              </w:rPr>
            </w:pPr>
            <w:r>
              <w:rPr>
                <w:szCs w:val="21"/>
              </w:rPr>
              <w:t>100m³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286D2168">
            <w:pPr>
              <w:ind w:left="-140" w:leftChars="-50" w:right="-140" w:rightChars="-50"/>
              <w:jc w:val="center"/>
              <w:rPr>
                <w:rFonts w:eastAsia="Times New Roman"/>
                <w:szCs w:val="21"/>
              </w:rPr>
            </w:pPr>
            <w:r>
              <w:rPr>
                <w:szCs w:val="21"/>
              </w:rPr>
              <w:t>2</w:t>
            </w:r>
          </w:p>
        </w:tc>
        <w:tc>
          <w:tcPr>
            <w:tcW w:w="1899" w:type="dxa"/>
            <w:vMerge w:val="continue"/>
            <w:tcBorders>
              <w:left w:val="single" w:color="000000" w:sz="4" w:space="0"/>
            </w:tcBorders>
          </w:tcPr>
          <w:p w14:paraId="70412797"/>
        </w:tc>
      </w:tr>
      <w:tr w14:paraId="4C0012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4F5AB44A"/>
        </w:tc>
        <w:tc>
          <w:tcPr>
            <w:tcW w:w="1264" w:type="dxa"/>
            <w:vMerge w:val="continue"/>
            <w:tcBorders>
              <w:left w:val="single" w:color="000000" w:sz="4" w:space="0"/>
              <w:right w:val="single" w:color="000000" w:sz="4" w:space="0"/>
            </w:tcBorders>
          </w:tcPr>
          <w:p w14:paraId="5E524CD1"/>
        </w:tc>
        <w:tc>
          <w:tcPr>
            <w:tcW w:w="2271" w:type="dxa"/>
            <w:tcBorders>
              <w:top w:val="single" w:color="000000" w:sz="4" w:space="0"/>
              <w:left w:val="single" w:color="000000" w:sz="4" w:space="0"/>
              <w:bottom w:val="single" w:color="000000" w:sz="4" w:space="0"/>
              <w:right w:val="single" w:color="000000" w:sz="4" w:space="0"/>
            </w:tcBorders>
            <w:vAlign w:val="center"/>
          </w:tcPr>
          <w:p w14:paraId="453358C9">
            <w:pPr>
              <w:ind w:left="-140" w:leftChars="-50" w:right="-140" w:rightChars="-50"/>
              <w:jc w:val="center"/>
              <w:rPr>
                <w:spacing w:val="-2"/>
                <w:szCs w:val="21"/>
              </w:rPr>
            </w:pPr>
            <w:r>
              <w:rPr>
                <w:szCs w:val="21"/>
              </w:rPr>
              <w:t>环氧丙烷储罐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586F40A7">
            <w:pPr>
              <w:pStyle w:val="13"/>
              <w:jc w:val="center"/>
              <w:rPr>
                <w:rFonts w:eastAsia="Times New Roman"/>
                <w:spacing w:val="-7"/>
                <w:position w:val="-1"/>
                <w:szCs w:val="21"/>
              </w:rPr>
            </w:pPr>
            <w:r>
              <w:rPr>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172E148A">
            <w:pPr>
              <w:ind w:left="-140" w:leftChars="-50" w:right="-140" w:rightChars="-50"/>
              <w:jc w:val="center"/>
              <w:rPr>
                <w:rFonts w:eastAsia="Times New Roman"/>
                <w:szCs w:val="21"/>
              </w:rPr>
            </w:pPr>
            <w:r>
              <w:rPr>
                <w:szCs w:val="21"/>
              </w:rPr>
              <w:t>2</w:t>
            </w:r>
          </w:p>
        </w:tc>
        <w:tc>
          <w:tcPr>
            <w:tcW w:w="1899" w:type="dxa"/>
            <w:vMerge w:val="continue"/>
            <w:tcBorders>
              <w:left w:val="single" w:color="000000" w:sz="4" w:space="0"/>
            </w:tcBorders>
          </w:tcPr>
          <w:p w14:paraId="7E42FA3A"/>
        </w:tc>
      </w:tr>
      <w:tr w14:paraId="5405E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25AFC6CA"/>
        </w:tc>
        <w:tc>
          <w:tcPr>
            <w:tcW w:w="1264" w:type="dxa"/>
            <w:vMerge w:val="continue"/>
            <w:tcBorders>
              <w:left w:val="single" w:color="000000" w:sz="4" w:space="0"/>
              <w:right w:val="single" w:color="000000" w:sz="4" w:space="0"/>
            </w:tcBorders>
          </w:tcPr>
          <w:p w14:paraId="6CCACC1F"/>
        </w:tc>
        <w:tc>
          <w:tcPr>
            <w:tcW w:w="2271" w:type="dxa"/>
            <w:tcBorders>
              <w:top w:val="single" w:color="000000" w:sz="4" w:space="0"/>
              <w:left w:val="single" w:color="000000" w:sz="4" w:space="0"/>
              <w:bottom w:val="single" w:color="000000" w:sz="4" w:space="0"/>
              <w:right w:val="single" w:color="000000" w:sz="4" w:space="0"/>
            </w:tcBorders>
            <w:vAlign w:val="center"/>
          </w:tcPr>
          <w:p w14:paraId="02F5C197">
            <w:pPr>
              <w:ind w:left="-140" w:leftChars="-50" w:right="-140" w:rightChars="-50"/>
              <w:jc w:val="center"/>
              <w:rPr>
                <w:spacing w:val="-2"/>
                <w:szCs w:val="21"/>
              </w:rPr>
            </w:pPr>
            <w:r>
              <w:rPr>
                <w:szCs w:val="21"/>
              </w:rPr>
              <w:t>氯甲烷储罐</w:t>
            </w:r>
          </w:p>
        </w:tc>
        <w:tc>
          <w:tcPr>
            <w:tcW w:w="1269" w:type="dxa"/>
            <w:tcBorders>
              <w:top w:val="single" w:color="000000" w:sz="4" w:space="0"/>
              <w:left w:val="single" w:color="000000" w:sz="4" w:space="0"/>
              <w:bottom w:val="single" w:color="000000" w:sz="4" w:space="0"/>
              <w:right w:val="single" w:color="000000" w:sz="4" w:space="0"/>
            </w:tcBorders>
            <w:vAlign w:val="center"/>
          </w:tcPr>
          <w:p w14:paraId="58D6009D">
            <w:pPr>
              <w:pStyle w:val="13"/>
              <w:jc w:val="center"/>
              <w:rPr>
                <w:rFonts w:eastAsia="Times New Roman"/>
                <w:spacing w:val="-7"/>
                <w:position w:val="-1"/>
                <w:szCs w:val="21"/>
              </w:rPr>
            </w:pPr>
            <w:r>
              <w:rPr>
                <w:szCs w:val="21"/>
              </w:rPr>
              <w:t>60m³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0F89C10C">
            <w:pPr>
              <w:ind w:left="-140" w:leftChars="-50" w:right="-140" w:rightChars="-50"/>
              <w:jc w:val="center"/>
              <w:rPr>
                <w:rFonts w:eastAsia="Times New Roman"/>
                <w:szCs w:val="21"/>
              </w:rPr>
            </w:pPr>
            <w:r>
              <w:rPr>
                <w:szCs w:val="21"/>
              </w:rPr>
              <w:t>3</w:t>
            </w:r>
          </w:p>
        </w:tc>
        <w:tc>
          <w:tcPr>
            <w:tcW w:w="1899" w:type="dxa"/>
            <w:vMerge w:val="continue"/>
            <w:tcBorders>
              <w:left w:val="single" w:color="000000" w:sz="4" w:space="0"/>
            </w:tcBorders>
          </w:tcPr>
          <w:p w14:paraId="045769C9"/>
        </w:tc>
      </w:tr>
      <w:tr w14:paraId="00BBFB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restart"/>
            <w:tcBorders>
              <w:right w:val="single" w:color="000000" w:sz="4" w:space="0"/>
            </w:tcBorders>
          </w:tcPr>
          <w:p w14:paraId="7D5824A2">
            <w:r>
              <w:t>3</w:t>
            </w:r>
          </w:p>
        </w:tc>
        <w:tc>
          <w:tcPr>
            <w:tcW w:w="1264" w:type="dxa"/>
            <w:vMerge w:val="restart"/>
            <w:tcBorders>
              <w:left w:val="single" w:color="000000" w:sz="4" w:space="0"/>
              <w:right w:val="single" w:color="000000" w:sz="4" w:space="0"/>
            </w:tcBorders>
          </w:tcPr>
          <w:p w14:paraId="6EA2E9CF">
            <w:r>
              <w:rPr>
                <w:sz w:val="18"/>
                <w:szCs w:val="18"/>
              </w:rPr>
              <w:t>安徽森吉制药有限公司</w:t>
            </w:r>
          </w:p>
        </w:tc>
        <w:tc>
          <w:tcPr>
            <w:tcW w:w="2271" w:type="dxa"/>
            <w:tcBorders>
              <w:top w:val="single" w:color="000000" w:sz="4" w:space="0"/>
              <w:left w:val="single" w:color="000000" w:sz="4" w:space="0"/>
              <w:bottom w:val="single" w:color="000000" w:sz="4" w:space="0"/>
              <w:right w:val="single" w:color="000000" w:sz="4" w:space="0"/>
            </w:tcBorders>
            <w:vAlign w:val="center"/>
          </w:tcPr>
          <w:p w14:paraId="4E44229A">
            <w:pPr>
              <w:jc w:val="center"/>
              <w:rPr>
                <w:kern w:val="0"/>
                <w:szCs w:val="21"/>
              </w:rPr>
            </w:pPr>
            <w:r>
              <w:rPr>
                <w:rStyle w:val="60"/>
                <w:rFonts w:ascii="Times New Roman" w:hAnsi="Times New Roman"/>
                <w:kern w:val="0"/>
                <w:sz w:val="21"/>
                <w:szCs w:val="21"/>
              </w:rPr>
              <w:t>正己烷</w:t>
            </w:r>
          </w:p>
        </w:tc>
        <w:tc>
          <w:tcPr>
            <w:tcW w:w="1269" w:type="dxa"/>
            <w:tcBorders>
              <w:top w:val="single" w:color="000000" w:sz="4" w:space="0"/>
              <w:left w:val="single" w:color="000000" w:sz="4" w:space="0"/>
              <w:bottom w:val="single" w:color="000000" w:sz="4" w:space="0"/>
              <w:right w:val="single" w:color="000000" w:sz="4" w:space="0"/>
            </w:tcBorders>
            <w:vAlign w:val="center"/>
          </w:tcPr>
          <w:p w14:paraId="03FC1770">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2AA32737">
            <w:pPr>
              <w:jc w:val="center"/>
              <w:rPr>
                <w:kern w:val="0"/>
                <w:szCs w:val="21"/>
              </w:rPr>
            </w:pPr>
            <w:r>
              <w:rPr>
                <w:rStyle w:val="60"/>
                <w:rFonts w:ascii="Times New Roman" w:hAnsi="Times New Roman"/>
                <w:kern w:val="0"/>
                <w:sz w:val="21"/>
                <w:szCs w:val="21"/>
              </w:rPr>
              <w:t>1</w:t>
            </w:r>
          </w:p>
        </w:tc>
        <w:tc>
          <w:tcPr>
            <w:tcW w:w="1899" w:type="dxa"/>
            <w:vMerge w:val="restart"/>
            <w:tcBorders>
              <w:left w:val="single" w:color="000000" w:sz="4" w:space="0"/>
            </w:tcBorders>
          </w:tcPr>
          <w:p w14:paraId="5BBF57AB">
            <w:r>
              <w:rPr>
                <w:spacing w:val="-1"/>
                <w:szCs w:val="21"/>
              </w:rPr>
              <w:t>火灾、爆炸、中毒</w:t>
            </w:r>
          </w:p>
        </w:tc>
      </w:tr>
      <w:tr w14:paraId="38097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25A14046"/>
        </w:tc>
        <w:tc>
          <w:tcPr>
            <w:tcW w:w="1264" w:type="dxa"/>
            <w:vMerge w:val="continue"/>
            <w:tcBorders>
              <w:left w:val="single" w:color="000000" w:sz="4" w:space="0"/>
              <w:right w:val="single" w:color="000000" w:sz="4" w:space="0"/>
            </w:tcBorders>
          </w:tcPr>
          <w:p w14:paraId="210DE3D8"/>
        </w:tc>
        <w:tc>
          <w:tcPr>
            <w:tcW w:w="2271" w:type="dxa"/>
            <w:tcBorders>
              <w:top w:val="single" w:color="000000" w:sz="4" w:space="0"/>
              <w:left w:val="single" w:color="000000" w:sz="4" w:space="0"/>
              <w:bottom w:val="single" w:color="000000" w:sz="4" w:space="0"/>
              <w:right w:val="single" w:color="000000" w:sz="4" w:space="0"/>
            </w:tcBorders>
            <w:vAlign w:val="center"/>
          </w:tcPr>
          <w:p w14:paraId="3EEE9D50">
            <w:pPr>
              <w:jc w:val="center"/>
              <w:rPr>
                <w:kern w:val="0"/>
                <w:szCs w:val="21"/>
              </w:rPr>
            </w:pPr>
            <w:r>
              <w:rPr>
                <w:rStyle w:val="60"/>
                <w:rFonts w:ascii="Times New Roman" w:hAnsi="Times New Roman"/>
                <w:kern w:val="0"/>
                <w:sz w:val="21"/>
                <w:szCs w:val="21"/>
              </w:rPr>
              <w:t>乙腈</w:t>
            </w:r>
          </w:p>
        </w:tc>
        <w:tc>
          <w:tcPr>
            <w:tcW w:w="1269" w:type="dxa"/>
            <w:tcBorders>
              <w:top w:val="single" w:color="000000" w:sz="4" w:space="0"/>
              <w:left w:val="single" w:color="000000" w:sz="4" w:space="0"/>
              <w:bottom w:val="single" w:color="000000" w:sz="4" w:space="0"/>
              <w:right w:val="single" w:color="000000" w:sz="4" w:space="0"/>
            </w:tcBorders>
            <w:vAlign w:val="center"/>
          </w:tcPr>
          <w:p w14:paraId="2C58D6C0">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7DAB3ED3">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08428C24"/>
        </w:tc>
      </w:tr>
      <w:tr w14:paraId="0B4BF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122CC309"/>
        </w:tc>
        <w:tc>
          <w:tcPr>
            <w:tcW w:w="1264" w:type="dxa"/>
            <w:vMerge w:val="continue"/>
            <w:tcBorders>
              <w:left w:val="single" w:color="000000" w:sz="4" w:space="0"/>
              <w:right w:val="single" w:color="000000" w:sz="4" w:space="0"/>
            </w:tcBorders>
          </w:tcPr>
          <w:p w14:paraId="4E75F53E"/>
        </w:tc>
        <w:tc>
          <w:tcPr>
            <w:tcW w:w="2271" w:type="dxa"/>
            <w:tcBorders>
              <w:top w:val="single" w:color="000000" w:sz="4" w:space="0"/>
              <w:left w:val="single" w:color="000000" w:sz="4" w:space="0"/>
              <w:bottom w:val="single" w:color="000000" w:sz="4" w:space="0"/>
              <w:right w:val="single" w:color="000000" w:sz="4" w:space="0"/>
            </w:tcBorders>
            <w:vAlign w:val="center"/>
          </w:tcPr>
          <w:p w14:paraId="66ACBD92">
            <w:pPr>
              <w:jc w:val="center"/>
              <w:rPr>
                <w:kern w:val="0"/>
                <w:szCs w:val="21"/>
              </w:rPr>
            </w:pPr>
            <w:r>
              <w:rPr>
                <w:rStyle w:val="60"/>
                <w:rFonts w:ascii="Times New Roman" w:hAnsi="Times New Roman"/>
                <w:kern w:val="0"/>
                <w:sz w:val="21"/>
                <w:szCs w:val="21"/>
              </w:rPr>
              <w:t>四氢呋喃</w:t>
            </w:r>
          </w:p>
        </w:tc>
        <w:tc>
          <w:tcPr>
            <w:tcW w:w="1269" w:type="dxa"/>
            <w:tcBorders>
              <w:top w:val="single" w:color="000000" w:sz="4" w:space="0"/>
              <w:left w:val="single" w:color="000000" w:sz="4" w:space="0"/>
              <w:bottom w:val="single" w:color="000000" w:sz="4" w:space="0"/>
              <w:right w:val="single" w:color="000000" w:sz="4" w:space="0"/>
            </w:tcBorders>
            <w:vAlign w:val="center"/>
          </w:tcPr>
          <w:p w14:paraId="0F8FA61C">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4950E461">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32E7BE02"/>
        </w:tc>
      </w:tr>
      <w:tr w14:paraId="41B98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467C62F7"/>
        </w:tc>
        <w:tc>
          <w:tcPr>
            <w:tcW w:w="1264" w:type="dxa"/>
            <w:vMerge w:val="continue"/>
            <w:tcBorders>
              <w:left w:val="single" w:color="000000" w:sz="4" w:space="0"/>
              <w:right w:val="single" w:color="000000" w:sz="4" w:space="0"/>
            </w:tcBorders>
          </w:tcPr>
          <w:p w14:paraId="4DA6D801"/>
        </w:tc>
        <w:tc>
          <w:tcPr>
            <w:tcW w:w="2271" w:type="dxa"/>
            <w:tcBorders>
              <w:top w:val="single" w:color="000000" w:sz="4" w:space="0"/>
              <w:left w:val="single" w:color="000000" w:sz="4" w:space="0"/>
              <w:bottom w:val="single" w:color="000000" w:sz="4" w:space="0"/>
              <w:right w:val="single" w:color="000000" w:sz="4" w:space="0"/>
            </w:tcBorders>
            <w:vAlign w:val="center"/>
          </w:tcPr>
          <w:p w14:paraId="79E2027F">
            <w:pPr>
              <w:jc w:val="center"/>
              <w:rPr>
                <w:kern w:val="0"/>
                <w:szCs w:val="21"/>
              </w:rPr>
            </w:pPr>
            <w:r>
              <w:rPr>
                <w:rStyle w:val="60"/>
                <w:rFonts w:ascii="Times New Roman" w:hAnsi="Times New Roman"/>
                <w:kern w:val="0"/>
                <w:sz w:val="21"/>
                <w:szCs w:val="21"/>
              </w:rPr>
              <w:t>乙酸乙酯</w:t>
            </w:r>
          </w:p>
        </w:tc>
        <w:tc>
          <w:tcPr>
            <w:tcW w:w="1269" w:type="dxa"/>
            <w:tcBorders>
              <w:top w:val="single" w:color="000000" w:sz="4" w:space="0"/>
              <w:left w:val="single" w:color="000000" w:sz="4" w:space="0"/>
              <w:bottom w:val="single" w:color="000000" w:sz="4" w:space="0"/>
              <w:right w:val="single" w:color="000000" w:sz="4" w:space="0"/>
            </w:tcBorders>
            <w:vAlign w:val="center"/>
          </w:tcPr>
          <w:p w14:paraId="645AC872">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4AA1E598">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70B12170"/>
        </w:tc>
      </w:tr>
      <w:tr w14:paraId="51FB2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5402E786"/>
        </w:tc>
        <w:tc>
          <w:tcPr>
            <w:tcW w:w="1264" w:type="dxa"/>
            <w:vMerge w:val="continue"/>
            <w:tcBorders>
              <w:left w:val="single" w:color="000000" w:sz="4" w:space="0"/>
              <w:right w:val="single" w:color="000000" w:sz="4" w:space="0"/>
            </w:tcBorders>
          </w:tcPr>
          <w:p w14:paraId="5797B3F5"/>
        </w:tc>
        <w:tc>
          <w:tcPr>
            <w:tcW w:w="2271" w:type="dxa"/>
            <w:tcBorders>
              <w:top w:val="single" w:color="000000" w:sz="4" w:space="0"/>
              <w:left w:val="single" w:color="000000" w:sz="4" w:space="0"/>
              <w:bottom w:val="single" w:color="000000" w:sz="4" w:space="0"/>
              <w:right w:val="single" w:color="000000" w:sz="4" w:space="0"/>
            </w:tcBorders>
            <w:vAlign w:val="center"/>
          </w:tcPr>
          <w:p w14:paraId="1E0F12E5">
            <w:pPr>
              <w:jc w:val="center"/>
              <w:rPr>
                <w:kern w:val="0"/>
                <w:szCs w:val="21"/>
              </w:rPr>
            </w:pPr>
            <w:r>
              <w:rPr>
                <w:rStyle w:val="60"/>
                <w:rFonts w:ascii="Times New Roman" w:hAnsi="Times New Roman"/>
                <w:kern w:val="0"/>
                <w:sz w:val="21"/>
                <w:szCs w:val="21"/>
              </w:rPr>
              <w:t>甲醇</w:t>
            </w:r>
          </w:p>
        </w:tc>
        <w:tc>
          <w:tcPr>
            <w:tcW w:w="1269" w:type="dxa"/>
            <w:tcBorders>
              <w:top w:val="single" w:color="000000" w:sz="4" w:space="0"/>
              <w:left w:val="single" w:color="000000" w:sz="4" w:space="0"/>
              <w:bottom w:val="single" w:color="000000" w:sz="4" w:space="0"/>
              <w:right w:val="single" w:color="000000" w:sz="4" w:space="0"/>
            </w:tcBorders>
            <w:vAlign w:val="center"/>
          </w:tcPr>
          <w:p w14:paraId="3BED5635">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5D2C8290">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16F7138E"/>
        </w:tc>
      </w:tr>
      <w:tr w14:paraId="415E0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6F2BAC62"/>
        </w:tc>
        <w:tc>
          <w:tcPr>
            <w:tcW w:w="1264" w:type="dxa"/>
            <w:vMerge w:val="continue"/>
            <w:tcBorders>
              <w:left w:val="single" w:color="000000" w:sz="4" w:space="0"/>
              <w:right w:val="single" w:color="000000" w:sz="4" w:space="0"/>
            </w:tcBorders>
          </w:tcPr>
          <w:p w14:paraId="6E6EEFC9"/>
        </w:tc>
        <w:tc>
          <w:tcPr>
            <w:tcW w:w="2271" w:type="dxa"/>
            <w:tcBorders>
              <w:top w:val="single" w:color="000000" w:sz="4" w:space="0"/>
              <w:left w:val="single" w:color="000000" w:sz="4" w:space="0"/>
              <w:bottom w:val="single" w:color="000000" w:sz="4" w:space="0"/>
              <w:right w:val="single" w:color="000000" w:sz="4" w:space="0"/>
            </w:tcBorders>
            <w:vAlign w:val="center"/>
          </w:tcPr>
          <w:p w14:paraId="596FDA16">
            <w:pPr>
              <w:jc w:val="center"/>
              <w:rPr>
                <w:kern w:val="0"/>
                <w:szCs w:val="21"/>
              </w:rPr>
            </w:pPr>
            <w:r>
              <w:rPr>
                <w:rStyle w:val="60"/>
                <w:rFonts w:ascii="Times New Roman" w:hAnsi="Times New Roman"/>
                <w:kern w:val="0"/>
                <w:sz w:val="21"/>
                <w:szCs w:val="21"/>
              </w:rPr>
              <w:t>乙醇</w:t>
            </w:r>
          </w:p>
        </w:tc>
        <w:tc>
          <w:tcPr>
            <w:tcW w:w="1269" w:type="dxa"/>
            <w:tcBorders>
              <w:top w:val="single" w:color="000000" w:sz="4" w:space="0"/>
              <w:left w:val="single" w:color="000000" w:sz="4" w:space="0"/>
              <w:bottom w:val="single" w:color="000000" w:sz="4" w:space="0"/>
              <w:right w:val="single" w:color="000000" w:sz="4" w:space="0"/>
            </w:tcBorders>
            <w:vAlign w:val="center"/>
          </w:tcPr>
          <w:p w14:paraId="263B46D9">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19454AA7">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07660C11"/>
        </w:tc>
      </w:tr>
      <w:tr w14:paraId="742C1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36675499"/>
        </w:tc>
        <w:tc>
          <w:tcPr>
            <w:tcW w:w="1264" w:type="dxa"/>
            <w:vMerge w:val="continue"/>
            <w:tcBorders>
              <w:left w:val="single" w:color="000000" w:sz="4" w:space="0"/>
              <w:right w:val="single" w:color="000000" w:sz="4" w:space="0"/>
            </w:tcBorders>
          </w:tcPr>
          <w:p w14:paraId="6FA8C930"/>
        </w:tc>
        <w:tc>
          <w:tcPr>
            <w:tcW w:w="2271" w:type="dxa"/>
            <w:tcBorders>
              <w:top w:val="single" w:color="000000" w:sz="4" w:space="0"/>
              <w:left w:val="single" w:color="000000" w:sz="4" w:space="0"/>
              <w:bottom w:val="single" w:color="000000" w:sz="4" w:space="0"/>
              <w:right w:val="single" w:color="000000" w:sz="4" w:space="0"/>
            </w:tcBorders>
            <w:vAlign w:val="center"/>
          </w:tcPr>
          <w:p w14:paraId="00D34DB0">
            <w:pPr>
              <w:jc w:val="center"/>
              <w:rPr>
                <w:kern w:val="0"/>
                <w:szCs w:val="21"/>
              </w:rPr>
            </w:pPr>
            <w:r>
              <w:rPr>
                <w:rStyle w:val="60"/>
                <w:rFonts w:ascii="Times New Roman" w:hAnsi="Times New Roman"/>
                <w:kern w:val="0"/>
                <w:sz w:val="21"/>
                <w:szCs w:val="21"/>
              </w:rPr>
              <w:t>甲苯</w:t>
            </w:r>
          </w:p>
        </w:tc>
        <w:tc>
          <w:tcPr>
            <w:tcW w:w="1269" w:type="dxa"/>
            <w:tcBorders>
              <w:top w:val="single" w:color="000000" w:sz="4" w:space="0"/>
              <w:left w:val="single" w:color="000000" w:sz="4" w:space="0"/>
              <w:bottom w:val="single" w:color="000000" w:sz="4" w:space="0"/>
              <w:right w:val="single" w:color="000000" w:sz="4" w:space="0"/>
            </w:tcBorders>
            <w:vAlign w:val="center"/>
          </w:tcPr>
          <w:p w14:paraId="325D2B95">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645BFD99">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532BE64A"/>
        </w:tc>
      </w:tr>
      <w:tr w14:paraId="53074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7B5D59CB"/>
        </w:tc>
        <w:tc>
          <w:tcPr>
            <w:tcW w:w="1264" w:type="dxa"/>
            <w:vMerge w:val="continue"/>
            <w:tcBorders>
              <w:left w:val="single" w:color="000000" w:sz="4" w:space="0"/>
              <w:right w:val="single" w:color="000000" w:sz="4" w:space="0"/>
            </w:tcBorders>
          </w:tcPr>
          <w:p w14:paraId="0923B1C4"/>
        </w:tc>
        <w:tc>
          <w:tcPr>
            <w:tcW w:w="2271" w:type="dxa"/>
            <w:tcBorders>
              <w:top w:val="single" w:color="000000" w:sz="4" w:space="0"/>
              <w:left w:val="single" w:color="000000" w:sz="4" w:space="0"/>
              <w:bottom w:val="single" w:color="000000" w:sz="4" w:space="0"/>
              <w:right w:val="single" w:color="000000" w:sz="4" w:space="0"/>
            </w:tcBorders>
            <w:vAlign w:val="center"/>
          </w:tcPr>
          <w:p w14:paraId="05FC858E">
            <w:pPr>
              <w:jc w:val="center"/>
              <w:rPr>
                <w:kern w:val="0"/>
                <w:szCs w:val="21"/>
              </w:rPr>
            </w:pPr>
            <w:r>
              <w:rPr>
                <w:rStyle w:val="60"/>
                <w:rFonts w:ascii="Times New Roman" w:hAnsi="Times New Roman"/>
                <w:kern w:val="0"/>
                <w:sz w:val="21"/>
                <w:szCs w:val="21"/>
              </w:rPr>
              <w:t>醋酐</w:t>
            </w:r>
          </w:p>
        </w:tc>
        <w:tc>
          <w:tcPr>
            <w:tcW w:w="1269" w:type="dxa"/>
            <w:tcBorders>
              <w:top w:val="single" w:color="000000" w:sz="4" w:space="0"/>
              <w:left w:val="single" w:color="000000" w:sz="4" w:space="0"/>
              <w:bottom w:val="single" w:color="000000" w:sz="4" w:space="0"/>
              <w:right w:val="single" w:color="000000" w:sz="4" w:space="0"/>
            </w:tcBorders>
            <w:vAlign w:val="center"/>
          </w:tcPr>
          <w:p w14:paraId="30626B35">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1DEA75A1">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7A07750B"/>
        </w:tc>
      </w:tr>
      <w:tr w14:paraId="3A9B6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2B31FA9F"/>
        </w:tc>
        <w:tc>
          <w:tcPr>
            <w:tcW w:w="1264" w:type="dxa"/>
            <w:vMerge w:val="continue"/>
            <w:tcBorders>
              <w:left w:val="single" w:color="000000" w:sz="4" w:space="0"/>
              <w:right w:val="single" w:color="000000" w:sz="4" w:space="0"/>
            </w:tcBorders>
          </w:tcPr>
          <w:p w14:paraId="057C69D2"/>
        </w:tc>
        <w:tc>
          <w:tcPr>
            <w:tcW w:w="2271" w:type="dxa"/>
            <w:tcBorders>
              <w:top w:val="single" w:color="000000" w:sz="4" w:space="0"/>
              <w:left w:val="single" w:color="000000" w:sz="4" w:space="0"/>
              <w:bottom w:val="single" w:color="000000" w:sz="4" w:space="0"/>
              <w:right w:val="single" w:color="000000" w:sz="4" w:space="0"/>
            </w:tcBorders>
            <w:vAlign w:val="center"/>
          </w:tcPr>
          <w:p w14:paraId="7056A1E5">
            <w:pPr>
              <w:jc w:val="center"/>
              <w:rPr>
                <w:kern w:val="0"/>
                <w:szCs w:val="21"/>
              </w:rPr>
            </w:pPr>
            <w:r>
              <w:rPr>
                <w:rStyle w:val="60"/>
                <w:rFonts w:ascii="Times New Roman" w:hAnsi="Times New Roman"/>
                <w:kern w:val="0"/>
                <w:sz w:val="21"/>
                <w:szCs w:val="21"/>
              </w:rPr>
              <w:t>二氯甲烷</w:t>
            </w:r>
          </w:p>
        </w:tc>
        <w:tc>
          <w:tcPr>
            <w:tcW w:w="1269" w:type="dxa"/>
            <w:tcBorders>
              <w:top w:val="single" w:color="000000" w:sz="4" w:space="0"/>
              <w:left w:val="single" w:color="000000" w:sz="4" w:space="0"/>
              <w:bottom w:val="single" w:color="000000" w:sz="4" w:space="0"/>
              <w:right w:val="single" w:color="000000" w:sz="4" w:space="0"/>
            </w:tcBorders>
            <w:vAlign w:val="center"/>
          </w:tcPr>
          <w:p w14:paraId="48C53D62">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5E162C8C">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533E4451"/>
        </w:tc>
      </w:tr>
      <w:tr w14:paraId="065A3D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550" w:type="dxa"/>
            <w:vMerge w:val="continue"/>
            <w:tcBorders>
              <w:right w:val="single" w:color="000000" w:sz="4" w:space="0"/>
            </w:tcBorders>
          </w:tcPr>
          <w:p w14:paraId="02AA1EC1"/>
        </w:tc>
        <w:tc>
          <w:tcPr>
            <w:tcW w:w="1264" w:type="dxa"/>
            <w:vMerge w:val="continue"/>
            <w:tcBorders>
              <w:left w:val="single" w:color="000000" w:sz="4" w:space="0"/>
              <w:right w:val="single" w:color="000000" w:sz="4" w:space="0"/>
            </w:tcBorders>
          </w:tcPr>
          <w:p w14:paraId="6F5BEB70"/>
        </w:tc>
        <w:tc>
          <w:tcPr>
            <w:tcW w:w="2271" w:type="dxa"/>
            <w:tcBorders>
              <w:top w:val="single" w:color="000000" w:sz="4" w:space="0"/>
              <w:left w:val="single" w:color="000000" w:sz="4" w:space="0"/>
              <w:bottom w:val="single" w:color="000000" w:sz="4" w:space="0"/>
              <w:right w:val="single" w:color="000000" w:sz="4" w:space="0"/>
            </w:tcBorders>
            <w:vAlign w:val="center"/>
          </w:tcPr>
          <w:p w14:paraId="01E864FA">
            <w:pPr>
              <w:jc w:val="center"/>
              <w:rPr>
                <w:kern w:val="0"/>
                <w:szCs w:val="21"/>
              </w:rPr>
            </w:pPr>
            <w:r>
              <w:rPr>
                <w:rStyle w:val="60"/>
                <w:rFonts w:ascii="Times New Roman" w:hAnsi="Times New Roman"/>
                <w:kern w:val="0"/>
                <w:sz w:val="21"/>
                <w:szCs w:val="21"/>
              </w:rPr>
              <w:t>N-甲基吗啉</w:t>
            </w:r>
          </w:p>
        </w:tc>
        <w:tc>
          <w:tcPr>
            <w:tcW w:w="1269" w:type="dxa"/>
            <w:tcBorders>
              <w:top w:val="single" w:color="000000" w:sz="4" w:space="0"/>
              <w:left w:val="single" w:color="000000" w:sz="4" w:space="0"/>
              <w:bottom w:val="single" w:color="000000" w:sz="4" w:space="0"/>
              <w:right w:val="single" w:color="000000" w:sz="4" w:space="0"/>
            </w:tcBorders>
            <w:vAlign w:val="center"/>
          </w:tcPr>
          <w:p w14:paraId="227CF88E">
            <w:pPr>
              <w:jc w:val="center"/>
              <w:rPr>
                <w:kern w:val="0"/>
                <w:szCs w:val="21"/>
              </w:rPr>
            </w:pPr>
            <w:r>
              <w:rPr>
                <w:rStyle w:val="60"/>
                <w:rFonts w:ascii="Times New Roman" w:hAnsi="Times New Roman"/>
                <w:kern w:val="0"/>
                <w:sz w:val="21"/>
                <w:szCs w:val="21"/>
              </w:rPr>
              <w:t>50m³</w:t>
            </w:r>
          </w:p>
        </w:tc>
        <w:tc>
          <w:tcPr>
            <w:tcW w:w="1421" w:type="dxa"/>
            <w:tcBorders>
              <w:top w:val="single" w:color="000000" w:sz="4" w:space="0"/>
              <w:left w:val="single" w:color="000000" w:sz="4" w:space="0"/>
              <w:bottom w:val="single" w:color="000000" w:sz="4" w:space="0"/>
              <w:right w:val="single" w:color="000000" w:sz="4" w:space="0"/>
            </w:tcBorders>
            <w:vAlign w:val="center"/>
          </w:tcPr>
          <w:p w14:paraId="7465CD60">
            <w:pPr>
              <w:jc w:val="center"/>
              <w:rPr>
                <w:kern w:val="0"/>
                <w:szCs w:val="21"/>
              </w:rPr>
            </w:pPr>
            <w:r>
              <w:rPr>
                <w:rStyle w:val="60"/>
                <w:rFonts w:ascii="Times New Roman" w:hAnsi="Times New Roman"/>
                <w:kern w:val="0"/>
                <w:sz w:val="21"/>
                <w:szCs w:val="21"/>
              </w:rPr>
              <w:t>1</w:t>
            </w:r>
          </w:p>
        </w:tc>
        <w:tc>
          <w:tcPr>
            <w:tcW w:w="1899" w:type="dxa"/>
            <w:vMerge w:val="continue"/>
            <w:tcBorders>
              <w:left w:val="single" w:color="000000" w:sz="4" w:space="0"/>
            </w:tcBorders>
          </w:tcPr>
          <w:p w14:paraId="152B83D4"/>
        </w:tc>
      </w:tr>
    </w:tbl>
    <w:p w14:paraId="7C15DF63">
      <w:pPr>
        <w:pStyle w:val="4"/>
        <w:spacing w:before="156" w:after="156"/>
        <w:rPr>
          <w:rFonts w:ascii="Times New Roman" w:hAnsi="Times New Roman"/>
          <w:sz w:val="24"/>
          <w:szCs w:val="24"/>
        </w:rPr>
      </w:pPr>
      <w:bookmarkStart w:id="147" w:name="_Toc293"/>
      <w:bookmarkStart w:id="148" w:name="_Toc449277630"/>
      <w:bookmarkStart w:id="149" w:name="_Toc1628649"/>
      <w:r>
        <w:rPr>
          <w:rFonts w:ascii="Times New Roman" w:hAnsi="Times New Roman"/>
          <w:sz w:val="24"/>
          <w:szCs w:val="24"/>
        </w:rPr>
        <w:t>7.2安全规划的目的</w:t>
      </w:r>
      <w:bookmarkEnd w:id="139"/>
      <w:bookmarkEnd w:id="147"/>
      <w:bookmarkEnd w:id="148"/>
      <w:bookmarkEnd w:id="149"/>
      <w:r>
        <w:rPr>
          <w:rFonts w:ascii="Times New Roman" w:hAnsi="Times New Roman"/>
          <w:sz w:val="24"/>
          <w:szCs w:val="24"/>
        </w:rPr>
        <w:tab/>
      </w:r>
    </w:p>
    <w:p w14:paraId="082EBB86">
      <w:pPr>
        <w:widowControl/>
        <w:spacing w:line="360" w:lineRule="auto"/>
        <w:ind w:firstLine="480" w:firstLineChars="200"/>
        <w:jc w:val="left"/>
        <w:rPr>
          <w:sz w:val="24"/>
        </w:rPr>
      </w:pPr>
      <w:r>
        <w:rPr>
          <w:sz w:val="24"/>
        </w:rPr>
        <w:t>安全规划是为促进化工园区工业生产过程安全和经济社会协调发展，而对化工园区自身发展活动所做的时间和空间上的合理安排。安全规划在于调控人类自身的活动，减少危险，防止事故发生，尽可能降低事故发生后化工园区企业的相互影响，减少或免除事故发生对周边环境和社会的影响，从而实现化工园区经济和社会持续稳定发展。</w:t>
      </w:r>
    </w:p>
    <w:p w14:paraId="3DE1E011">
      <w:pPr>
        <w:pStyle w:val="4"/>
        <w:spacing w:before="156" w:after="156"/>
        <w:rPr>
          <w:rFonts w:ascii="Times New Roman" w:hAnsi="Times New Roman"/>
          <w:sz w:val="24"/>
          <w:szCs w:val="24"/>
        </w:rPr>
      </w:pPr>
      <w:bookmarkStart w:id="150" w:name="_Toc437032082"/>
      <w:bookmarkStart w:id="151" w:name="_Toc1628650"/>
      <w:bookmarkStart w:id="152" w:name="_Toc449277631"/>
      <w:bookmarkStart w:id="153" w:name="_Toc4333"/>
      <w:r>
        <w:rPr>
          <w:rFonts w:ascii="Times New Roman" w:hAnsi="Times New Roman"/>
          <w:sz w:val="24"/>
          <w:szCs w:val="24"/>
        </w:rPr>
        <w:t>7.3安全规划的依据</w:t>
      </w:r>
      <w:bookmarkEnd w:id="150"/>
      <w:bookmarkEnd w:id="151"/>
      <w:bookmarkEnd w:id="152"/>
      <w:bookmarkEnd w:id="153"/>
    </w:p>
    <w:p w14:paraId="5CD6C791">
      <w:pPr>
        <w:pStyle w:val="5"/>
        <w:rPr>
          <w:rFonts w:eastAsiaTheme="minorEastAsia"/>
          <w:smallCaps/>
          <w:sz w:val="24"/>
          <w:szCs w:val="24"/>
        </w:rPr>
      </w:pPr>
      <w:bookmarkStart w:id="154" w:name="_Toc449277632"/>
      <w:bookmarkStart w:id="155" w:name="_Toc1628651"/>
      <w:bookmarkStart w:id="156" w:name="_Toc437032083"/>
      <w:r>
        <w:rPr>
          <w:rFonts w:eastAsiaTheme="minorEastAsia"/>
          <w:smallCaps/>
          <w:sz w:val="24"/>
          <w:szCs w:val="24"/>
          <w:u w:val="single"/>
        </w:rPr>
        <w:t>7.3.1法律</w:t>
      </w:r>
    </w:p>
    <w:p w14:paraId="356DB886">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《中华人民共和国安全生产法》(2021年6月10日修正版)（中华人民共和国主席令第88号）</w:t>
      </w:r>
    </w:p>
    <w:p w14:paraId="5CBCF319">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《中华人民共和国劳动法》(2018年12月29日修正版)（中华人民共和国主席令第24号）</w:t>
      </w:r>
    </w:p>
    <w:p w14:paraId="7B25014C">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《中华人民共和国消防法（2021年4月29日修正版）》（中华人民共和国主席令第29号，2019修订）</w:t>
      </w:r>
    </w:p>
    <w:p w14:paraId="0E50941F">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《中华人民共和国职业病防治法（2018年修正本）》（中华人民共和国主席令第24号，2018）</w:t>
      </w:r>
    </w:p>
    <w:p w14:paraId="49C2173B">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w:t>
      </w:r>
      <w:r>
        <w:fldChar w:fldCharType="begin"/>
      </w:r>
      <w:r>
        <w:instrText xml:space="preserve"> HYPERLINK "http://baike.baidu.com/view/9282884.htm" \t "_blank" </w:instrText>
      </w:r>
      <w:r>
        <w:fldChar w:fldCharType="separate"/>
      </w:r>
      <w:r>
        <w:rPr>
          <w:rFonts w:eastAsiaTheme="minorEastAsia"/>
          <w:sz w:val="24"/>
          <w:szCs w:val="24"/>
        </w:rPr>
        <w:t>中华人民共和国特种设备安全法</w:t>
      </w:r>
      <w:r>
        <w:rPr>
          <w:rFonts w:eastAsiaTheme="minorEastAsia"/>
          <w:sz w:val="24"/>
          <w:szCs w:val="24"/>
        </w:rPr>
        <w:fldChar w:fldCharType="end"/>
      </w:r>
      <w:r>
        <w:rPr>
          <w:rFonts w:eastAsiaTheme="minorEastAsia"/>
          <w:sz w:val="24"/>
          <w:szCs w:val="24"/>
        </w:rPr>
        <w:t>》（2013）（中华人民共和国主席令第4号）</w:t>
      </w:r>
    </w:p>
    <w:p w14:paraId="085D733C">
      <w:pPr>
        <w:numPr>
          <w:ilvl w:val="0"/>
          <w:numId w:val="11"/>
        </w:numPr>
        <w:tabs>
          <w:tab w:val="left" w:pos="360"/>
          <w:tab w:val="left" w:pos="420"/>
          <w:tab w:val="left" w:pos="824"/>
        </w:tabs>
        <w:spacing w:line="360" w:lineRule="auto"/>
        <w:ind w:left="0" w:firstLine="0"/>
        <w:rPr>
          <w:rFonts w:eastAsiaTheme="minorEastAsia"/>
          <w:sz w:val="24"/>
          <w:szCs w:val="24"/>
        </w:rPr>
      </w:pPr>
      <w:r>
        <w:rPr>
          <w:rFonts w:eastAsiaTheme="minorEastAsia"/>
          <w:sz w:val="24"/>
          <w:szCs w:val="24"/>
        </w:rPr>
        <w:t>《中华人民共和国突发事件应对法》（中华人民共和国主席令第69号）</w:t>
      </w:r>
    </w:p>
    <w:p w14:paraId="6071D985">
      <w:pPr>
        <w:pStyle w:val="5"/>
        <w:rPr>
          <w:rFonts w:eastAsiaTheme="minorEastAsia"/>
          <w:smallCaps/>
          <w:sz w:val="24"/>
          <w:szCs w:val="24"/>
        </w:rPr>
      </w:pPr>
      <w:bookmarkStart w:id="157" w:name="_Toc78811820"/>
      <w:r>
        <w:rPr>
          <w:rFonts w:eastAsiaTheme="minorEastAsia"/>
          <w:smallCaps/>
          <w:sz w:val="24"/>
          <w:szCs w:val="24"/>
          <w:u w:val="single"/>
        </w:rPr>
        <w:t>7.3.2法规</w:t>
      </w:r>
      <w:bookmarkEnd w:id="157"/>
    </w:p>
    <w:p w14:paraId="1FBD3640">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《危险化学品安全管理条例》（中华人民共和国国务院令第591号，2013年修正）</w:t>
      </w:r>
    </w:p>
    <w:p w14:paraId="57C0F1AE">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《易制毒化学品管理条例》(2018修正) （国务院令第445号）</w:t>
      </w:r>
    </w:p>
    <w:p w14:paraId="4981C8C7">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《使用有毒物品作业场所劳动保护条例》（国务院令第352号）</w:t>
      </w:r>
    </w:p>
    <w:p w14:paraId="6C87177A">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《国务院关于修改〈特种设备安全监察条例〉的决定》（国务院令第549号）</w:t>
      </w:r>
    </w:p>
    <w:p w14:paraId="025498FC">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《安全生产许可证条例》（国务院令第397号）</w:t>
      </w:r>
    </w:p>
    <w:p w14:paraId="673C1195">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《国务院关于进一步加强企业安全生产工作的通知》（国发[2010]23号）</w:t>
      </w:r>
    </w:p>
    <w:p w14:paraId="6F33B556">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国家安监总局、工业和信息化部关于危险化学品企业贯彻落实《国务院关于进一步加强企业安全生产工作的通知》的实施意见（原安监总管三〔2010〕186号）</w:t>
      </w:r>
    </w:p>
    <w:p w14:paraId="3CF78486">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《国务院关于修改《工伤保险条例》的决定》（国务院令第586号）</w:t>
      </w:r>
    </w:p>
    <w:p w14:paraId="65ED0AA1">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《国务院关于进一步加强安全生产工作的决定》（国发[2004]2号）</w:t>
      </w:r>
    </w:p>
    <w:p w14:paraId="6F1A302C">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《突发公共卫生事件应急条例》（国务院第376号令）</w:t>
      </w:r>
    </w:p>
    <w:p w14:paraId="5086A8EC">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《公路安全保护条例》（中华人民共和国国务院令第593号）</w:t>
      </w:r>
    </w:p>
    <w:p w14:paraId="5184BD8D">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《监控化学品管理条例》（国务院令第190号）</w:t>
      </w:r>
    </w:p>
    <w:p w14:paraId="0B900CE2">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《安徽省安全生产条例》（2017年9月29日安徽省第十二届人民代表大会常务委员会第四十次会议修订，自2017年12月1日起施行）</w:t>
      </w:r>
    </w:p>
    <w:p w14:paraId="0078A23A">
      <w:pPr>
        <w:numPr>
          <w:ilvl w:val="0"/>
          <w:numId w:val="12"/>
        </w:numPr>
        <w:tabs>
          <w:tab w:val="left" w:pos="360"/>
          <w:tab w:val="left" w:pos="824"/>
        </w:tabs>
        <w:spacing w:line="360" w:lineRule="auto"/>
        <w:rPr>
          <w:rFonts w:eastAsiaTheme="minorEastAsia"/>
          <w:sz w:val="24"/>
          <w:szCs w:val="24"/>
        </w:rPr>
      </w:pPr>
      <w:r>
        <w:rPr>
          <w:rFonts w:eastAsiaTheme="minorEastAsia"/>
          <w:sz w:val="24"/>
          <w:szCs w:val="24"/>
        </w:rPr>
        <w:t>《安徽省消防条例》（2010年8月21日安徽省第十一届人民代表大会常务委员会第二十次会议通过，自2010年11月9日起施行）</w:t>
      </w:r>
    </w:p>
    <w:p w14:paraId="38FCF08C">
      <w:pPr>
        <w:pStyle w:val="5"/>
        <w:rPr>
          <w:rFonts w:eastAsiaTheme="minorEastAsia"/>
          <w:smallCaps/>
          <w:sz w:val="24"/>
          <w:szCs w:val="24"/>
          <w:u w:val="single"/>
        </w:rPr>
      </w:pPr>
      <w:bookmarkStart w:id="158" w:name="_Toc78811821"/>
      <w:r>
        <w:rPr>
          <w:rFonts w:eastAsiaTheme="minorEastAsia"/>
          <w:smallCaps/>
          <w:sz w:val="24"/>
          <w:szCs w:val="24"/>
          <w:u w:val="single"/>
        </w:rPr>
        <w:t>7.3.3部门规章、规范性文件</w:t>
      </w:r>
      <w:bookmarkEnd w:id="158"/>
    </w:p>
    <w:p w14:paraId="05CD189F">
      <w:pPr>
        <w:spacing w:line="360" w:lineRule="auto"/>
        <w:ind w:firstLine="482" w:firstLineChars="200"/>
        <w:rPr>
          <w:rFonts w:eastAsiaTheme="minorEastAsia"/>
          <w:b/>
          <w:sz w:val="24"/>
          <w:szCs w:val="24"/>
        </w:rPr>
      </w:pPr>
      <w:r>
        <w:rPr>
          <w:rFonts w:eastAsiaTheme="minorEastAsia"/>
          <w:b/>
          <w:sz w:val="24"/>
          <w:szCs w:val="24"/>
        </w:rPr>
        <w:t>一．国务院及所属部委发布的规章、文件</w:t>
      </w:r>
    </w:p>
    <w:p w14:paraId="67CCF1DF">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《危险化学品建设项目安全设施设计专篇编制导则》（原安监总厅管三〔2013〕39号）</w:t>
      </w:r>
    </w:p>
    <w:p w14:paraId="6C5F116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《应急管理部关于印发危险化学品生产储存企业安全风险评估诊断分级指南（试行）的通知》（应急〔2018〕19号）</w:t>
      </w:r>
    </w:p>
    <w:p w14:paraId="2BF3605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《应急管理部关于全面实施危险化学品企业安全风险研判与承诺公告制度的通知》（应急〔2018〕74号）</w:t>
      </w:r>
    </w:p>
    <w:p w14:paraId="38DDBCC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《国务院办公厅关于印发危险化学品安全综合治理方案的通知》（国办发〔2016〕88号）</w:t>
      </w:r>
    </w:p>
    <w:p w14:paraId="5F185AD8">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《关于印发&lt;安全生产责任保险实施办法&gt;的通知》（原安监总办〔2017〕140号）</w:t>
      </w:r>
    </w:p>
    <w:p w14:paraId="549F42FF">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《生产经营单位安全培训规定》（原国家安全监管总局令第3号，2015年修订）</w:t>
      </w:r>
    </w:p>
    <w:p w14:paraId="01DB6F8F">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《安全生产事故隐患排查治理暂行规定》（原国家安全生产监督管理总局令第16号）</w:t>
      </w:r>
    </w:p>
    <w:p w14:paraId="05D94DBC">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《特种作业人员安全技术培训考核管理规定》（原国家安全生产监督管理总局令第30号，2015年修订）</w:t>
      </w:r>
    </w:p>
    <w:p w14:paraId="46CEF41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《建设项目安全设施“三同时”监督管理办法》（原国家安全监管总局令36号，2015年修订）</w:t>
      </w:r>
    </w:p>
    <w:p w14:paraId="3FDAD2C0">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《国家安全监管总局关于修改&lt;&lt;生产安全事故报告和调查处理条例&gt;罚款处罚暂行规定&gt;部分条款的决定》（原国家安全监管总局令第42号）</w:t>
      </w:r>
    </w:p>
    <w:p w14:paraId="25DF80A2">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《安全生产培训管理办法》（原国家安全监管总局令第44号，2015年修订）</w:t>
      </w:r>
    </w:p>
    <w:p w14:paraId="592BE48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《危险化学品建设项目安全监督管理办法》（原国家安全监管总局令第45号，2015年修订）</w:t>
      </w:r>
    </w:p>
    <w:p w14:paraId="7EAACBC2">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《工作场所职业卫生监督管理规定》（原国家安全监管总局令第47号）</w:t>
      </w:r>
    </w:p>
    <w:p w14:paraId="53A8450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《国家安全监管总局关于修改〈生产经营单位安全培训规定〉等11件规章的决定》（原国家安全监管总局令第63号）</w:t>
      </w:r>
    </w:p>
    <w:p w14:paraId="35476DFD">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《国家安全监管总局关于修改生产安全事故报告和调查处理条例罚款处罚暂行规定等四部规章的决定》（原国家安全监管总局令第77号）</w:t>
      </w:r>
    </w:p>
    <w:p w14:paraId="6C7F0AD4">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《生产安全事故应急预案管理办法》（原国家安全生产监督管理总局令第88号发布，应急管理部令第2号修改，2019年9月1日起施行）</w:t>
      </w:r>
    </w:p>
    <w:p w14:paraId="32C29199">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《危险化学品目录》（2015版，原国家安全监管总局会同工业和信息化部、公安部、环境保护部、交通运输部、农业部、国家卫生计生委、质检总局、铁路局、民航局公告〔2015〕第5号）</w:t>
      </w:r>
    </w:p>
    <w:p w14:paraId="4C0F00F5">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《危险化学品生产、储存装置个人可接受风险标准和社会可接受风险标准（试行）》（原国家安全监管总局公告﹝2014﹞第13号）</w:t>
      </w:r>
    </w:p>
    <w:p w14:paraId="5BBAA80E">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《推广先进和淘汰落后安全技术装备目录（第二批）》（原国家安全监管总局、中华人民共和国科技部、中华人民共和国工业和信息化部〔2017〕19号公告）</w:t>
      </w:r>
    </w:p>
    <w:p w14:paraId="1DA8E005">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《淘汰落后安全技术工艺、设备目录（2016年）》（原安监总科技〔2016〕137号）</w:t>
      </w:r>
    </w:p>
    <w:p w14:paraId="7F68DC10">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《国家安全监管总局关于印发淘汰落后安全技术装备目录（2015年第一批）的通知》（原安监总科技〔2015〕75号）</w:t>
      </w:r>
    </w:p>
    <w:p w14:paraId="756D9A2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《国家安全监管总局关于开展“机械化换人、自动化减人”科技强安专项行动的通知》（原安监总科技〔2015〕63号）</w:t>
      </w:r>
    </w:p>
    <w:p w14:paraId="6599F47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《国家安全监管总局办公厅关于印发用人单位劳动防护用品管理规范的通知》（原安监总厅安健〔2015〕124号）</w:t>
      </w:r>
    </w:p>
    <w:p w14:paraId="40ED92F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《国家安全监管总局办公厅关于修改用人单位劳动防护用品管理规范的通知》(原安监总厅安健〔2018〕3号)</w:t>
      </w:r>
    </w:p>
    <w:p w14:paraId="658F3FD4">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《国家安全监管总局办公厅关于印发危险化学品目录（2015版）实施指南（试行）的通知》（原安监总厅管三〔2015〕80号）</w:t>
      </w:r>
    </w:p>
    <w:p w14:paraId="6458B6F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《国家安全监管总局关于公布首批重点监管的危险化学品名录的通知》（原安监总管三〔2011〕95号）</w:t>
      </w:r>
    </w:p>
    <w:p w14:paraId="3867370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《国家安全监管总局关于公布第二批重点监管危险化学品名录的通知》（原安监总管三〔2013〕12号）</w:t>
      </w:r>
    </w:p>
    <w:p w14:paraId="36D31BD0">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《关于公布首批重点监管的危险化工工艺目录的通知》（原安监总管三〔2009〕116号）</w:t>
      </w:r>
    </w:p>
    <w:p w14:paraId="60F2335E">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《国家安全监管总局关于公布第二批重点监管危险化工工艺目录和调整首批重点监管危险化工工艺中部分典型工艺的通知》（原安监总管三〔2013〕3号）</w:t>
      </w:r>
    </w:p>
    <w:p w14:paraId="1604ED4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《化工和危险化学品生产经营单位重大生产安全事故隐患判定标准（试行）》（原安监总管三〔2017〕121号）</w:t>
      </w:r>
    </w:p>
    <w:p w14:paraId="01318B05">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《国家安全监管总局关于印发遏制危险化学品和烟花爆竹重特大事故工作意见的通知》（原安监总管三〔2016〕62号）</w:t>
      </w:r>
    </w:p>
    <w:p w14:paraId="03FAEBE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《国家安全监管总局关于进一步严格危险化学品和化工企业安全生产监督管理的通知》（原安监总管三〔2014〕46号）</w:t>
      </w:r>
    </w:p>
    <w:p w14:paraId="2E61777C">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《国家安全监管总局关于加强化工企业泄漏管理的指导意见》（原安监总管三〔2014〕94号）</w:t>
      </w:r>
    </w:p>
    <w:p w14:paraId="2B1FFF01">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《国家安全监管总局关于加强化工安全仪表系统管理的指导意见》（原安监总管三〔2014〕116号）</w:t>
      </w:r>
    </w:p>
    <w:p w14:paraId="509B03C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《国家安全监管总局住房城乡建设部关于进一步加强危险化学品建设项目安全设计管理的通知》（原安监总管三〔2013〕76号）</w:t>
      </w:r>
    </w:p>
    <w:p w14:paraId="12EF786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《国家安全监管总局关于加强化工过程安全管理的指导意见》（原安监总管三〔2013〕88号）</w:t>
      </w:r>
    </w:p>
    <w:p w14:paraId="1863DFEC">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《关于危险化学品企业贯彻落实&lt;国务院关于进一步加强企业安全生产工作的通知&gt;的实施意见》（原安监总管三〔2010〕186号）</w:t>
      </w:r>
    </w:p>
    <w:p w14:paraId="0B87365D">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《国务院安委会办公室关于实施遏制重特大事故工作指南全面加强安全生产源头管控和安全准入工作的指导意见》（原安委办〔2017〕7号）</w:t>
      </w:r>
    </w:p>
    <w:p w14:paraId="36FFFC7B">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《国务院安委会办公室关于印发标本兼治遏制重特大事故工作指南的通知》（安委办〔2016〕3号）</w:t>
      </w:r>
    </w:p>
    <w:p w14:paraId="746F1A4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《涉及危险化学品安全风险的行业品种目录》（安委〔2016〕7号）</w:t>
      </w:r>
    </w:p>
    <w:p w14:paraId="5A32DAA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《易制爆危险化学品名录（2017年版）》（中华人民共和国公安部公告）</w:t>
      </w:r>
    </w:p>
    <w:p w14:paraId="0E1862F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《各类监控化学品名录》（2020年版，工业和信息化部第52号令）</w:t>
      </w:r>
    </w:p>
    <w:p w14:paraId="478D7F6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《中华人民共和国监控化学品管理条例实施细则》（中华人民共和国工业和信息化部令第48号）</w:t>
      </w:r>
    </w:p>
    <w:p w14:paraId="7464D5D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《建设工程消防监督管理规定》（中华人民共和国公安部令第106号）</w:t>
      </w:r>
    </w:p>
    <w:p w14:paraId="7724F75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《公安部关于修改&lt;建设工程消防监督管理规定&gt;的决定》（中华人民共和国公安部令第119号）</w:t>
      </w:r>
    </w:p>
    <w:p w14:paraId="137DE95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《产业结构调整指导目录》（2019年本）</w:t>
      </w:r>
    </w:p>
    <w:p w14:paraId="5171FBC1">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《市场监管总局关于特种设备行政许可有关事项的公告》（2019年第3号）</w:t>
      </w:r>
    </w:p>
    <w:p w14:paraId="7AB5CE7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《高毒物品目录》（卫法监发〔2003〕142号）</w:t>
      </w:r>
    </w:p>
    <w:p w14:paraId="0B2721B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《特别管控危险化学品目录（第一版）》（应急管理部、工业和信息化部、公安部、交通运输部  2020年第1号）</w:t>
      </w:r>
    </w:p>
    <w:p w14:paraId="6F5EDED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《工贸企业有限空间作业安全管理与监督暂行规定》（原国家安监总局令第80号修正）</w:t>
      </w:r>
    </w:p>
    <w:p w14:paraId="5097F289">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《国家安全监管总局办公厅关于印发危险化学品安全生产许可文书的通知》（原安监总厅管三〔2012〕43号）</w:t>
      </w:r>
    </w:p>
    <w:p w14:paraId="60D58945">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《危险化学品安全使用许可证实施办法》（原安监总局令[2012]第57号，2015年修订）</w:t>
      </w:r>
    </w:p>
    <w:p w14:paraId="6901F1F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《危险化学品生产企业安全生产许可证实施办法》（原安监总局令[2012]第41号，2015年修订）</w:t>
      </w:r>
    </w:p>
    <w:p w14:paraId="660E37DC">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《关于印发企业安全生产责任体系五落实五到位规定的通知》（原安监总办〔2015〕27号）</w:t>
      </w:r>
    </w:p>
    <w:p w14:paraId="5BDBCC0B">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《危险化学品使用量的数量标准》（2013年版）</w:t>
      </w:r>
    </w:p>
    <w:p w14:paraId="283704B8">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《质检总局关于修订〈特种设备目录〉的公告》（国家质检总局2014年第114号）</w:t>
      </w:r>
    </w:p>
    <w:p w14:paraId="6E6B0F17">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《特种设备作业人员监督管理办法》（国家质检总局第140号令）</w:t>
      </w:r>
    </w:p>
    <w:p w14:paraId="32C3F93A">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《药品类易制毒化学品管理办法》（中华人民共和国卫生部令第72号）</w:t>
      </w:r>
    </w:p>
    <w:p w14:paraId="680D5D7E">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《国家安全监管总局办公厅关于回收利用危险化学品的企业实施安全生产行政许可事项的复函》（原安监总厅危化函〔2007〕275号）</w:t>
      </w:r>
    </w:p>
    <w:p w14:paraId="2809A2C3">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《国家安全监管总局关进一步加强化学品罐区安全管理的通知》（原安监总管三〔2014〕68号)</w:t>
      </w:r>
    </w:p>
    <w:p w14:paraId="7E476F86">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《全国安全生产专项整治三年行动计划》（国务院安全生产委员会〔2020〕3号文件）</w:t>
      </w:r>
    </w:p>
    <w:p w14:paraId="73181AF4">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《危险化学品企业安全风险隐患排查治理导则》（应急【2019】78号）</w:t>
      </w:r>
    </w:p>
    <w:p w14:paraId="0BFACCE1">
      <w:pPr>
        <w:numPr>
          <w:ilvl w:val="0"/>
          <w:numId w:val="13"/>
        </w:numPr>
        <w:tabs>
          <w:tab w:val="left" w:pos="360"/>
          <w:tab w:val="left" w:pos="824"/>
        </w:tabs>
        <w:spacing w:line="360" w:lineRule="auto"/>
        <w:rPr>
          <w:rFonts w:eastAsiaTheme="minorEastAsia"/>
          <w:sz w:val="24"/>
          <w:szCs w:val="24"/>
        </w:rPr>
      </w:pPr>
      <w:r>
        <w:rPr>
          <w:rFonts w:eastAsiaTheme="minorEastAsia"/>
          <w:sz w:val="24"/>
          <w:szCs w:val="24"/>
        </w:rPr>
        <w:t>《易制爆危险化学品治安管理办法》（中华人民共和国公安部令第154号）</w:t>
      </w:r>
    </w:p>
    <w:p w14:paraId="646C615F">
      <w:pPr>
        <w:numPr>
          <w:ilvl w:val="0"/>
          <w:numId w:val="13"/>
        </w:numPr>
        <w:tabs>
          <w:tab w:val="left" w:pos="360"/>
          <w:tab w:val="left" w:pos="824"/>
        </w:tabs>
        <w:spacing w:line="360" w:lineRule="auto"/>
        <w:rPr>
          <w:kern w:val="0"/>
          <w:sz w:val="24"/>
        </w:rPr>
      </w:pPr>
      <w:r>
        <w:rPr>
          <w:rFonts w:eastAsiaTheme="minorEastAsia"/>
          <w:sz w:val="24"/>
          <w:szCs w:val="24"/>
        </w:rPr>
        <w:t>《危险化学品企业生产安全事故应急准备指南》（应急厅【2019】62号）</w:t>
      </w:r>
    </w:p>
    <w:p w14:paraId="0833EB30">
      <w:pPr>
        <w:numPr>
          <w:ilvl w:val="0"/>
          <w:numId w:val="13"/>
        </w:numPr>
        <w:tabs>
          <w:tab w:val="left" w:pos="360"/>
          <w:tab w:val="left" w:pos="824"/>
        </w:tabs>
        <w:spacing w:line="360" w:lineRule="auto"/>
        <w:rPr>
          <w:kern w:val="0"/>
          <w:sz w:val="24"/>
        </w:rPr>
      </w:pPr>
      <w:r>
        <w:rPr>
          <w:kern w:val="0"/>
          <w:sz w:val="24"/>
        </w:rPr>
        <w:t>淮南经开化工园区（淮南经开化工园区）安全风险排查治理复核报告（一园一策）</w:t>
      </w:r>
    </w:p>
    <w:p w14:paraId="1F0B9C5E">
      <w:pPr>
        <w:numPr>
          <w:ilvl w:val="0"/>
          <w:numId w:val="13"/>
        </w:numPr>
        <w:tabs>
          <w:tab w:val="left" w:pos="360"/>
          <w:tab w:val="left" w:pos="824"/>
        </w:tabs>
        <w:spacing w:line="360" w:lineRule="auto"/>
        <w:rPr>
          <w:kern w:val="0"/>
          <w:sz w:val="24"/>
        </w:rPr>
      </w:pPr>
      <w:r>
        <w:rPr>
          <w:kern w:val="0"/>
          <w:sz w:val="24"/>
        </w:rPr>
        <w:t>国务院安全生产委员会关于印发《全国危险化学品安全风险集中治理方案》的通知安委〔2021〕12号</w:t>
      </w:r>
    </w:p>
    <w:p w14:paraId="1B271251">
      <w:pPr>
        <w:numPr>
          <w:ilvl w:val="0"/>
          <w:numId w:val="13"/>
        </w:numPr>
        <w:tabs>
          <w:tab w:val="left" w:pos="360"/>
          <w:tab w:val="left" w:pos="824"/>
        </w:tabs>
        <w:spacing w:line="360" w:lineRule="auto"/>
        <w:rPr>
          <w:kern w:val="0"/>
          <w:sz w:val="24"/>
        </w:rPr>
      </w:pPr>
      <w:r>
        <w:rPr>
          <w:kern w:val="0"/>
          <w:sz w:val="24"/>
        </w:rPr>
        <w:t>化工园区安全风险智能化管控平台建设指南（试行）</w:t>
      </w:r>
    </w:p>
    <w:p w14:paraId="2CD0E3DE">
      <w:pPr>
        <w:numPr>
          <w:ilvl w:val="0"/>
          <w:numId w:val="13"/>
        </w:numPr>
        <w:tabs>
          <w:tab w:val="left" w:pos="360"/>
          <w:tab w:val="left" w:pos="824"/>
        </w:tabs>
        <w:spacing w:line="360" w:lineRule="auto"/>
        <w:rPr>
          <w:kern w:val="0"/>
          <w:sz w:val="24"/>
        </w:rPr>
      </w:pPr>
      <w:r>
        <w:rPr>
          <w:kern w:val="0"/>
          <w:sz w:val="24"/>
        </w:rPr>
        <w:t>化工园区安全风险排查治理导则（试行）</w:t>
      </w:r>
    </w:p>
    <w:p w14:paraId="6921B64B">
      <w:pPr>
        <w:spacing w:line="360" w:lineRule="auto"/>
        <w:ind w:firstLine="482" w:firstLineChars="200"/>
        <w:rPr>
          <w:rFonts w:eastAsiaTheme="minorEastAsia"/>
          <w:sz w:val="24"/>
          <w:szCs w:val="24"/>
        </w:rPr>
      </w:pPr>
      <w:r>
        <w:rPr>
          <w:rFonts w:eastAsiaTheme="minorEastAsia"/>
          <w:b/>
          <w:sz w:val="24"/>
          <w:szCs w:val="24"/>
        </w:rPr>
        <w:t>二．地方政府及所属机构发布的文件</w:t>
      </w:r>
    </w:p>
    <w:p w14:paraId="233C9017">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关于贯彻实施《危险化学品安全管理条例》的意见（原皖安监三〔2011〕183号）</w:t>
      </w:r>
    </w:p>
    <w:p w14:paraId="031AF223">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《关于贯彻实施危险化学品建设项目安全监督管理办法的意见》（皖安监三〔2012〕34号）</w:t>
      </w:r>
    </w:p>
    <w:p w14:paraId="6D8748D2">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《关于具有爆炸危险性危险化学品建设项目界定标准的函》（皖安监三函〔2014〕16号）</w:t>
      </w:r>
    </w:p>
    <w:p w14:paraId="192C2750">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《关于开展提升危险化学品领域本质安全水平专项行动的实施意见》（安徽省安全监管局皖安监三〔2012〕88号）</w:t>
      </w:r>
    </w:p>
    <w:p w14:paraId="15B46B51">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《关于贯彻实施&lt;危险化学品生产企业安全生产许可证实施办法&gt;的意见》（皖安监三[2012]53号）</w:t>
      </w:r>
    </w:p>
    <w:p w14:paraId="28463A8D">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《安徽省防雷减灾管理办法》(安徽省人民政府令第182号)</w:t>
      </w:r>
    </w:p>
    <w:p w14:paraId="703999B4">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《安徽省应急管理厅关于印发安徽省危险化学品生产安全事故应急预案的通知》(皖应急〔2021〕80号)</w:t>
      </w:r>
    </w:p>
    <w:p w14:paraId="68237959">
      <w:pPr>
        <w:numPr>
          <w:ilvl w:val="0"/>
          <w:numId w:val="14"/>
        </w:numPr>
        <w:tabs>
          <w:tab w:val="left" w:pos="360"/>
          <w:tab w:val="left" w:pos="824"/>
        </w:tabs>
        <w:spacing w:line="360" w:lineRule="auto"/>
        <w:ind w:left="0" w:firstLine="0"/>
        <w:rPr>
          <w:rFonts w:eastAsiaTheme="minorEastAsia"/>
          <w:sz w:val="24"/>
          <w:szCs w:val="24"/>
        </w:rPr>
      </w:pPr>
      <w:r>
        <w:rPr>
          <w:rFonts w:eastAsiaTheme="minorEastAsia"/>
          <w:sz w:val="24"/>
          <w:szCs w:val="24"/>
        </w:rPr>
        <w:t>《关于聚焦“一防三提升”开展危险化学品安全生产集中治理整顿工作的通知》(皖应急〔2021〕74号)</w:t>
      </w:r>
    </w:p>
    <w:p w14:paraId="20A2FE88">
      <w:pPr>
        <w:pStyle w:val="5"/>
        <w:rPr>
          <w:rFonts w:eastAsiaTheme="minorEastAsia"/>
          <w:b w:val="0"/>
          <w:smallCaps/>
          <w:sz w:val="24"/>
          <w:szCs w:val="24"/>
          <w:u w:val="single"/>
        </w:rPr>
      </w:pPr>
      <w:r>
        <w:fldChar w:fldCharType="begin"/>
      </w:r>
      <w:r>
        <w:instrText xml:space="preserve"> HYPERLINK \l "_Toc356999370" </w:instrText>
      </w:r>
      <w:r>
        <w:fldChar w:fldCharType="separate"/>
      </w:r>
      <w:r>
        <w:rPr>
          <w:rFonts w:eastAsiaTheme="minorEastAsia"/>
          <w:smallCaps/>
          <w:sz w:val="24"/>
          <w:szCs w:val="24"/>
          <w:u w:val="single"/>
        </w:rPr>
        <w:t>7.3.</w:t>
      </w:r>
      <w:r>
        <w:rPr>
          <w:rFonts w:eastAsiaTheme="minorEastAsia"/>
          <w:b w:val="0"/>
          <w:smallCaps/>
          <w:sz w:val="24"/>
          <w:szCs w:val="24"/>
          <w:u w:val="single"/>
        </w:rPr>
        <w:t>4</w:t>
      </w:r>
      <w:r>
        <w:rPr>
          <w:rFonts w:eastAsiaTheme="minorEastAsia"/>
          <w:smallCaps/>
          <w:sz w:val="24"/>
          <w:szCs w:val="24"/>
          <w:u w:val="single"/>
        </w:rPr>
        <w:t>国家、行业及地方相关标准、规范</w:t>
      </w:r>
      <w:r>
        <w:rPr>
          <w:rFonts w:eastAsiaTheme="minorEastAsia"/>
          <w:smallCaps/>
          <w:sz w:val="24"/>
          <w:szCs w:val="24"/>
          <w:u w:val="single"/>
        </w:rPr>
        <w:fldChar w:fldCharType="end"/>
      </w:r>
    </w:p>
    <w:p w14:paraId="7FB53D72">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《建筑设计防火规范》 GB50016-2014（2018年版）</w:t>
      </w:r>
    </w:p>
    <w:p w14:paraId="5EFD9342">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《石油化工企业设计防火标准》 GB50160-2008（2018年版）</w:t>
      </w:r>
    </w:p>
    <w:p w14:paraId="51ADB318">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《精细化工企业工程设计防火标准》 GB51283-2020</w:t>
      </w:r>
    </w:p>
    <w:p w14:paraId="379986D6">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《工业企业总平面设计规范》 GB50187-2012</w:t>
      </w:r>
    </w:p>
    <w:p w14:paraId="13DE5777">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《工作场所有害因素职业接触限值：第1部分：化学有害因素》 GBZ 2.1-2019</w:t>
      </w:r>
    </w:p>
    <w:p w14:paraId="6CD4BED7">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《工作场所有害因素职业接触限值：第2部分：物理因素》 GBZ 2.2-2007</w:t>
      </w:r>
    </w:p>
    <w:p w14:paraId="63199B0D">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《压力管道安全技术监察规程-工业管道》TSG D0001-2009</w:t>
      </w:r>
    </w:p>
    <w:p w14:paraId="0A45BFDC">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《危险化学品重大危险源辨识》 GB18218-2018</w:t>
      </w:r>
    </w:p>
    <w:p w14:paraId="5B44393D">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《化学品分类和危险性公示通则》 GB13690-2009</w:t>
      </w:r>
    </w:p>
    <w:p w14:paraId="1A90064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《常用化学危险品贮存通则》 GB15603-1995</w:t>
      </w:r>
    </w:p>
    <w:p w14:paraId="6311CD8C">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《生产过程安全卫生要求总则》 GB/T12801-2008</w:t>
      </w:r>
    </w:p>
    <w:p w14:paraId="36D6C37E">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《生产设备安全卫生设计总则》 GB5083-1999</w:t>
      </w:r>
    </w:p>
    <w:p w14:paraId="6326C410">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《建筑物防雷设计规范》 GB50057-2010</w:t>
      </w:r>
    </w:p>
    <w:p w14:paraId="5E64CECB">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《建筑抗震设计规范》 GB50011-2010</w:t>
      </w:r>
    </w:p>
    <w:p w14:paraId="0FC0414E">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《建筑灭火器配置设计规范》 GB50140-2005</w:t>
      </w:r>
    </w:p>
    <w:p w14:paraId="6558893A">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《建筑照明设计标准》 GB50034-2013</w:t>
      </w:r>
    </w:p>
    <w:p w14:paraId="061EE383">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《建筑给水排水设计标准》 GB50015-2019</w:t>
      </w:r>
    </w:p>
    <w:p w14:paraId="29D89AB8">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《工业建筑防腐蚀设计标准》 GB/T 50046-2018</w:t>
      </w:r>
    </w:p>
    <w:p w14:paraId="15C4A55C">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《工业企业噪声控制设计规范》 GB/T50087-2013</w:t>
      </w:r>
    </w:p>
    <w:p w14:paraId="32AEDEA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《爆炸危险环境电力装置设计规范》 GB50058-2014</w:t>
      </w:r>
    </w:p>
    <w:p w14:paraId="4FDD03CC">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《供配电系统设计规范》 GB50052-2009</w:t>
      </w:r>
    </w:p>
    <w:p w14:paraId="28C1E352">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《低压配电设计规范》   GB50054-2011</w:t>
      </w:r>
    </w:p>
    <w:p w14:paraId="425C19E2">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《20kV及以下变电所设计规范》 GB50053-2013</w:t>
      </w:r>
    </w:p>
    <w:p w14:paraId="47F3C244">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《防止静电事故通用导则》 GB12158-2006</w:t>
      </w:r>
    </w:p>
    <w:p w14:paraId="45DF3BCC">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《个体防护装备选用规范》 GB/T11651-2008</w:t>
      </w:r>
    </w:p>
    <w:p w14:paraId="7967B93A">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《工业管道的基本识别色、识别符号和安全标识》 GB7231-2003</w:t>
      </w:r>
    </w:p>
    <w:p w14:paraId="6CF9B098">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《安全标志及其使用导则》 GB2894-2008</w:t>
      </w:r>
    </w:p>
    <w:p w14:paraId="4EF76027">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《安全色》 GB2893-2008</w:t>
      </w:r>
    </w:p>
    <w:p w14:paraId="0E80EDD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《安全标志使用原则与要求》GB/T 2893.5-2020</w:t>
      </w:r>
    </w:p>
    <w:p w14:paraId="4A8242F0">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《消防安全标志设置要求》 GB15630-1995</w:t>
      </w:r>
    </w:p>
    <w:p w14:paraId="1E8CA656">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《有毒作业分级》 GB12331-1990</w:t>
      </w:r>
    </w:p>
    <w:p w14:paraId="39EB858F">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《起重机械安全规程》 GB6067-2010</w:t>
      </w:r>
    </w:p>
    <w:p w14:paraId="68649320">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《工业企业内铁路、道路运输安全规程》 GB4387-2008</w:t>
      </w:r>
    </w:p>
    <w:p w14:paraId="2618C8CF">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《化工建设项目安全设计管理导则》AQ/T 3033-2010</w:t>
      </w:r>
    </w:p>
    <w:p w14:paraId="230FCF35">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《消防给水及消火栓系统技术规范》GB50974-2014</w:t>
      </w:r>
    </w:p>
    <w:p w14:paraId="61C1C04A">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《职业安全卫生术语》 GB/T15236-2008</w:t>
      </w:r>
    </w:p>
    <w:p w14:paraId="4FB4809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《建筑采光设计标准》 GB 50033-2013</w:t>
      </w:r>
    </w:p>
    <w:p w14:paraId="0A7C508E">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《生产经营单位生产安全事故应急预案编制导则》GBT29639-2020</w:t>
      </w:r>
    </w:p>
    <w:p w14:paraId="3287C53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《工业企业设计卫生标准》 GBZ1-2010</w:t>
      </w:r>
    </w:p>
    <w:p w14:paraId="47EC9C06">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《职业性接触毒物危害程度分级》 GBZ230-2010</w:t>
      </w:r>
    </w:p>
    <w:p w14:paraId="75DCE823">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《化工企业安全卫生设计规范》 HG20571-2014</w:t>
      </w:r>
    </w:p>
    <w:p w14:paraId="3469019F">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《化工企业总图运输设计规范》 GB50489-2009</w:t>
      </w:r>
    </w:p>
    <w:p w14:paraId="399E295E">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《化学品生产单位特殊作业安全规范》GB30871-2014</w:t>
      </w:r>
    </w:p>
    <w:p w14:paraId="52385F69">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《压力容器》GB150.1~150.4-2011</w:t>
      </w:r>
    </w:p>
    <w:p w14:paraId="08F54C73">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《工作场所职业病危害警示标识》 GBZ158-2003</w:t>
      </w:r>
    </w:p>
    <w:p w14:paraId="6F273927">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 xml:space="preserve">《建筑采光设计标准》 GB50033-2013 </w:t>
      </w:r>
    </w:p>
    <w:p w14:paraId="3C4A31AF">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 xml:space="preserve">《建筑照明设计标准》 GB50034-2013 </w:t>
      </w:r>
    </w:p>
    <w:p w14:paraId="31AA60AE">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《化工采暖通风与空气调节设计规范》 HG/T20698-2009</w:t>
      </w:r>
    </w:p>
    <w:p w14:paraId="1E1AEC5C">
      <w:pPr>
        <w:numPr>
          <w:ilvl w:val="0"/>
          <w:numId w:val="15"/>
        </w:numPr>
        <w:tabs>
          <w:tab w:val="left" w:pos="360"/>
          <w:tab w:val="left" w:pos="540"/>
          <w:tab w:val="left" w:pos="824"/>
        </w:tabs>
        <w:spacing w:line="360" w:lineRule="auto"/>
        <w:rPr>
          <w:rFonts w:eastAsiaTheme="minorEastAsia"/>
          <w:sz w:val="24"/>
          <w:szCs w:val="24"/>
        </w:rPr>
      </w:pPr>
      <w:r>
        <w:fldChar w:fldCharType="begin"/>
      </w:r>
      <w:r>
        <w:instrText xml:space="preserve"> HYPERLINK "https://www.baidu.com/link?url=DU_51pZLgMHASTpiq6EEjhRMqZOuidRgtWN--BQgPr8CSAS6Pytfi7CKKNAw468RWgqX6R69rtihzUe1umbzMa&amp;wd=&amp;eqid=e1dbe905000046420000000458aaa399" \t "_blank" </w:instrText>
      </w:r>
      <w:r>
        <w:fldChar w:fldCharType="separate"/>
      </w:r>
      <w:r>
        <w:rPr>
          <w:rFonts w:eastAsiaTheme="minorEastAsia"/>
          <w:sz w:val="24"/>
          <w:szCs w:val="24"/>
        </w:rPr>
        <w:t>《个体防护装备配备基本要求</w:t>
      </w:r>
      <w:r>
        <w:rPr>
          <w:rFonts w:eastAsiaTheme="minorEastAsia"/>
          <w:sz w:val="24"/>
          <w:szCs w:val="24"/>
        </w:rPr>
        <w:fldChar w:fldCharType="end"/>
      </w:r>
      <w:r>
        <w:rPr>
          <w:rFonts w:eastAsiaTheme="minorEastAsia"/>
          <w:sz w:val="24"/>
          <w:szCs w:val="24"/>
        </w:rPr>
        <w:t>》 GB/T 29510-2013</w:t>
      </w:r>
    </w:p>
    <w:p w14:paraId="0DD8822D">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《职业性接触毒物危害程度分级》 GBZ230-2010</w:t>
      </w:r>
    </w:p>
    <w:p w14:paraId="6159384D">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《石油化工可燃气体和有毒气体检测报警设计标准》 GB/T50493-2019</w:t>
      </w:r>
    </w:p>
    <w:p w14:paraId="79AE2785">
      <w:pPr>
        <w:numPr>
          <w:ilvl w:val="0"/>
          <w:numId w:val="15"/>
        </w:numPr>
        <w:tabs>
          <w:tab w:val="left" w:pos="360"/>
          <w:tab w:val="left" w:pos="540"/>
          <w:tab w:val="left" w:pos="824"/>
        </w:tabs>
        <w:spacing w:line="360" w:lineRule="auto"/>
        <w:rPr>
          <w:rFonts w:eastAsiaTheme="minorEastAsia"/>
          <w:sz w:val="24"/>
          <w:szCs w:val="24"/>
        </w:rPr>
      </w:pPr>
      <w:r>
        <w:rPr>
          <w:rFonts w:eastAsiaTheme="minorEastAsia"/>
          <w:sz w:val="24"/>
          <w:szCs w:val="24"/>
        </w:rPr>
        <w:t>《职业安全卫生术语》 GB/T 15236-2008</w:t>
      </w:r>
    </w:p>
    <w:p w14:paraId="3077BAE9">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《石油化工静电接地设计规范》（SH/T 3097-2017）；</w:t>
      </w:r>
    </w:p>
    <w:p w14:paraId="03D11450">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《粉尘防爆安全规程》GB15577-2018</w:t>
      </w:r>
    </w:p>
    <w:p w14:paraId="7087AD58">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《粉尘爆炸危险场所用收尘器防爆导则》GB/T17919-2008</w:t>
      </w:r>
    </w:p>
    <w:p w14:paraId="2A730897">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《粉尘爆炸泄压指南》GB/T15605-2008</w:t>
      </w:r>
    </w:p>
    <w:p w14:paraId="5922611D">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《危险废物收集、贮存、运输技术规范》 HJ2025-2012</w:t>
      </w:r>
    </w:p>
    <w:p w14:paraId="1CE358EE">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《石油化工储运系统罐区设计规范》SHT3007-2014</w:t>
      </w:r>
    </w:p>
    <w:p w14:paraId="03A8AE0A">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《储罐区防火堤设计规范》 GB50351-2014</w:t>
      </w:r>
    </w:p>
    <w:p w14:paraId="5D24E9D8">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《危险化学品经营企业安全技术基本要求》（GB18265-2019）</w:t>
      </w:r>
    </w:p>
    <w:p w14:paraId="0A15A9BE">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《特别监控危险化学品目录（第一版）》（应急管理部、工业和信息化部、公安部、交通运输部《公告》2020年第3号）</w:t>
      </w:r>
    </w:p>
    <w:p w14:paraId="258DCB59">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《中国严格限制的有毒化学品名录》（中华人民共和国生态环境部、中华人民共和国商务部、中华人民共和国海关总署，公告2019年第60号）</w:t>
      </w:r>
    </w:p>
    <w:p w14:paraId="6269B4F5">
      <w:pPr>
        <w:numPr>
          <w:ilvl w:val="0"/>
          <w:numId w:val="15"/>
        </w:numPr>
        <w:tabs>
          <w:tab w:val="left" w:pos="360"/>
          <w:tab w:val="left" w:pos="562"/>
          <w:tab w:val="left" w:pos="824"/>
        </w:tabs>
        <w:spacing w:line="360" w:lineRule="auto"/>
        <w:rPr>
          <w:rFonts w:eastAsiaTheme="minorEastAsia"/>
          <w:sz w:val="24"/>
          <w:szCs w:val="24"/>
        </w:rPr>
      </w:pPr>
      <w:r>
        <w:rPr>
          <w:rFonts w:eastAsiaTheme="minorEastAsia"/>
          <w:sz w:val="24"/>
          <w:szCs w:val="24"/>
        </w:rPr>
        <w:t>《危险化学品生产装置和储存设施外部安全防护距离确定方法》（GB/T37243-2019）</w:t>
      </w:r>
    </w:p>
    <w:p w14:paraId="086321A3">
      <w:pPr>
        <w:pStyle w:val="4"/>
        <w:spacing w:before="156" w:after="156"/>
        <w:rPr>
          <w:rFonts w:ascii="Times New Roman" w:hAnsi="Times New Roman"/>
          <w:sz w:val="24"/>
          <w:szCs w:val="24"/>
        </w:rPr>
      </w:pPr>
      <w:bookmarkStart w:id="159" w:name="_Toc29936"/>
      <w:r>
        <w:rPr>
          <w:rFonts w:ascii="Times New Roman" w:hAnsi="Times New Roman"/>
          <w:sz w:val="24"/>
          <w:szCs w:val="24"/>
        </w:rPr>
        <w:t>7.4安全规划的原则</w:t>
      </w:r>
      <w:bookmarkEnd w:id="154"/>
      <w:bookmarkEnd w:id="155"/>
      <w:bookmarkEnd w:id="156"/>
      <w:bookmarkEnd w:id="159"/>
      <w:r>
        <w:rPr>
          <w:rFonts w:ascii="Times New Roman" w:hAnsi="Times New Roman"/>
          <w:sz w:val="24"/>
          <w:szCs w:val="24"/>
        </w:rPr>
        <w:tab/>
      </w:r>
    </w:p>
    <w:p w14:paraId="2AD724DA">
      <w:pPr>
        <w:spacing w:line="360" w:lineRule="auto"/>
        <w:ind w:firstLine="480" w:firstLineChars="200"/>
        <w:rPr>
          <w:sz w:val="24"/>
          <w:szCs w:val="24"/>
        </w:rPr>
      </w:pPr>
      <w:r>
        <w:rPr>
          <w:sz w:val="24"/>
          <w:szCs w:val="24"/>
        </w:rPr>
        <w:t>（1）坚持全面规划、合理布局、突出重点、兼顾一般的原则，保障安全与经济协调发展。</w:t>
      </w:r>
    </w:p>
    <w:p w14:paraId="0C75C16B">
      <w:pPr>
        <w:spacing w:line="360" w:lineRule="auto"/>
        <w:ind w:firstLine="480" w:firstLineChars="200"/>
        <w:rPr>
          <w:sz w:val="24"/>
          <w:szCs w:val="24"/>
        </w:rPr>
      </w:pPr>
      <w:r>
        <w:rPr>
          <w:sz w:val="24"/>
          <w:szCs w:val="24"/>
        </w:rPr>
        <w:t>（2）坚持系统原则。化工园区安全作为一个系统，它的风险具有系统的属性，因此用系统论方法进行化工园区安全规划有更强的实用性。</w:t>
      </w:r>
    </w:p>
    <w:p w14:paraId="3AF51ADD">
      <w:pPr>
        <w:spacing w:line="360" w:lineRule="auto"/>
        <w:ind w:firstLine="480" w:firstLineChars="200"/>
        <w:rPr>
          <w:sz w:val="24"/>
          <w:szCs w:val="24"/>
        </w:rPr>
      </w:pPr>
      <w:r>
        <w:rPr>
          <w:sz w:val="24"/>
          <w:szCs w:val="24"/>
        </w:rPr>
        <w:t>（3）坚持以提高经济效益、社会效益、安全效益为核心的原则，遵循经济规律，使有限的资金发挥更大的效益。</w:t>
      </w:r>
    </w:p>
    <w:p w14:paraId="634665E0">
      <w:pPr>
        <w:spacing w:line="360" w:lineRule="auto"/>
        <w:ind w:firstLine="480" w:firstLineChars="200"/>
        <w:rPr>
          <w:sz w:val="24"/>
          <w:szCs w:val="24"/>
        </w:rPr>
      </w:pPr>
      <w:r>
        <w:rPr>
          <w:sz w:val="24"/>
          <w:szCs w:val="24"/>
        </w:rPr>
        <w:t>（4）坚持科技进步的原则。坚持科技兴安，充分发挥科技支撑和引领作用，引进安全科技研发成果，加强安全监管监察能力建设。</w:t>
      </w:r>
    </w:p>
    <w:p w14:paraId="54F705DE">
      <w:pPr>
        <w:spacing w:line="360" w:lineRule="auto"/>
        <w:ind w:firstLine="480" w:firstLineChars="200"/>
        <w:rPr>
          <w:sz w:val="24"/>
          <w:szCs w:val="24"/>
        </w:rPr>
      </w:pPr>
      <w:r>
        <w:rPr>
          <w:sz w:val="24"/>
          <w:szCs w:val="24"/>
        </w:rPr>
        <w:t>（5）坚持事故及灾害预防与基本建设、化工园区建设紧密结合的原则，实行危险综合整治的方针。</w:t>
      </w:r>
    </w:p>
    <w:p w14:paraId="4C36A767">
      <w:pPr>
        <w:spacing w:line="360" w:lineRule="auto"/>
        <w:ind w:firstLine="480" w:firstLineChars="200"/>
        <w:rPr>
          <w:sz w:val="24"/>
          <w:szCs w:val="24"/>
        </w:rPr>
      </w:pPr>
      <w:r>
        <w:rPr>
          <w:sz w:val="24"/>
          <w:szCs w:val="24"/>
        </w:rPr>
        <w:t>（6）坚持实事求是，因地制宜的原则。从实际出发，与当地的经济发展相协调，提出可操作性的规划措施。</w:t>
      </w:r>
    </w:p>
    <w:p w14:paraId="3DAEDD6A">
      <w:pPr>
        <w:spacing w:line="360" w:lineRule="auto"/>
        <w:ind w:firstLine="480" w:firstLineChars="200"/>
        <w:rPr>
          <w:sz w:val="24"/>
          <w:szCs w:val="24"/>
        </w:rPr>
      </w:pPr>
      <w:r>
        <w:rPr>
          <w:sz w:val="24"/>
          <w:szCs w:val="24"/>
        </w:rPr>
        <w:t>（7）坚持强化安全管理的原则。安全管理对保持化工园区良好的安全状况起者举足轻重的作用，强化化工园区的安全管理，运用法律和行政手段保证和促进化工园区安全事业的发展，充分发挥化工园区属地监管、集中管理的优势。</w:t>
      </w:r>
    </w:p>
    <w:p w14:paraId="31A3FC5D">
      <w:pPr>
        <w:spacing w:line="360" w:lineRule="auto"/>
        <w:ind w:firstLine="480" w:firstLineChars="200"/>
        <w:rPr>
          <w:sz w:val="24"/>
          <w:szCs w:val="24"/>
        </w:rPr>
      </w:pPr>
      <w:r>
        <w:rPr>
          <w:sz w:val="24"/>
          <w:szCs w:val="24"/>
        </w:rPr>
        <w:t>（8）坚持资源整合的原则。整个化工园区作为一个安全系统，充分整合化工园区公共资源、各企业资源，实现安全效益最大化。</w:t>
      </w:r>
    </w:p>
    <w:p w14:paraId="29E330E6">
      <w:pPr>
        <w:pStyle w:val="4"/>
        <w:spacing w:before="156" w:after="156"/>
        <w:rPr>
          <w:rFonts w:ascii="Times New Roman" w:hAnsi="Times New Roman"/>
          <w:sz w:val="24"/>
          <w:szCs w:val="24"/>
        </w:rPr>
      </w:pPr>
      <w:bookmarkStart w:id="160" w:name="_Toc1628652"/>
      <w:bookmarkStart w:id="161" w:name="_Toc449277633"/>
      <w:bookmarkStart w:id="162" w:name="_Toc25094"/>
      <w:bookmarkStart w:id="163" w:name="_Toc437032084"/>
      <w:r>
        <w:rPr>
          <w:rFonts w:ascii="Times New Roman" w:hAnsi="Times New Roman"/>
          <w:sz w:val="24"/>
          <w:szCs w:val="24"/>
        </w:rPr>
        <w:t>7.5安全规划的目标</w:t>
      </w:r>
      <w:bookmarkEnd w:id="160"/>
      <w:bookmarkEnd w:id="161"/>
      <w:bookmarkEnd w:id="162"/>
      <w:bookmarkEnd w:id="163"/>
    </w:p>
    <w:p w14:paraId="516168B4">
      <w:pPr>
        <w:spacing w:line="360" w:lineRule="auto"/>
        <w:ind w:firstLine="480" w:firstLineChars="200"/>
        <w:rPr>
          <w:sz w:val="24"/>
          <w:szCs w:val="24"/>
        </w:rPr>
      </w:pPr>
      <w:r>
        <w:rPr>
          <w:sz w:val="24"/>
          <w:szCs w:val="24"/>
        </w:rPr>
        <w:t>化工园区建成后，主要为医药化工项目，医药化工项目多为密闭化生产技术，空气中有害物质的浓度可达到我国的卫生标准，其余工业卫生指标，如操作环境中的温度、湿度、噪声、振动等也能达到国家的卫生标准。生产安全和人身安全是有可靠的保证。一旦出现中毒、火灾等重大事故，通过各种防范设施，能及时控制事故蔓延。</w:t>
      </w:r>
    </w:p>
    <w:p w14:paraId="2531455C">
      <w:pPr>
        <w:pStyle w:val="4"/>
        <w:spacing w:before="156" w:after="156"/>
        <w:rPr>
          <w:rFonts w:ascii="Times New Roman" w:hAnsi="Times New Roman"/>
          <w:sz w:val="24"/>
          <w:szCs w:val="24"/>
        </w:rPr>
      </w:pPr>
      <w:bookmarkStart w:id="164" w:name="_Toc437032085"/>
      <w:bookmarkStart w:id="165" w:name="_Toc1628653"/>
      <w:bookmarkStart w:id="166" w:name="_Toc449277634"/>
      <w:bookmarkStart w:id="167" w:name="_Toc5589"/>
      <w:r>
        <w:rPr>
          <w:rFonts w:ascii="Times New Roman" w:hAnsi="Times New Roman"/>
          <w:sz w:val="24"/>
          <w:szCs w:val="24"/>
        </w:rPr>
        <w:t>7.6</w:t>
      </w:r>
      <w:bookmarkEnd w:id="164"/>
      <w:r>
        <w:rPr>
          <w:rFonts w:ascii="Times New Roman" w:hAnsi="Times New Roman"/>
          <w:sz w:val="24"/>
          <w:szCs w:val="24"/>
        </w:rPr>
        <w:t>安全规划</w:t>
      </w:r>
      <w:bookmarkEnd w:id="165"/>
      <w:bookmarkEnd w:id="166"/>
      <w:bookmarkEnd w:id="167"/>
    </w:p>
    <w:p w14:paraId="7407D328">
      <w:pPr>
        <w:pStyle w:val="5"/>
        <w:spacing w:before="156" w:after="156"/>
        <w:rPr>
          <w:rFonts w:eastAsiaTheme="minorEastAsia"/>
          <w:sz w:val="24"/>
          <w:szCs w:val="24"/>
        </w:rPr>
      </w:pPr>
      <w:bookmarkStart w:id="168" w:name="_Toc4596061"/>
      <w:r>
        <w:rPr>
          <w:rFonts w:eastAsiaTheme="minorEastAsia"/>
          <w:sz w:val="24"/>
          <w:szCs w:val="24"/>
        </w:rPr>
        <w:t>7.6.1安全隔离</w:t>
      </w:r>
      <w:bookmarkEnd w:id="168"/>
    </w:p>
    <w:p w14:paraId="648C5AFC">
      <w:pPr>
        <w:spacing w:line="360" w:lineRule="auto"/>
        <w:ind w:firstLine="480" w:firstLineChars="200"/>
        <w:rPr>
          <w:kern w:val="0"/>
          <w:sz w:val="24"/>
        </w:rPr>
      </w:pPr>
      <w:r>
        <w:rPr>
          <w:kern w:val="0"/>
          <w:sz w:val="24"/>
        </w:rPr>
        <w:t>化工园区周围人口分布直接关系到风险值大小。</w:t>
      </w:r>
      <w:r>
        <w:rPr>
          <w:sz w:val="24"/>
          <w:szCs w:val="24"/>
        </w:rPr>
        <w:t>化工园区</w:t>
      </w:r>
      <w:r>
        <w:rPr>
          <w:kern w:val="0"/>
          <w:sz w:val="24"/>
        </w:rPr>
        <w:t>周围人口较少，主要集中在</w:t>
      </w:r>
      <w:r>
        <w:rPr>
          <w:sz w:val="24"/>
          <w:szCs w:val="24"/>
        </w:rPr>
        <w:t>化工园区</w:t>
      </w:r>
      <w:r>
        <w:rPr>
          <w:kern w:val="0"/>
          <w:sz w:val="24"/>
        </w:rPr>
        <w:t>的企业办公区内，这些区域都应列为安全风险点重点防范。另外根据</w:t>
      </w:r>
      <w:r>
        <w:rPr>
          <w:sz w:val="24"/>
          <w:szCs w:val="24"/>
        </w:rPr>
        <w:t>化工园区</w:t>
      </w:r>
      <w:r>
        <w:rPr>
          <w:kern w:val="0"/>
          <w:sz w:val="24"/>
        </w:rPr>
        <w:t>规划，</w:t>
      </w:r>
      <w:r>
        <w:rPr>
          <w:sz w:val="24"/>
          <w:szCs w:val="24"/>
        </w:rPr>
        <w:t>化工园区</w:t>
      </w:r>
      <w:r>
        <w:rPr>
          <w:kern w:val="0"/>
          <w:sz w:val="24"/>
        </w:rPr>
        <w:t>内不设置集中居民居住点，区内仅设置工业企业及其相关配套基础设施。</w:t>
      </w:r>
    </w:p>
    <w:p w14:paraId="5A537960">
      <w:pPr>
        <w:spacing w:line="360" w:lineRule="auto"/>
        <w:ind w:firstLine="480" w:firstLineChars="200"/>
      </w:pPr>
      <w:r>
        <w:rPr>
          <w:kern w:val="0"/>
          <w:sz w:val="24"/>
          <w:szCs w:val="24"/>
        </w:rPr>
        <w:t>对于环境风险较大的企业选址应避开靠近区外居民点的一侧，并且在</w:t>
      </w:r>
      <w:r>
        <w:rPr>
          <w:sz w:val="24"/>
        </w:rPr>
        <w:t>化工园区</w:t>
      </w:r>
      <w:r>
        <w:rPr>
          <w:kern w:val="0"/>
          <w:sz w:val="24"/>
          <w:szCs w:val="24"/>
        </w:rPr>
        <w:t>边界种植浓密的乔木类植物作为绿化隔离带（宽度不少于10m）。</w:t>
      </w:r>
    </w:p>
    <w:p w14:paraId="765DD8A8">
      <w:pPr>
        <w:pStyle w:val="5"/>
        <w:spacing w:before="156" w:after="156"/>
        <w:rPr>
          <w:rFonts w:eastAsiaTheme="minorEastAsia"/>
          <w:sz w:val="24"/>
          <w:szCs w:val="24"/>
        </w:rPr>
      </w:pPr>
      <w:bookmarkStart w:id="169" w:name="_Toc4596062"/>
      <w:r>
        <w:rPr>
          <w:rFonts w:eastAsiaTheme="minorEastAsia"/>
          <w:sz w:val="24"/>
          <w:szCs w:val="24"/>
        </w:rPr>
        <w:t>7.6.2封闭管理</w:t>
      </w:r>
      <w:bookmarkEnd w:id="169"/>
    </w:p>
    <w:p w14:paraId="476875A3">
      <w:pPr>
        <w:adjustRightInd w:val="0"/>
        <w:spacing w:line="360" w:lineRule="auto"/>
        <w:ind w:firstLine="480" w:firstLineChars="200"/>
        <w:rPr>
          <w:kern w:val="0"/>
          <w:sz w:val="24"/>
          <w:szCs w:val="24"/>
        </w:rPr>
      </w:pPr>
      <w:r>
        <w:rPr>
          <w:sz w:val="24"/>
          <w:szCs w:val="24"/>
          <w:u w:color="FFFFFF"/>
        </w:rPr>
        <w:t>依据《化工园区安全风险排查治理导则（试行）》</w:t>
      </w:r>
      <w:r>
        <w:rPr>
          <w:kern w:val="0"/>
          <w:sz w:val="24"/>
          <w:szCs w:val="24"/>
        </w:rPr>
        <w:t>第6.4条要求“化工园区应严格管控运输安全风险，运用物联网等先进技术对危险化学品运输车辆进出进行实时监控，实行专用道路、专用车道和限时限速行驶等措施，由化工园区实施统一管理、科学调度，防止安全风险积聚”。</w:t>
      </w:r>
    </w:p>
    <w:p w14:paraId="154CF454">
      <w:pPr>
        <w:adjustRightInd w:val="0"/>
        <w:spacing w:line="360" w:lineRule="auto"/>
        <w:ind w:firstLine="480" w:firstLineChars="200"/>
        <w:rPr>
          <w:kern w:val="0"/>
          <w:sz w:val="24"/>
          <w:szCs w:val="24"/>
        </w:rPr>
      </w:pPr>
      <w:r>
        <w:rPr>
          <w:sz w:val="24"/>
          <w:szCs w:val="24"/>
          <w:u w:color="FFFFFF"/>
        </w:rPr>
        <w:t>依据《化工园区安全风险排查治理导则（试行）》</w:t>
      </w:r>
      <w:r>
        <w:rPr>
          <w:kern w:val="0"/>
          <w:sz w:val="24"/>
          <w:szCs w:val="24"/>
        </w:rPr>
        <w:t>第6.5条要求“化工园区应按照‘分类控制、分级管理、分步实施’要求，结合产业结构、产业链特点、安全风险类型等实际情况，分区实行封闭化管理，建立完善门禁系统和视频监控系统，对易燃易爆有毒有害化学品和危险废物等物料、人员、车辆进出实施全过程监管”。</w:t>
      </w:r>
    </w:p>
    <w:p w14:paraId="269EB8DB">
      <w:pPr>
        <w:adjustRightInd w:val="0"/>
        <w:spacing w:line="360" w:lineRule="auto"/>
        <w:ind w:firstLine="482" w:firstLineChars="200"/>
        <w:rPr>
          <w:b/>
          <w:bCs/>
          <w:kern w:val="0"/>
          <w:sz w:val="24"/>
          <w:szCs w:val="24"/>
        </w:rPr>
      </w:pPr>
      <w:r>
        <w:rPr>
          <w:b/>
          <w:bCs/>
          <w:kern w:val="0"/>
          <w:sz w:val="24"/>
          <w:szCs w:val="24"/>
        </w:rPr>
        <w:t>分区封闭</w:t>
      </w:r>
    </w:p>
    <w:p w14:paraId="050AD178">
      <w:pPr>
        <w:pStyle w:val="14"/>
        <w:ind w:firstLine="480"/>
      </w:pPr>
      <w:r>
        <w:t>化工园区应通过采用物理隔离或电子围栏等方式进行隔离，针对不同化工园区（包括在开发区或高新区内设置的化工园区）具体的实际情况，结合园区周边山川、河流分布等自然条件，深入调研掌握园区内危险源、园区周边交通运输条件、周边环境及敏感目标分布情况，辨识危险源影响范围，对安全风险进行评估分级，划分化工园区封闭化管理的核心控制区、关键控制区和一般控制区，按照“因地制宜、分类控制、分级管理、分步实施”的原则，制定封闭化实施方案，开展化工园区封闭化管理建设，并将封闭化管理有效集成到化工园区统一的信息平台中。</w:t>
      </w:r>
    </w:p>
    <w:p w14:paraId="31A2F64A">
      <w:pPr>
        <w:adjustRightInd w:val="0"/>
        <w:spacing w:line="360" w:lineRule="auto"/>
        <w:ind w:firstLine="480" w:firstLineChars="200"/>
        <w:rPr>
          <w:kern w:val="0"/>
          <w:sz w:val="24"/>
          <w:szCs w:val="24"/>
        </w:rPr>
      </w:pPr>
      <w:r>
        <w:rPr>
          <w:kern w:val="0"/>
          <w:sz w:val="24"/>
          <w:szCs w:val="24"/>
        </w:rPr>
        <w:t>化工园区应全面掌握园区内危险源、园区周边交通运输条件、园区周边环境及敏感目标分布情况，辨识危险源影响范围，对化工园区进行整体性安全风险评估，按照“因地制宜、分类控制、分级管理、分步实施”的原则，结合园区周边山川、河流分布等自然条件，制定封闭化实施方案，划分核心控制区、关键控制区、一般控制区，可采用自然隔离、物理隔离、电子围栏等多种方式进行隔离。</w:t>
      </w:r>
    </w:p>
    <w:p w14:paraId="1EB578A7">
      <w:pPr>
        <w:adjustRightInd w:val="0"/>
        <w:spacing w:line="360" w:lineRule="auto"/>
        <w:ind w:firstLine="480" w:firstLineChars="200"/>
        <w:rPr>
          <w:kern w:val="0"/>
          <w:sz w:val="24"/>
          <w:szCs w:val="24"/>
        </w:rPr>
      </w:pPr>
      <w:r>
        <w:rPr>
          <w:kern w:val="0"/>
          <w:sz w:val="24"/>
          <w:szCs w:val="24"/>
        </w:rPr>
        <w:t>核心控制区：企业应完善自身的安防等级，通过接入企业边界围栏、厂区围墙和生产区域二道门系统数据和视频监控设备信息，对进入企业高风险生产区的作业人员实施实名制在岗在位管理、车辆实施权限动态管理，实现企业危险源的第二层保护隔离。</w:t>
      </w:r>
    </w:p>
    <w:p w14:paraId="0EA1E250">
      <w:pPr>
        <w:adjustRightInd w:val="0"/>
        <w:spacing w:line="360" w:lineRule="auto"/>
        <w:ind w:firstLine="480" w:firstLineChars="200"/>
        <w:rPr>
          <w:kern w:val="0"/>
          <w:sz w:val="24"/>
          <w:szCs w:val="24"/>
        </w:rPr>
      </w:pPr>
      <w:r>
        <w:rPr>
          <w:kern w:val="0"/>
          <w:sz w:val="24"/>
          <w:szCs w:val="24"/>
        </w:rPr>
        <w:t>一般控制区和关键控制区：园区周界可使用围墙、绿化带、防恐路桩、实体围栏、山系、水系等物理隔离措施，受周边环境限制的区域，宜先采用电子围栏、入侵和紧急报警、视频监控等智能化隔离措施实现封闭化管理，并逐步过渡到物理隔离实现整体封闭。入侵和紧急报警、视频监控系统符合《安全防范工程技术标准》（GB50348）要求。</w:t>
      </w:r>
    </w:p>
    <w:p w14:paraId="0D95927D">
      <w:pPr>
        <w:adjustRightInd w:val="0"/>
        <w:spacing w:line="360" w:lineRule="auto"/>
        <w:ind w:firstLine="482" w:firstLineChars="200"/>
        <w:rPr>
          <w:b/>
          <w:bCs/>
          <w:kern w:val="0"/>
          <w:sz w:val="24"/>
          <w:szCs w:val="24"/>
        </w:rPr>
      </w:pPr>
      <w:r>
        <w:rPr>
          <w:b/>
          <w:bCs/>
          <w:kern w:val="0"/>
          <w:sz w:val="24"/>
          <w:szCs w:val="24"/>
        </w:rPr>
        <w:t>人车物管控</w:t>
      </w:r>
    </w:p>
    <w:p w14:paraId="33F40C48">
      <w:pPr>
        <w:adjustRightInd w:val="0"/>
        <w:spacing w:line="360" w:lineRule="auto"/>
        <w:ind w:firstLine="480" w:firstLineChars="200"/>
        <w:rPr>
          <w:kern w:val="0"/>
          <w:sz w:val="24"/>
          <w:szCs w:val="24"/>
        </w:rPr>
      </w:pPr>
      <w:r>
        <w:rPr>
          <w:kern w:val="0"/>
          <w:sz w:val="24"/>
          <w:szCs w:val="24"/>
        </w:rPr>
        <w:t>化工园区要规范和优化出入园区的人流、物流和车流行驶路径，管控外来输入风险。利用信息化平台、视频监控、在线监测预警等技术手段，实现人员出入园区的监管；采用车辆入园审批、设立车辆专用车道、限时限速行驶等管控措施，并利用信息化平台、视频监控、在线监测预警、GPS定位卡、周界报警设备、车辆违法违规行为自动识别告知等技术手段，对出入园区的危险物品和危险废物及其运输车辆进行全过程监管，降低化工园区运输风险，减少安全隐患。</w:t>
      </w:r>
    </w:p>
    <w:p w14:paraId="4FD14CE1">
      <w:pPr>
        <w:spacing w:line="360" w:lineRule="auto"/>
        <w:ind w:firstLine="480" w:firstLineChars="200"/>
        <w:rPr>
          <w:sz w:val="24"/>
          <w:szCs w:val="24"/>
        </w:rPr>
      </w:pPr>
      <w:r>
        <w:rPr>
          <w:kern w:val="0"/>
          <w:sz w:val="24"/>
          <w:szCs w:val="24"/>
        </w:rPr>
        <w:t>淮南经开化工园区规划在2023年6月前，</w:t>
      </w:r>
      <w:r>
        <w:rPr>
          <w:sz w:val="24"/>
          <w:szCs w:val="24"/>
          <w:u w:color="FFFFFF"/>
        </w:rPr>
        <w:t>实行封闭式管理，以园区整体为管理单位，用隔离体将产业园与外界分开，在管理范围内对进出产业园的人员、车辆等流动性因素进行控制</w:t>
      </w:r>
      <w:r>
        <w:rPr>
          <w:sz w:val="24"/>
          <w:szCs w:val="24"/>
        </w:rPr>
        <w:t>管理，确保生产秩序安全。</w:t>
      </w:r>
    </w:p>
    <w:p w14:paraId="4FF35207">
      <w:pPr>
        <w:spacing w:line="360" w:lineRule="auto"/>
        <w:ind w:firstLine="480" w:firstLineChars="200"/>
        <w:rPr>
          <w:sz w:val="24"/>
          <w:szCs w:val="24"/>
        </w:rPr>
      </w:pPr>
      <w:r>
        <w:rPr>
          <w:sz w:val="24"/>
          <w:szCs w:val="24"/>
        </w:rPr>
        <w:t>园区设置围栏，化工园区封闭化管理并建立门禁系统和视频监控系统，对易燃易爆、有毒有害化学品和危险废物等物料、人员、车辆进出实施全过程监管。</w:t>
      </w:r>
    </w:p>
    <w:p w14:paraId="083A79C0">
      <w:pPr>
        <w:spacing w:line="360" w:lineRule="auto"/>
        <w:ind w:firstLine="480" w:firstLineChars="200"/>
        <w:rPr>
          <w:sz w:val="24"/>
          <w:szCs w:val="24"/>
        </w:rPr>
      </w:pPr>
      <w:r>
        <w:rPr>
          <w:rFonts w:hint="eastAsia"/>
          <w:sz w:val="24"/>
          <w:szCs w:val="24"/>
        </w:rPr>
        <w:t>淮南经开化工园区具体封闭化管理规划方案：</w:t>
      </w:r>
    </w:p>
    <w:p w14:paraId="24B2CE74">
      <w:pPr>
        <w:spacing w:line="360" w:lineRule="auto"/>
        <w:ind w:firstLine="480" w:firstLineChars="200"/>
        <w:rPr>
          <w:sz w:val="24"/>
          <w:szCs w:val="24"/>
        </w:rPr>
      </w:pPr>
      <w:r>
        <w:rPr>
          <w:rFonts w:hint="eastAsia"/>
          <w:sz w:val="24"/>
          <w:szCs w:val="24"/>
        </w:rPr>
        <w:t>建设完善的园区门禁卡口、周界防入侵、人员车辆定位、流量管控、危险化学品车辆专用停车场等硬件设施，部署化工园区区域风险隔离管控系统，升级化工园区智能化管控平台，全过程动态监测定位出入化工园区的人员、车辆、货物，时限化工园区人流、车流和物流出去管控及运动路径的规范和优化，确保区域安全风险有效隔离，切实防范外来输入风险。</w:t>
      </w:r>
    </w:p>
    <w:p w14:paraId="60FD818F">
      <w:pPr>
        <w:numPr>
          <w:ilvl w:val="0"/>
          <w:numId w:val="16"/>
        </w:numPr>
        <w:spacing w:line="360" w:lineRule="auto"/>
        <w:ind w:firstLine="562" w:firstLineChars="200"/>
        <w:rPr>
          <w:b/>
          <w:bCs/>
          <w:szCs w:val="28"/>
        </w:rPr>
      </w:pPr>
      <w:r>
        <w:rPr>
          <w:rFonts w:hint="eastAsia"/>
          <w:b/>
          <w:bCs/>
          <w:szCs w:val="28"/>
        </w:rPr>
        <w:t>门禁/卡口管理</w:t>
      </w:r>
    </w:p>
    <w:p w14:paraId="7742BF52">
      <w:pPr>
        <w:spacing w:line="360" w:lineRule="auto"/>
        <w:ind w:firstLine="480" w:firstLineChars="200"/>
        <w:rPr>
          <w:sz w:val="24"/>
          <w:szCs w:val="24"/>
        </w:rPr>
      </w:pPr>
      <w:r>
        <w:rPr>
          <w:rFonts w:hint="eastAsia"/>
          <w:sz w:val="24"/>
          <w:szCs w:val="24"/>
        </w:rPr>
        <w:t>按照客货分离、优化管理、规避风险、综合考虑停车场容量与园区安全容量原则，根据园区实际情况分类设置综合、专用、普通、应急门禁/卡口，部署门禁/卡口管理系统，实现对人、车、物进出园管控，支持门禁/卡口视频监控、人脸和车牌智能识别、定位设备登记/发放/返还、自动放行、车道控制等。</w:t>
      </w:r>
    </w:p>
    <w:p w14:paraId="170F62DD">
      <w:pPr>
        <w:numPr>
          <w:ilvl w:val="0"/>
          <w:numId w:val="17"/>
        </w:numPr>
        <w:spacing w:line="360" w:lineRule="auto"/>
        <w:ind w:firstLine="562" w:firstLineChars="200"/>
        <w:rPr>
          <w:b/>
          <w:bCs/>
          <w:szCs w:val="28"/>
        </w:rPr>
      </w:pPr>
      <w:r>
        <w:rPr>
          <w:rFonts w:hint="eastAsia"/>
          <w:b/>
          <w:bCs/>
          <w:szCs w:val="28"/>
        </w:rPr>
        <w:t>出入园管理</w:t>
      </w:r>
    </w:p>
    <w:p w14:paraId="364327B9">
      <w:pPr>
        <w:spacing w:line="360" w:lineRule="auto"/>
        <w:ind w:firstLine="480" w:firstLineChars="200"/>
        <w:rPr>
          <w:szCs w:val="28"/>
        </w:rPr>
      </w:pPr>
      <w:r>
        <w:rPr>
          <w:rFonts w:hint="eastAsia"/>
          <w:sz w:val="24"/>
          <w:szCs w:val="24"/>
        </w:rPr>
        <w:t>支持人员和车辆出入园申请、审核、长期/临时授权，支持危险化学品运输车辆预约、审核、授权，支持分区授权、异常行为报警和黑名单管理，支持人流、车流统计等</w:t>
      </w:r>
      <w:r>
        <w:rPr>
          <w:rFonts w:hint="eastAsia"/>
          <w:szCs w:val="28"/>
        </w:rPr>
        <w:t>。</w:t>
      </w:r>
    </w:p>
    <w:p w14:paraId="78BA132A">
      <w:pPr>
        <w:numPr>
          <w:ilvl w:val="0"/>
          <w:numId w:val="18"/>
        </w:numPr>
        <w:spacing w:line="360" w:lineRule="auto"/>
        <w:ind w:firstLine="562" w:firstLineChars="200"/>
        <w:rPr>
          <w:b/>
          <w:bCs/>
          <w:szCs w:val="28"/>
        </w:rPr>
      </w:pPr>
      <w:r>
        <w:rPr>
          <w:rFonts w:hint="eastAsia"/>
          <w:b/>
          <w:bCs/>
          <w:szCs w:val="28"/>
        </w:rPr>
        <w:t>危险化学品运输路径规划、定位和追踪</w:t>
      </w:r>
    </w:p>
    <w:p w14:paraId="1B99B1A4">
      <w:pPr>
        <w:spacing w:line="360" w:lineRule="auto"/>
        <w:ind w:firstLine="480" w:firstLineChars="200"/>
        <w:rPr>
          <w:sz w:val="24"/>
          <w:szCs w:val="24"/>
        </w:rPr>
      </w:pPr>
      <w:r>
        <w:rPr>
          <w:rFonts w:hint="eastAsia"/>
          <w:sz w:val="24"/>
          <w:szCs w:val="24"/>
        </w:rPr>
        <w:t>基于园区企业布局、道路及卡口分布、人流轨迹、运输物料、专用停车场等信息，在线规划危险化学品车辆园区内行驶路径、专用车道、通行时段等，并结合危险化学品车辆行驶分布信息，不断优化相关行驶路径规划。</w:t>
      </w:r>
    </w:p>
    <w:p w14:paraId="1BDE76CD">
      <w:pPr>
        <w:spacing w:line="360" w:lineRule="auto"/>
        <w:ind w:firstLine="480" w:firstLineChars="200"/>
        <w:rPr>
          <w:sz w:val="24"/>
          <w:szCs w:val="24"/>
        </w:rPr>
      </w:pPr>
      <w:r>
        <w:rPr>
          <w:rFonts w:hint="eastAsia"/>
          <w:sz w:val="24"/>
          <w:szCs w:val="24"/>
        </w:rPr>
        <w:t>基于危险化学品运输车辆实时定位数据和园区重点区域电子围栏，掌握园区内危险化学品运输车辆的位置，行驶路线等实时动态，借助视频智能分析，测速和车辆定位数据，智能识别危险化学品运输车辆超速、违停、不按车道不按时段通行等不安全行为。支持轨迹回放、不安全驾驶行为报警、车辆运行数据统计等功能。对接电子运单等相关系统，掌握出入园危险化学品的品种、数量以及MSDS等有关情况。</w:t>
      </w:r>
    </w:p>
    <w:p w14:paraId="5ED75F9E">
      <w:pPr>
        <w:numPr>
          <w:ilvl w:val="0"/>
          <w:numId w:val="18"/>
        </w:numPr>
        <w:spacing w:line="360" w:lineRule="auto"/>
        <w:ind w:firstLine="562" w:firstLineChars="200"/>
        <w:rPr>
          <w:b/>
          <w:bCs/>
          <w:szCs w:val="28"/>
        </w:rPr>
      </w:pPr>
      <w:r>
        <w:rPr>
          <w:rFonts w:hint="eastAsia"/>
          <w:b/>
          <w:bCs/>
          <w:szCs w:val="28"/>
        </w:rPr>
        <w:t>人员分布管理</w:t>
      </w:r>
    </w:p>
    <w:p w14:paraId="728840F2">
      <w:pPr>
        <w:spacing w:line="360" w:lineRule="auto"/>
        <w:ind w:firstLine="480" w:firstLineChars="200"/>
        <w:rPr>
          <w:sz w:val="24"/>
          <w:szCs w:val="24"/>
        </w:rPr>
      </w:pPr>
      <w:r>
        <w:rPr>
          <w:rFonts w:hint="eastAsia"/>
          <w:sz w:val="24"/>
          <w:szCs w:val="24"/>
        </w:rPr>
        <w:t>接入企业生产区域人员定位分布信息，结合卡口/门禁系统数据，准确显示园区人员分布动态，支持查询展示特定人员实时位置和历史轨迹；支持园区内人员分布异常情况的报警提示、统计分析、视频联动及可视化展示。</w:t>
      </w:r>
    </w:p>
    <w:p w14:paraId="48A231EC">
      <w:pPr>
        <w:numPr>
          <w:ilvl w:val="0"/>
          <w:numId w:val="18"/>
        </w:numPr>
        <w:spacing w:line="360" w:lineRule="auto"/>
        <w:ind w:firstLine="562" w:firstLineChars="200"/>
        <w:rPr>
          <w:b/>
          <w:bCs/>
          <w:szCs w:val="28"/>
        </w:rPr>
      </w:pPr>
      <w:r>
        <w:rPr>
          <w:rFonts w:hint="eastAsia"/>
          <w:b/>
          <w:bCs/>
          <w:szCs w:val="28"/>
        </w:rPr>
        <w:t>危险化学品运输车辆停车场管理</w:t>
      </w:r>
    </w:p>
    <w:p w14:paraId="69CC4824">
      <w:pPr>
        <w:spacing w:line="360" w:lineRule="auto"/>
        <w:ind w:firstLine="480" w:firstLineChars="200"/>
      </w:pPr>
      <w:r>
        <w:rPr>
          <w:rFonts w:hint="eastAsia"/>
          <w:sz w:val="24"/>
          <w:szCs w:val="24"/>
        </w:rPr>
        <w:t>参照《化工园区危险品运输车辆停车场建设标准》，在建设完善危险化学品停车场硬件设施的基础上，部署停车场管理系统，对接园区相关系统，实现运输车辆停放的规范化管理。支持准入清单设置、预约申请、分区管控、调度引导、统计分析等功能，支持联动视频、气体等感知设备。</w:t>
      </w:r>
    </w:p>
    <w:p w14:paraId="633ABCD4">
      <w:pPr>
        <w:spacing w:line="360" w:lineRule="auto"/>
        <w:rPr>
          <w:b/>
          <w:sz w:val="24"/>
          <w:szCs w:val="24"/>
        </w:rPr>
      </w:pPr>
      <w:r>
        <w:rPr>
          <w:b/>
          <w:sz w:val="24"/>
          <w:szCs w:val="24"/>
        </w:rPr>
        <w:t>7.6.3信息化平台</w:t>
      </w:r>
    </w:p>
    <w:p w14:paraId="17C73E6A">
      <w:pPr>
        <w:spacing w:line="360" w:lineRule="auto"/>
        <w:ind w:firstLine="641"/>
        <w:rPr>
          <w:sz w:val="24"/>
          <w:szCs w:val="24"/>
          <w:u w:color="FFFFFF"/>
        </w:rPr>
      </w:pPr>
      <w:r>
        <w:rPr>
          <w:sz w:val="24"/>
          <w:szCs w:val="24"/>
          <w:u w:color="FFFFFF"/>
        </w:rPr>
        <w:t>依据《化工园区安全风险排查治理导则（试行）》第7.4条要求“化工园区应建设安全监管和应急救援信息平台，构建基础信息库和风险隐患数据库，至少应接入企业重大危险源（储罐区和库区）实时在线监测监控相关数据、关键岗位视频监控、安全仪表等异常报警数据，实现对化工园区内重点场所、重点设施在线实时监测、动态评估和及时自动预警；化工园区应将接入数据上传至省、市级应急管理部门”。</w:t>
      </w:r>
    </w:p>
    <w:p w14:paraId="4A9BD1C6">
      <w:pPr>
        <w:spacing w:line="360" w:lineRule="auto"/>
        <w:ind w:firstLine="641"/>
        <w:rPr>
          <w:sz w:val="24"/>
          <w:szCs w:val="24"/>
          <w:u w:color="FFFFFF"/>
        </w:rPr>
      </w:pPr>
      <w:r>
        <w:rPr>
          <w:sz w:val="24"/>
          <w:szCs w:val="24"/>
          <w:u w:color="FFFFFF"/>
        </w:rPr>
        <w:t>化工园区应按照《化工园区安全风险智能化管控平台建设指南（试行）》要求，建设包含以下功能的信息化平台：</w:t>
      </w:r>
    </w:p>
    <w:p w14:paraId="78535282">
      <w:pPr>
        <w:spacing w:line="360" w:lineRule="auto"/>
        <w:ind w:firstLine="641"/>
        <w:rPr>
          <w:sz w:val="24"/>
          <w:szCs w:val="24"/>
          <w:u w:color="FFFFFF"/>
        </w:rPr>
      </w:pPr>
      <w:r>
        <w:rPr>
          <w:sz w:val="24"/>
          <w:szCs w:val="24"/>
          <w:u w:color="FFFFFF"/>
        </w:rPr>
        <w:t>1.安全基础管理，包括园区基础信息管理、装置开停车及大检修管理、第三方单位管理、执法管理</w:t>
      </w:r>
      <w:r>
        <w:rPr>
          <w:rFonts w:hint="eastAsia"/>
          <w:sz w:val="24"/>
          <w:szCs w:val="24"/>
          <w:u w:color="FFFFFF"/>
        </w:rPr>
        <w:t>、无危险废物管理模块</w:t>
      </w:r>
      <w:r>
        <w:rPr>
          <w:sz w:val="24"/>
          <w:szCs w:val="24"/>
          <w:u w:color="FFFFFF"/>
        </w:rPr>
        <w:t>等功能。</w:t>
      </w:r>
    </w:p>
    <w:p w14:paraId="3B5896C8">
      <w:pPr>
        <w:spacing w:line="360" w:lineRule="auto"/>
        <w:ind w:firstLine="641"/>
        <w:rPr>
          <w:sz w:val="24"/>
          <w:szCs w:val="24"/>
          <w:u w:color="FFFFFF"/>
        </w:rPr>
      </w:pPr>
      <w:r>
        <w:rPr>
          <w:sz w:val="24"/>
          <w:szCs w:val="24"/>
          <w:u w:color="FFFFFF"/>
        </w:rPr>
        <w:t>2.重大危险源管理，包括重大危险源包保责任落实监督、在线监测预警、重大风险管控、评估评价报告和隐患管理、重大危险源企业分类监管等功能。</w:t>
      </w:r>
    </w:p>
    <w:p w14:paraId="561CC250">
      <w:pPr>
        <w:spacing w:line="360" w:lineRule="auto"/>
        <w:ind w:firstLine="641"/>
        <w:rPr>
          <w:sz w:val="24"/>
          <w:szCs w:val="24"/>
          <w:u w:color="FFFFFF"/>
        </w:rPr>
      </w:pPr>
      <w:r>
        <w:rPr>
          <w:sz w:val="24"/>
          <w:szCs w:val="24"/>
          <w:u w:color="FFFFFF"/>
        </w:rPr>
        <w:t>3.双重预防机制，包括企业双重预防机制信息平台对接、隐患整改情况督办提醒、企业双重预防机制建设及运行效果抽查检查等功能。</w:t>
      </w:r>
    </w:p>
    <w:p w14:paraId="7DB0C28A">
      <w:pPr>
        <w:spacing w:line="360" w:lineRule="auto"/>
        <w:ind w:firstLine="641"/>
        <w:rPr>
          <w:sz w:val="24"/>
          <w:szCs w:val="24"/>
          <w:u w:color="FFFFFF"/>
        </w:rPr>
      </w:pPr>
      <w:r>
        <w:rPr>
          <w:sz w:val="24"/>
          <w:szCs w:val="24"/>
          <w:u w:color="FFFFFF"/>
        </w:rPr>
        <w:t>4.特殊作业管理，包括企业特殊作业报备、特殊作业票证统计分析、特殊作业在线抽查检查等功能。</w:t>
      </w:r>
    </w:p>
    <w:p w14:paraId="61CE5C7A">
      <w:pPr>
        <w:spacing w:line="360" w:lineRule="auto"/>
        <w:ind w:firstLine="641"/>
        <w:rPr>
          <w:sz w:val="24"/>
          <w:szCs w:val="24"/>
          <w:u w:color="FFFFFF"/>
        </w:rPr>
      </w:pPr>
      <w:r>
        <w:rPr>
          <w:sz w:val="24"/>
          <w:szCs w:val="24"/>
          <w:u w:color="FFFFFF"/>
        </w:rPr>
        <w:t>5.封闭化管理，包括门禁/卡口管理、出入园管理、危险化学品运输路径规划定位和追踪、人员分布管理、危险化学品车辆专用停车场管理等功能。</w:t>
      </w:r>
    </w:p>
    <w:p w14:paraId="06D4041B">
      <w:pPr>
        <w:spacing w:line="360" w:lineRule="auto"/>
        <w:ind w:firstLine="641"/>
        <w:rPr>
          <w:sz w:val="24"/>
          <w:szCs w:val="24"/>
          <w:u w:color="FFFFFF"/>
        </w:rPr>
      </w:pPr>
      <w:r>
        <w:rPr>
          <w:sz w:val="24"/>
          <w:szCs w:val="24"/>
          <w:u w:color="FFFFFF"/>
        </w:rPr>
        <w:t>6.应急管理，包括应急预案管理、应急资源管理、应急演练管理、应急指挥调度、应急辅助决策等功能。</w:t>
      </w:r>
    </w:p>
    <w:p w14:paraId="016F0D03">
      <w:pPr>
        <w:spacing w:line="360" w:lineRule="auto"/>
        <w:ind w:firstLine="480" w:firstLineChars="200"/>
        <w:rPr>
          <w:sz w:val="24"/>
          <w:szCs w:val="24"/>
          <w:u w:color="FFFFFF"/>
        </w:rPr>
      </w:pPr>
      <w:r>
        <w:rPr>
          <w:sz w:val="24"/>
          <w:szCs w:val="24"/>
          <w:u w:color="FFFFFF"/>
        </w:rPr>
        <w:t>规划建设淮南经开化工园区安全环保智能化中控系统，设置在开发区管委会区，建设范围覆盖淮南经开化工园区集日常监控、应急指挥、视频会议为一体的应急指挥中心。</w:t>
      </w:r>
    </w:p>
    <w:p w14:paraId="36D0E979">
      <w:pPr>
        <w:spacing w:line="360" w:lineRule="auto"/>
        <w:ind w:firstLine="480" w:firstLineChars="200"/>
        <w:rPr>
          <w:sz w:val="24"/>
          <w:szCs w:val="24"/>
          <w:u w:color="FFFFFF"/>
        </w:rPr>
      </w:pPr>
      <w:r>
        <w:rPr>
          <w:sz w:val="24"/>
          <w:szCs w:val="24"/>
          <w:u w:color="FFFFFF"/>
        </w:rPr>
        <w:t>淮南经开化工园区作为全区安全环保管理重点领域，为进一步提高安全环保管理水平，开发区管委会于2021年2月启动了淮南经济开发区安全生产一体化监管系统工作。2020年10日项目挂网招标，由安徽兴博远实信息科技有限公司以人民币335万元的价格中标。淮南经开区管委会为本系统提供监控中心、办公室、值班室、交流中心等物理空间，提供电源接入和防雷接地位置。本项目负责监控中心、办公室等房间装修、设备布置及安装调试、电（光）缆敷设接入、防雷接地、监控中心实体环境、软件部署调试、系统集成、空调安装等工作。</w:t>
      </w:r>
    </w:p>
    <w:p w14:paraId="2E253FA1">
      <w:pPr>
        <w:spacing w:line="360" w:lineRule="auto"/>
        <w:ind w:firstLine="482" w:firstLineChars="200"/>
        <w:rPr>
          <w:sz w:val="24"/>
          <w:szCs w:val="24"/>
          <w:u w:color="FFFFFF"/>
        </w:rPr>
      </w:pPr>
      <w:r>
        <w:rPr>
          <w:b/>
          <w:bCs/>
          <w:sz w:val="24"/>
          <w:szCs w:val="24"/>
          <w:u w:color="FFFFFF"/>
        </w:rPr>
        <w:t>建设内容</w:t>
      </w:r>
    </w:p>
    <w:p w14:paraId="0F7B4120">
      <w:pPr>
        <w:spacing w:line="360" w:lineRule="auto"/>
        <w:ind w:firstLine="482" w:firstLineChars="200"/>
        <w:jc w:val="left"/>
        <w:rPr>
          <w:b/>
          <w:bCs/>
          <w:sz w:val="24"/>
          <w:szCs w:val="24"/>
          <w:u w:color="FFFFFF"/>
        </w:rPr>
      </w:pPr>
      <w:r>
        <w:rPr>
          <w:b/>
          <w:bCs/>
          <w:sz w:val="24"/>
          <w:szCs w:val="24"/>
          <w:u w:color="FFFFFF"/>
        </w:rPr>
        <w:drawing>
          <wp:inline distT="0" distB="0" distL="114300" distR="114300">
            <wp:extent cx="5273040" cy="2147570"/>
            <wp:effectExtent l="0" t="0" r="3810" b="5080"/>
            <wp:docPr id="1" name="图片 1" descr="166147182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1471822289"/>
                    <pic:cNvPicPr>
                      <a:picLocks noChangeAspect="1"/>
                    </pic:cNvPicPr>
                  </pic:nvPicPr>
                  <pic:blipFill>
                    <a:blip r:embed="rId24"/>
                    <a:stretch>
                      <a:fillRect/>
                    </a:stretch>
                  </pic:blipFill>
                  <pic:spPr>
                    <a:xfrm>
                      <a:off x="0" y="0"/>
                      <a:ext cx="5273040" cy="2147570"/>
                    </a:xfrm>
                    <a:prstGeom prst="rect">
                      <a:avLst/>
                    </a:prstGeom>
                  </pic:spPr>
                </pic:pic>
              </a:graphicData>
            </a:graphic>
          </wp:inline>
        </w:drawing>
      </w:r>
    </w:p>
    <w:p w14:paraId="6ED59761">
      <w:pPr>
        <w:spacing w:line="360" w:lineRule="auto"/>
        <w:ind w:firstLine="482" w:firstLineChars="200"/>
        <w:jc w:val="left"/>
        <w:rPr>
          <w:b/>
          <w:bCs/>
          <w:sz w:val="24"/>
          <w:szCs w:val="24"/>
          <w:u w:color="FFFFFF"/>
        </w:rPr>
      </w:pPr>
      <w:r>
        <w:rPr>
          <w:b/>
          <w:bCs/>
          <w:sz w:val="24"/>
          <w:szCs w:val="24"/>
          <w:u w:color="FFFFFF"/>
        </w:rPr>
        <w:t>平台架构</w:t>
      </w:r>
    </w:p>
    <w:p w14:paraId="0B1D20CB">
      <w:pPr>
        <w:spacing w:line="360" w:lineRule="auto"/>
        <w:ind w:firstLine="482" w:firstLineChars="200"/>
        <w:jc w:val="left"/>
        <w:rPr>
          <w:b/>
          <w:bCs/>
          <w:sz w:val="24"/>
          <w:szCs w:val="24"/>
          <w:u w:color="FFFFFF"/>
        </w:rPr>
      </w:pPr>
      <w:r>
        <w:rPr>
          <w:b/>
          <w:bCs/>
          <w:sz w:val="24"/>
          <w:szCs w:val="24"/>
          <w:u w:color="FFFFFF"/>
        </w:rPr>
        <w:drawing>
          <wp:inline distT="0" distB="0" distL="114300" distR="114300">
            <wp:extent cx="3848100" cy="2057400"/>
            <wp:effectExtent l="0" t="0" r="0" b="0"/>
            <wp:docPr id="2" name="图片 2" descr="166147186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1471864516"/>
                    <pic:cNvPicPr>
                      <a:picLocks noChangeAspect="1"/>
                    </pic:cNvPicPr>
                  </pic:nvPicPr>
                  <pic:blipFill>
                    <a:blip r:embed="rId25"/>
                    <a:stretch>
                      <a:fillRect/>
                    </a:stretch>
                  </pic:blipFill>
                  <pic:spPr>
                    <a:xfrm>
                      <a:off x="0" y="0"/>
                      <a:ext cx="3848100" cy="2057400"/>
                    </a:xfrm>
                    <a:prstGeom prst="rect">
                      <a:avLst/>
                    </a:prstGeom>
                  </pic:spPr>
                </pic:pic>
              </a:graphicData>
            </a:graphic>
          </wp:inline>
        </w:drawing>
      </w:r>
    </w:p>
    <w:p w14:paraId="1BA38366">
      <w:pPr>
        <w:spacing w:line="360" w:lineRule="auto"/>
        <w:ind w:firstLine="480" w:firstLineChars="200"/>
        <w:jc w:val="left"/>
        <w:rPr>
          <w:sz w:val="24"/>
          <w:szCs w:val="24"/>
          <w:u w:color="FFFFFF"/>
        </w:rPr>
      </w:pPr>
      <w:r>
        <w:rPr>
          <w:sz w:val="24"/>
          <w:szCs w:val="24"/>
          <w:u w:color="FFFFFF"/>
        </w:rPr>
        <w:t>淮南经开区智慧安监平台建设围绕“两网两屏两中心”进行打造（两网即管理内网、服务外网；两屏指手机屏、指挥中心大屏；两中心指应急指挥调度中心、数据共享交换中心）。淮南经济开发区积极推动智慧园区建设工作，基于园区当前迫切的安全生产管理需求，以加强安全生产监管为目标，按照“研判预警、防范处置、责任落实三位一体”的建设思路，建设智慧安监一体化综合管控平台，为安全防控、防范预警等工作提供智能化的管控手段，全面提高园区安全管理水平和应急处置效率。</w:t>
      </w:r>
    </w:p>
    <w:p w14:paraId="53384B94">
      <w:pPr>
        <w:pStyle w:val="14"/>
        <w:ind w:firstLine="480"/>
        <w:rPr>
          <w:rFonts w:eastAsia="宋体"/>
          <w:szCs w:val="24"/>
          <w:u w:color="FFFFFF"/>
        </w:rPr>
      </w:pPr>
      <w:r>
        <w:rPr>
          <w:rFonts w:hint="eastAsia" w:eastAsia="宋体"/>
          <w:szCs w:val="24"/>
          <w:u w:color="FFFFFF"/>
        </w:rPr>
        <w:t>签署信息平台建设和运维协议。根据《化工园区安全风险智能化管控平台建设指南（试行）》（以讲座课程为准）要求建设园区信息化平台。建立园区平台管理规定，加快进行系统数据收集与接口对接，设置专职值守人员，督促平台加强相关人员培训。跟踪新建危化品项目落实危化监控监测物联网系统建设。</w:t>
      </w:r>
    </w:p>
    <w:p w14:paraId="1E09B8E3">
      <w:pPr>
        <w:spacing w:line="360" w:lineRule="auto"/>
        <w:ind w:firstLine="480" w:firstLineChars="200"/>
        <w:jc w:val="left"/>
        <w:rPr>
          <w:sz w:val="24"/>
          <w:szCs w:val="24"/>
          <w:u w:color="FFFFFF"/>
        </w:rPr>
      </w:pPr>
      <w:r>
        <w:rPr>
          <w:sz w:val="24"/>
          <w:szCs w:val="24"/>
          <w:u w:color="FFFFFF"/>
        </w:rPr>
        <w:t>(1)、网格化管理子系统</w:t>
      </w:r>
    </w:p>
    <w:p w14:paraId="044326FE">
      <w:pPr>
        <w:spacing w:line="360" w:lineRule="auto"/>
        <w:ind w:firstLine="480" w:firstLineChars="200"/>
        <w:jc w:val="left"/>
        <w:rPr>
          <w:sz w:val="24"/>
          <w:szCs w:val="24"/>
          <w:u w:color="FFFFFF"/>
        </w:rPr>
      </w:pPr>
      <w:r>
        <w:rPr>
          <w:sz w:val="24"/>
          <w:szCs w:val="24"/>
          <w:u w:color="FFFFFF"/>
        </w:rPr>
        <w:t>根据属地管理、地理布局、现状管理等原则，建立了“全貌划片、企况显示、分类管理、以片定责”的安全生产网格化监管模式与体系，将管辖地域划分成若干网格单元，并对每一网格实施动态、全方位管理，实现网格内“企业基本信息、风险源信息、排查信息、隐患事件处理情况、特种设备管理情况等全要素信息的常态化管理。</w:t>
      </w:r>
    </w:p>
    <w:p w14:paraId="460712D2">
      <w:pPr>
        <w:spacing w:line="360" w:lineRule="auto"/>
        <w:ind w:firstLine="480" w:firstLineChars="200"/>
        <w:jc w:val="left"/>
        <w:rPr>
          <w:sz w:val="24"/>
          <w:szCs w:val="24"/>
          <w:u w:color="FFFFFF"/>
        </w:rPr>
      </w:pPr>
      <w:r>
        <w:rPr>
          <w:sz w:val="24"/>
          <w:szCs w:val="24"/>
          <w:u w:color="FFFFFF"/>
        </w:rPr>
        <w:t>(2)、安全生产一企一档子系统</w:t>
      </w:r>
    </w:p>
    <w:p w14:paraId="668C6C2F">
      <w:pPr>
        <w:spacing w:line="360" w:lineRule="auto"/>
        <w:ind w:firstLine="480" w:firstLineChars="200"/>
        <w:jc w:val="left"/>
        <w:rPr>
          <w:sz w:val="24"/>
          <w:szCs w:val="24"/>
          <w:u w:color="FFFFFF"/>
        </w:rPr>
      </w:pPr>
      <w:r>
        <w:rPr>
          <w:sz w:val="24"/>
          <w:szCs w:val="24"/>
          <w:u w:color="FFFFFF"/>
        </w:rPr>
        <w:t>建立园区各类生产经营企业信息档案库，实现对辖区内的生产经营单位做到情况明、底数清，对每一家单位建立全面的安全生产监管档案，安全生产现状、隐患等级，实行红、橙、黄、蓝“四色”安全风险等级定位管理，实现“一企一档”，每一个经营单位生成唯一的“二维码”。</w:t>
      </w:r>
    </w:p>
    <w:p w14:paraId="5ED860A2">
      <w:pPr>
        <w:pStyle w:val="12"/>
        <w:spacing w:line="360" w:lineRule="auto"/>
        <w:ind w:firstLine="480" w:firstLineChars="200"/>
        <w:rPr>
          <w:sz w:val="24"/>
          <w:szCs w:val="24"/>
          <w:u w:color="FFFFFF"/>
        </w:rPr>
      </w:pPr>
      <w:r>
        <w:rPr>
          <w:sz w:val="24"/>
          <w:szCs w:val="24"/>
          <w:u w:color="FFFFFF"/>
        </w:rPr>
        <w:t>(3)、特种设备管理子系统</w:t>
      </w:r>
    </w:p>
    <w:p w14:paraId="09A85B09">
      <w:pPr>
        <w:pStyle w:val="12"/>
        <w:spacing w:line="360" w:lineRule="auto"/>
        <w:ind w:firstLine="480" w:firstLineChars="200"/>
        <w:rPr>
          <w:sz w:val="24"/>
          <w:szCs w:val="24"/>
          <w:u w:color="FFFFFF"/>
        </w:rPr>
      </w:pPr>
      <w:r>
        <w:rPr>
          <w:sz w:val="24"/>
          <w:szCs w:val="24"/>
          <w:u w:color="FFFFFF"/>
        </w:rPr>
        <w:t>对企业在生产过程中</w:t>
      </w:r>
      <w:r>
        <w:rPr>
          <w:rFonts w:hint="eastAsia"/>
          <w:sz w:val="24"/>
          <w:szCs w:val="24"/>
          <w:u w:color="FFFFFF"/>
          <w:lang w:eastAsia="zh-CN"/>
        </w:rPr>
        <w:t>涉及</w:t>
      </w:r>
      <w:r>
        <w:rPr>
          <w:sz w:val="24"/>
          <w:szCs w:val="24"/>
          <w:u w:color="FFFFFF"/>
        </w:rPr>
        <w:t>的特种设备，进行电子化档案的管理，针对每个设备信息，对应生成相应的二维码，扫描二维码就可以掌握到特种设备的相关情况。</w:t>
      </w:r>
    </w:p>
    <w:p w14:paraId="28E81D9F">
      <w:pPr>
        <w:pStyle w:val="12"/>
        <w:spacing w:line="360" w:lineRule="auto"/>
        <w:ind w:firstLine="480" w:firstLineChars="200"/>
        <w:rPr>
          <w:sz w:val="24"/>
          <w:szCs w:val="24"/>
          <w:u w:color="FFFFFF"/>
        </w:rPr>
      </w:pPr>
      <w:r>
        <w:rPr>
          <w:sz w:val="24"/>
          <w:szCs w:val="24"/>
          <w:u w:color="FFFFFF"/>
        </w:rPr>
        <w:t>（4）、安全隐患排查子系统</w:t>
      </w:r>
    </w:p>
    <w:p w14:paraId="0089ADE1">
      <w:pPr>
        <w:pStyle w:val="12"/>
        <w:spacing w:line="360" w:lineRule="auto"/>
        <w:ind w:firstLine="480" w:firstLineChars="200"/>
        <w:rPr>
          <w:sz w:val="24"/>
          <w:szCs w:val="24"/>
          <w:u w:color="FFFFFF"/>
        </w:rPr>
      </w:pPr>
      <w:r>
        <w:rPr>
          <w:sz w:val="24"/>
          <w:szCs w:val="24"/>
          <w:u w:color="FFFFFF"/>
        </w:rPr>
        <w:t>根据安全生产风险预防六项机制要求，对红、橙、黄、蓝不同风险等级的生产经营单位，生产排查标准，设置不同的巡查频次。强化企业自查自纠，建立企业自查机制，企业可通过平台将自查的信息上传到系统平台，系统自动派发排查工作任务，同时依托二维码或关注微信公众平台畅通居民举报、投诉的渠道，群众可通过扫描对生产经营单位存在的隐患进行反馈。</w:t>
      </w:r>
    </w:p>
    <w:p w14:paraId="42EBAAA7">
      <w:pPr>
        <w:pStyle w:val="12"/>
        <w:spacing w:line="360" w:lineRule="auto"/>
        <w:ind w:firstLine="480" w:firstLineChars="200"/>
        <w:rPr>
          <w:sz w:val="24"/>
          <w:szCs w:val="24"/>
          <w:u w:color="FFFFFF"/>
        </w:rPr>
      </w:pPr>
      <w:r>
        <w:rPr>
          <w:sz w:val="24"/>
          <w:szCs w:val="24"/>
          <w:u w:color="FFFFFF"/>
        </w:rPr>
        <w:t>（5）、隐患事件整改系统</w:t>
      </w:r>
    </w:p>
    <w:p w14:paraId="53533660">
      <w:pPr>
        <w:pStyle w:val="12"/>
        <w:spacing w:line="360" w:lineRule="auto"/>
        <w:ind w:firstLine="480" w:firstLineChars="200"/>
        <w:rPr>
          <w:sz w:val="24"/>
          <w:szCs w:val="24"/>
          <w:u w:color="FFFFFF"/>
        </w:rPr>
      </w:pPr>
      <w:r>
        <w:rPr>
          <w:sz w:val="24"/>
          <w:szCs w:val="24"/>
          <w:u w:color="FFFFFF"/>
        </w:rPr>
        <w:t>系统将排查结果自动感知发送到企业相关安全负责人的手机上、安监局等部门，领导能及时掌握辖区内所有隐患排查情况，及时进行监督整改情况，对于隐患事件，可设定限时整改时间，并建立闭环式处理流程，系统对于未及时整改的隐患及时进行预警，监督。针对于发现的非法企业进行举报，平台中可通核实后，派遣到相关的问题进行处理。</w:t>
      </w:r>
    </w:p>
    <w:p w14:paraId="32F8EF93">
      <w:pPr>
        <w:pStyle w:val="12"/>
        <w:spacing w:line="360" w:lineRule="auto"/>
        <w:ind w:firstLine="480" w:firstLineChars="200"/>
        <w:rPr>
          <w:sz w:val="24"/>
          <w:szCs w:val="24"/>
          <w:u w:color="FFFFFF"/>
        </w:rPr>
      </w:pPr>
      <w:r>
        <w:rPr>
          <w:sz w:val="24"/>
          <w:szCs w:val="24"/>
          <w:u w:color="FFFFFF"/>
        </w:rPr>
        <w:t>（6）、智慧监测预警服务系统</w:t>
      </w:r>
    </w:p>
    <w:p w14:paraId="06B1018B">
      <w:pPr>
        <w:pStyle w:val="12"/>
        <w:spacing w:line="360" w:lineRule="auto"/>
        <w:ind w:firstLine="480" w:firstLineChars="200"/>
        <w:rPr>
          <w:sz w:val="24"/>
          <w:szCs w:val="24"/>
          <w:u w:color="FFFFFF"/>
        </w:rPr>
      </w:pPr>
      <w:r>
        <w:rPr>
          <w:sz w:val="24"/>
          <w:szCs w:val="24"/>
          <w:u w:color="FFFFFF"/>
        </w:rPr>
        <w:t>系统平台可根据日常对各类生产经营单位自查及排查的要求，对未及时进行自查及排查的情况进行预警，对未及时整改的隐患进行预警。针对于预警的信息，系统以红灯进行预警提示，同时以短信的形成发送给分管领导、网格员等相关的人员能及时了解预警的信息，及时进行工作的监督及监管，督促事故隐患早发现、早排除、早治理，违法违规行为早打击、早惩处，全方位实施安全生产事故隐患排查治理标准化建设。对于隐患事件，可设定限时整改时间，并建立闭环式处理流程。</w:t>
      </w:r>
    </w:p>
    <w:p w14:paraId="2EB5E8C7">
      <w:pPr>
        <w:pStyle w:val="12"/>
        <w:spacing w:line="360" w:lineRule="auto"/>
        <w:ind w:firstLine="480" w:firstLineChars="200"/>
        <w:rPr>
          <w:sz w:val="24"/>
          <w:szCs w:val="24"/>
          <w:u w:color="FFFFFF"/>
        </w:rPr>
      </w:pPr>
      <w:r>
        <w:rPr>
          <w:sz w:val="24"/>
          <w:szCs w:val="24"/>
          <w:u w:color="FFFFFF"/>
        </w:rPr>
        <w:t>（7）、智慧安监一张图子系统</w:t>
      </w:r>
    </w:p>
    <w:p w14:paraId="2F22641A">
      <w:pPr>
        <w:pStyle w:val="12"/>
        <w:spacing w:line="360" w:lineRule="auto"/>
        <w:ind w:firstLine="480" w:firstLineChars="200"/>
        <w:rPr>
          <w:sz w:val="24"/>
          <w:szCs w:val="24"/>
          <w:u w:color="FFFFFF"/>
        </w:rPr>
      </w:pPr>
      <w:r>
        <w:rPr>
          <w:sz w:val="24"/>
          <w:szCs w:val="24"/>
          <w:u w:color="FFFFFF"/>
        </w:rPr>
        <w:t>依托于网格化的管理模式，基于全真三维地图实现对淮南开发区所有的生产经营单位进行展示。通过一张图的建立可以看到辖区所有企业的位置分布情况，根据不同的风险等级用不同的颜色图标进行标识，能直观的展示各个网格内的生产经营单位情况，通过点击每个经营单位了解此经营单位基本情况，自查的情况，主管部门排查的情况，网格员排查的情况，通过点击每一次排查的记录，能详细的了解每一次排查的具体情况。</w:t>
      </w:r>
    </w:p>
    <w:p w14:paraId="430A6762">
      <w:pPr>
        <w:pStyle w:val="12"/>
        <w:spacing w:line="360" w:lineRule="auto"/>
        <w:ind w:firstLine="480" w:firstLineChars="200"/>
        <w:rPr>
          <w:sz w:val="24"/>
          <w:szCs w:val="24"/>
          <w:u w:color="FFFFFF"/>
        </w:rPr>
      </w:pPr>
      <w:r>
        <w:rPr>
          <w:sz w:val="24"/>
          <w:szCs w:val="24"/>
          <w:u w:color="FFFFFF"/>
        </w:rPr>
        <w:t>（8）、应急救援管理系统</w:t>
      </w:r>
    </w:p>
    <w:p w14:paraId="4EB09E60">
      <w:pPr>
        <w:pStyle w:val="12"/>
        <w:spacing w:line="360" w:lineRule="auto"/>
        <w:ind w:firstLine="480" w:firstLineChars="200"/>
        <w:rPr>
          <w:sz w:val="24"/>
          <w:szCs w:val="24"/>
          <w:u w:color="FFFFFF"/>
        </w:rPr>
      </w:pPr>
      <w:r>
        <w:rPr>
          <w:sz w:val="24"/>
          <w:szCs w:val="24"/>
          <w:u w:color="FFFFFF"/>
        </w:rPr>
        <w:t>实时掌握淮南开发区（及周边主要应急资源）全部救援物资位置信息、存量信息、物资信息，并对辖区专业救</w:t>
      </w:r>
      <w:r>
        <w:rPr>
          <w:rFonts w:ascii="Times New Roman" w:hAnsi="Times New Roman" w:eastAsia="宋体"/>
          <w:sz w:val="24"/>
          <w:szCs w:val="24"/>
          <w:u w:color="FFFFFF"/>
        </w:rPr>
        <w:t>援队伍</w:t>
      </w:r>
      <w:r>
        <w:rPr>
          <w:rFonts w:hint="eastAsia" w:ascii="Times New Roman" w:hAnsi="Times New Roman" w:eastAsia="宋体"/>
          <w:sz w:val="24"/>
          <w:szCs w:val="24"/>
          <w:u w:color="FFFFFF"/>
        </w:rPr>
        <w:t>淮南市经济开发区政府专职消防队化工处置专业队等</w:t>
      </w:r>
      <w:r>
        <w:rPr>
          <w:rFonts w:ascii="Times New Roman" w:hAnsi="Times New Roman" w:eastAsia="宋体"/>
          <w:sz w:val="24"/>
          <w:szCs w:val="24"/>
          <w:u w:color="FFFFFF"/>
        </w:rPr>
        <w:t>建</w:t>
      </w:r>
      <w:r>
        <w:rPr>
          <w:sz w:val="24"/>
          <w:szCs w:val="24"/>
          <w:u w:color="FFFFFF"/>
        </w:rPr>
        <w:t>档管理，做到能够情况明、底数清。若发生应急事件，可及时了解事件发生地周边救援人员、救援物资分布情况及位置，居民人群分布情况、数量等，给领导制定救援方案、指挥调度提供数据支撑。</w:t>
      </w:r>
    </w:p>
    <w:p w14:paraId="00AD9FD1">
      <w:pPr>
        <w:pStyle w:val="12"/>
        <w:spacing w:line="360" w:lineRule="auto"/>
        <w:ind w:firstLine="480" w:firstLineChars="200"/>
        <w:rPr>
          <w:sz w:val="24"/>
          <w:szCs w:val="24"/>
          <w:u w:color="FFFFFF"/>
        </w:rPr>
      </w:pPr>
      <w:r>
        <w:rPr>
          <w:sz w:val="24"/>
          <w:szCs w:val="24"/>
          <w:u w:color="FFFFFF"/>
        </w:rPr>
        <w:t>（9）、智慧巡防指挥调度系统</w:t>
      </w:r>
    </w:p>
    <w:p w14:paraId="61EAEA30">
      <w:pPr>
        <w:pStyle w:val="12"/>
        <w:spacing w:line="360" w:lineRule="auto"/>
        <w:ind w:firstLine="480" w:firstLineChars="200"/>
        <w:rPr>
          <w:sz w:val="24"/>
          <w:szCs w:val="24"/>
          <w:u w:color="FFFFFF"/>
        </w:rPr>
      </w:pPr>
      <w:r>
        <w:rPr>
          <w:sz w:val="24"/>
          <w:szCs w:val="24"/>
          <w:u w:color="FFFFFF"/>
        </w:rPr>
        <w:t>依托于高空摄像头，针对重点监管区域架设高空探头，实现辖区监管全覆盖，以构建服务于安全生产、治安防控等视频服务应用为一体的可视化监控体系，做到事件在线抓拍、精准定位和一键指挥调度，实现对园区治理的全方位、全时段的可视化监控管理，从而可对事件作出准确判断并及时响应，对监控范围内的突发性事件录像取证，起到综合治理的效果。</w:t>
      </w:r>
    </w:p>
    <w:p w14:paraId="7AD276F0">
      <w:pPr>
        <w:pStyle w:val="12"/>
        <w:spacing w:line="360" w:lineRule="auto"/>
        <w:ind w:firstLine="480" w:firstLineChars="200"/>
        <w:rPr>
          <w:sz w:val="24"/>
          <w:szCs w:val="24"/>
          <w:u w:color="FFFFFF"/>
        </w:rPr>
      </w:pPr>
      <w:r>
        <w:rPr>
          <w:sz w:val="24"/>
          <w:szCs w:val="24"/>
          <w:u w:color="FFFFFF"/>
        </w:rPr>
        <w:t>（10）、通知公告系统</w:t>
      </w:r>
    </w:p>
    <w:p w14:paraId="078A26A0">
      <w:pPr>
        <w:pStyle w:val="12"/>
        <w:spacing w:line="360" w:lineRule="auto"/>
        <w:ind w:firstLine="480" w:firstLineChars="200"/>
        <w:rPr>
          <w:sz w:val="24"/>
          <w:szCs w:val="24"/>
          <w:u w:color="FFFFFF"/>
        </w:rPr>
      </w:pPr>
      <w:r>
        <w:rPr>
          <w:sz w:val="24"/>
          <w:szCs w:val="24"/>
          <w:u w:color="FFFFFF"/>
        </w:rPr>
        <w:t>（1）系统公告：通过系统平台可发布安全生产监管的要求、各级政府的政策文件等信息。</w:t>
      </w:r>
    </w:p>
    <w:p w14:paraId="18BB9769">
      <w:pPr>
        <w:pStyle w:val="12"/>
        <w:spacing w:line="360" w:lineRule="auto"/>
        <w:ind w:firstLine="480" w:firstLineChars="200"/>
        <w:rPr>
          <w:sz w:val="24"/>
          <w:szCs w:val="24"/>
          <w:u w:color="FFFFFF"/>
        </w:rPr>
      </w:pPr>
      <w:r>
        <w:rPr>
          <w:sz w:val="24"/>
          <w:szCs w:val="24"/>
          <w:u w:color="FFFFFF"/>
        </w:rPr>
        <w:t>（2）风险防范：针对于不同类型的风险采取的不同的防范的措施，可通过系统平台发布防范风险的资料。</w:t>
      </w:r>
    </w:p>
    <w:p w14:paraId="7B13D00D">
      <w:pPr>
        <w:pStyle w:val="12"/>
        <w:spacing w:line="360" w:lineRule="auto"/>
        <w:ind w:firstLine="480" w:firstLineChars="200"/>
        <w:rPr>
          <w:sz w:val="24"/>
          <w:szCs w:val="24"/>
          <w:u w:color="FFFFFF"/>
        </w:rPr>
      </w:pPr>
      <w:r>
        <w:rPr>
          <w:sz w:val="24"/>
          <w:szCs w:val="24"/>
          <w:u w:color="FFFFFF"/>
        </w:rPr>
        <w:t>（11）、统一短信息发布平台</w:t>
      </w:r>
    </w:p>
    <w:p w14:paraId="2DBCABFA">
      <w:pPr>
        <w:pStyle w:val="12"/>
        <w:spacing w:line="360" w:lineRule="auto"/>
        <w:ind w:firstLine="480" w:firstLineChars="200"/>
        <w:rPr>
          <w:sz w:val="24"/>
          <w:szCs w:val="24"/>
          <w:u w:color="FFFFFF"/>
        </w:rPr>
      </w:pPr>
      <w:r>
        <w:rPr>
          <w:sz w:val="24"/>
          <w:szCs w:val="24"/>
          <w:u w:color="FFFFFF"/>
        </w:rPr>
        <w:t>建立统一短信发布平台，安全生产工作中任何问题，平台除了会发送系统通知消息，还可以设置发送条件，自动感知推送手机短信提醒。</w:t>
      </w:r>
    </w:p>
    <w:p w14:paraId="69760117">
      <w:pPr>
        <w:pStyle w:val="12"/>
        <w:spacing w:line="360" w:lineRule="auto"/>
        <w:ind w:firstLine="480" w:firstLineChars="200"/>
        <w:rPr>
          <w:sz w:val="24"/>
          <w:szCs w:val="24"/>
          <w:u w:color="FFFFFF"/>
        </w:rPr>
      </w:pPr>
      <w:r>
        <w:rPr>
          <w:sz w:val="24"/>
          <w:szCs w:val="24"/>
          <w:u w:color="FFFFFF"/>
        </w:rPr>
        <w:t>同时系统可设置定期对当前一段时间内网格员和企业的安全工作排查的情况、发现问题的情况、问题整改的情况以短信的形成发送到相关领导的手机上，通过短信平台及时了解相关的工作情况，及时进行监管。</w:t>
      </w:r>
    </w:p>
    <w:p w14:paraId="07DA3174">
      <w:pPr>
        <w:pStyle w:val="12"/>
        <w:spacing w:line="360" w:lineRule="auto"/>
        <w:ind w:firstLine="480" w:firstLineChars="200"/>
        <w:rPr>
          <w:sz w:val="24"/>
          <w:szCs w:val="24"/>
          <w:u w:color="FFFFFF"/>
        </w:rPr>
      </w:pPr>
      <w:r>
        <w:rPr>
          <w:sz w:val="24"/>
          <w:szCs w:val="24"/>
          <w:u w:color="FFFFFF"/>
        </w:rPr>
        <w:t>（12）、决策支撑平台系统</w:t>
      </w:r>
    </w:p>
    <w:p w14:paraId="2AC68703">
      <w:pPr>
        <w:pStyle w:val="12"/>
        <w:spacing w:line="360" w:lineRule="auto"/>
        <w:ind w:firstLine="480" w:firstLineChars="200"/>
        <w:rPr>
          <w:sz w:val="24"/>
          <w:szCs w:val="24"/>
          <w:u w:color="FFFFFF"/>
        </w:rPr>
      </w:pPr>
      <w:r>
        <w:rPr>
          <w:sz w:val="24"/>
          <w:szCs w:val="24"/>
          <w:u w:color="FFFFFF"/>
        </w:rPr>
        <w:t>领导决策分析主要是对安全生产监管过程中各类数据信息进行智能化挖掘和分析，实现对辖区各类不同等级的生产经营单位、隐患排查情况、隐患整改的情况、各类隐患的发生率、居民反馈的情况等进行分析，形成直观的图形报表，用柱状图和饼状图来展示，实现情况一目了然、突出重点、全盘分析，辅助领导决策。</w:t>
      </w:r>
    </w:p>
    <w:p w14:paraId="1E0B2B16">
      <w:pPr>
        <w:pStyle w:val="12"/>
        <w:spacing w:line="360" w:lineRule="auto"/>
        <w:ind w:firstLine="480" w:firstLineChars="200"/>
        <w:rPr>
          <w:sz w:val="24"/>
          <w:szCs w:val="24"/>
          <w:u w:color="FFFFFF"/>
        </w:rPr>
      </w:pPr>
      <w:r>
        <w:rPr>
          <w:sz w:val="24"/>
          <w:szCs w:val="24"/>
          <w:u w:color="FFFFFF"/>
        </w:rPr>
        <w:t>（13）、指挥调度中心系统</w:t>
      </w:r>
    </w:p>
    <w:p w14:paraId="6E10E738">
      <w:pPr>
        <w:pStyle w:val="12"/>
        <w:spacing w:line="360" w:lineRule="auto"/>
        <w:ind w:firstLine="480" w:firstLineChars="200"/>
        <w:rPr>
          <w:sz w:val="24"/>
          <w:szCs w:val="24"/>
          <w:u w:color="FFFFFF"/>
        </w:rPr>
      </w:pPr>
      <w:r>
        <w:rPr>
          <w:sz w:val="24"/>
          <w:szCs w:val="24"/>
          <w:u w:color="FFFFFF"/>
        </w:rPr>
        <w:t>指挥调度中心集事件办理指挥中心、公共应急指挥中心、可视化调度中心等多中心为一个中心，对所有的事件进行统一的受理、统一派遣、统一监督、统一结案、统一反馈、统一考核，实现问题全覆盖，过程全跟踪、结果全反馈、部门全考核、责任全落实的解决方案。</w:t>
      </w:r>
    </w:p>
    <w:p w14:paraId="0440E817">
      <w:pPr>
        <w:pStyle w:val="12"/>
        <w:spacing w:line="360" w:lineRule="auto"/>
        <w:ind w:firstLine="480" w:firstLineChars="200"/>
        <w:rPr>
          <w:sz w:val="24"/>
          <w:szCs w:val="24"/>
          <w:u w:color="FFFFFF"/>
        </w:rPr>
      </w:pPr>
      <w:r>
        <w:rPr>
          <w:sz w:val="24"/>
          <w:szCs w:val="24"/>
          <w:u w:color="FFFFFF"/>
        </w:rPr>
        <w:t>（14）、化工园区封闭管理监控</w:t>
      </w:r>
    </w:p>
    <w:p w14:paraId="0FA1C912">
      <w:pPr>
        <w:pStyle w:val="12"/>
        <w:spacing w:line="360" w:lineRule="auto"/>
        <w:ind w:firstLine="480" w:firstLineChars="200"/>
        <w:rPr>
          <w:sz w:val="24"/>
          <w:szCs w:val="24"/>
          <w:u w:color="FFFFFF"/>
        </w:rPr>
      </w:pPr>
      <w:r>
        <w:rPr>
          <w:sz w:val="24"/>
          <w:szCs w:val="24"/>
          <w:u w:color="FFFFFF"/>
        </w:rPr>
        <w:t>对化工园区设立封闭管理岗亭、门禁，安装视频监控协调。开发后台门禁管理系统，实现机动车登记管理通行，监控信息实时传送到监控平台。</w:t>
      </w:r>
    </w:p>
    <w:p w14:paraId="52AA287D">
      <w:pPr>
        <w:pStyle w:val="12"/>
        <w:spacing w:line="360" w:lineRule="auto"/>
        <w:ind w:firstLine="480" w:firstLineChars="200"/>
        <w:rPr>
          <w:sz w:val="24"/>
          <w:szCs w:val="24"/>
          <w:u w:color="FFFFFF"/>
        </w:rPr>
      </w:pPr>
      <w:r>
        <w:rPr>
          <w:sz w:val="24"/>
          <w:szCs w:val="24"/>
          <w:u w:color="FFFFFF"/>
        </w:rPr>
        <w:t>（15）、安监E通子系统</w:t>
      </w:r>
    </w:p>
    <w:p w14:paraId="6A834766">
      <w:pPr>
        <w:pStyle w:val="12"/>
        <w:spacing w:line="360" w:lineRule="auto"/>
        <w:ind w:firstLine="480" w:firstLineChars="200"/>
        <w:rPr>
          <w:sz w:val="24"/>
          <w:szCs w:val="24"/>
          <w:u w:color="FFFFFF"/>
        </w:rPr>
      </w:pPr>
      <w:r>
        <w:rPr>
          <w:sz w:val="24"/>
          <w:szCs w:val="24"/>
          <w:u w:color="FFFFFF"/>
        </w:rPr>
        <w:t>依托于android手机端建立工作人员手机端，通过手机端网格员可进行生产经营单位的信息采集及完善，工作人员可通过手机端进行隐患排查上报，了解以往隐患排查情况，满足随时随地工作的需求。面向管委会领导，提供安全员日常工作清单、隐患排查检查工作落实情况等方面的信息查询功能通过领导E通，领导可随时随地了解安全生产工作开展情况，对相关工作事项进行及时督办。当发生应急事件时，可在手机端调取事件附近的视频监控画面，即时通讯能力了解现场情况，进行有效指挥，防止事态的进一步扩大。</w:t>
      </w:r>
    </w:p>
    <w:p w14:paraId="6E211B4C">
      <w:pPr>
        <w:pStyle w:val="12"/>
        <w:spacing w:line="360" w:lineRule="auto"/>
        <w:ind w:firstLine="480" w:firstLineChars="200"/>
        <w:rPr>
          <w:sz w:val="24"/>
          <w:szCs w:val="24"/>
          <w:u w:color="FFFFFF"/>
        </w:rPr>
      </w:pPr>
      <w:r>
        <w:rPr>
          <w:sz w:val="24"/>
          <w:szCs w:val="24"/>
          <w:u w:color="FFFFFF"/>
        </w:rPr>
        <w:t>（1</w:t>
      </w:r>
      <w:r>
        <w:rPr>
          <w:rFonts w:hint="eastAsia"/>
          <w:sz w:val="24"/>
          <w:szCs w:val="24"/>
          <w:u w:color="FFFFFF"/>
        </w:rPr>
        <w:t>6</w:t>
      </w:r>
      <w:r>
        <w:rPr>
          <w:sz w:val="24"/>
          <w:szCs w:val="24"/>
          <w:u w:color="FFFFFF"/>
        </w:rPr>
        <w:t>）</w:t>
      </w:r>
      <w:r>
        <w:rPr>
          <w:rFonts w:hint="eastAsia"/>
          <w:sz w:val="24"/>
          <w:szCs w:val="24"/>
          <w:u w:color="FFFFFF"/>
        </w:rPr>
        <w:t>无危险废物管理模块</w:t>
      </w:r>
    </w:p>
    <w:p w14:paraId="3001DD09">
      <w:pPr>
        <w:pStyle w:val="45"/>
        <w:tabs>
          <w:tab w:val="left" w:pos="1290"/>
        </w:tabs>
        <w:spacing w:line="360" w:lineRule="auto"/>
        <w:ind w:firstLine="480"/>
        <w:rPr>
          <w:sz w:val="24"/>
          <w:szCs w:val="24"/>
          <w:u w:color="FFFFFF"/>
        </w:rPr>
      </w:pPr>
      <w:r>
        <w:rPr>
          <w:sz w:val="24"/>
          <w:szCs w:val="24"/>
          <w:u w:color="FFFFFF"/>
        </w:rPr>
        <w:t>化工园区按照《固体废物污染环境防治法》、《危险废物转移联单管理办法》等法规、标准的要求，对于园区内产生危险废物的企业加强监管。化工园区应按照有关法律法规和国家标准规范对产生的固体废物特别是危险废物全部进行安全处置，必要时建设配套的固体废物特别是危险废物集中处置设施，并实行专业化运营管理，充分利用信息化等手段对危险废物种类、产生量、流向、贮存、处置、转移等全链条的风险实施监督和管理。工业和信息化部、应急管理部等6部委《关于印发〈化工园区建设标准和认定管理办法（试行）〉的通知》(工信部联原〔2021〕220号)中第十一条明确了化工园区危险废物收集处置能力及相关要求。</w:t>
      </w:r>
    </w:p>
    <w:p w14:paraId="7A66D893">
      <w:pPr>
        <w:pStyle w:val="45"/>
        <w:tabs>
          <w:tab w:val="left" w:pos="1290"/>
        </w:tabs>
        <w:spacing w:line="360" w:lineRule="auto"/>
        <w:ind w:firstLine="480"/>
        <w:rPr>
          <w:sz w:val="24"/>
          <w:szCs w:val="24"/>
          <w:u w:color="FFFFFF"/>
        </w:rPr>
      </w:pPr>
      <w:r>
        <w:rPr>
          <w:rFonts w:hint="eastAsia"/>
          <w:sz w:val="24"/>
          <w:szCs w:val="24"/>
          <w:u w:color="FFFFFF"/>
        </w:rPr>
        <w:t>将危险废物管理模块纳入拟建设的化工园区智能化安全风险管控平台。修编《淮南经开化工园区危险废物安全处置制度》内容，建立有效的危险废物全过程的管控制度（如《危险废物安全管理制度》）；完善化工园区层面危险废物统计、编制管理计划和相关台账清单。</w:t>
      </w:r>
    </w:p>
    <w:p w14:paraId="6248DB64">
      <w:pPr>
        <w:spacing w:line="360" w:lineRule="auto"/>
        <w:rPr>
          <w:b/>
          <w:sz w:val="24"/>
          <w:szCs w:val="24"/>
        </w:rPr>
      </w:pPr>
      <w:r>
        <w:rPr>
          <w:b/>
          <w:sz w:val="24"/>
          <w:szCs w:val="24"/>
          <w:u w:color="FFFFFF"/>
        </w:rPr>
        <w:t>7.6.4</w:t>
      </w:r>
      <w:r>
        <w:rPr>
          <w:b/>
          <w:sz w:val="24"/>
          <w:szCs w:val="24"/>
        </w:rPr>
        <w:t>危化品停车场</w:t>
      </w:r>
    </w:p>
    <w:p w14:paraId="459936D5">
      <w:pPr>
        <w:spacing w:line="360" w:lineRule="auto"/>
        <w:ind w:firstLine="480" w:firstLineChars="200"/>
        <w:rPr>
          <w:sz w:val="24"/>
          <w:szCs w:val="24"/>
          <w:u w:color="FFFFFF"/>
        </w:rPr>
      </w:pPr>
      <w:r>
        <w:rPr>
          <w:sz w:val="24"/>
          <w:szCs w:val="24"/>
          <w:u w:color="FFFFFF"/>
        </w:rPr>
        <w:t>依据《化工园区安全风险排查治理导则（试行）》第6.4条要求“有危险化学品车辆聚集较大安全风险的化工园区应建设危险化学品车辆专用停车场并严格管理”。</w:t>
      </w:r>
    </w:p>
    <w:p w14:paraId="0BFA732B">
      <w:pPr>
        <w:spacing w:line="360" w:lineRule="auto"/>
        <w:ind w:firstLine="480" w:firstLineChars="200"/>
        <w:rPr>
          <w:sz w:val="24"/>
          <w:szCs w:val="24"/>
        </w:rPr>
      </w:pPr>
      <w:r>
        <w:rPr>
          <w:sz w:val="24"/>
          <w:szCs w:val="24"/>
        </w:rPr>
        <w:t>化工园区应按照有关规定开展危险品运输风险评价，有较大危险化学品车辆聚集安全风险的化工园区应参照《化工园区危险品运输车辆停车场建设标准》（T-CPCIF0050-2020），建设危险化学品车辆专用停车场，明确管理职责，制定管理制度，严格管理。危险化学品车辆专用停车场的安全、消防、环保、监测预警、救援等安全设施必须严格落实建设项目“三同时”要求。</w:t>
      </w:r>
    </w:p>
    <w:p w14:paraId="7BA89A50">
      <w:pPr>
        <w:spacing w:line="360" w:lineRule="auto"/>
        <w:ind w:firstLine="480" w:firstLineChars="200"/>
        <w:rPr>
          <w:sz w:val="24"/>
          <w:szCs w:val="24"/>
        </w:rPr>
      </w:pPr>
      <w:r>
        <w:rPr>
          <w:sz w:val="24"/>
          <w:szCs w:val="24"/>
        </w:rPr>
        <w:t>化工园区产业集聚、园区内运输的危险化学品类型多样，具有较高的运输安全风险。为有效管控园区危险化学品运输风险，园区应采取高清监控视频、GPS定位卡、智能化监控、周界报警设备、车辆违法违规行为自动识别告知等手段对车辆及人员状态进行轨迹追踪预警，对车辆装卸进行动态监控，并采用车辆入园审批、设立车辆专用道路、限时限速行驶等管控措施，降低园区运输风险，减少安全隐患。根据风险评估情况，存在危险化学品车辆聚集等较大安全风险的化工园区应建设危险化学品车辆专用停车场，可参照《化工园区危险品运输车辆停车场建设标准》（T-CPCIF 0050-2020）建设并严格管理。</w:t>
      </w:r>
    </w:p>
    <w:p w14:paraId="3285F944">
      <w:pPr>
        <w:pStyle w:val="55"/>
        <w:spacing w:line="360" w:lineRule="auto"/>
        <w:ind w:firstLine="480"/>
        <w:rPr>
          <w:sz w:val="24"/>
          <w:szCs w:val="24"/>
        </w:rPr>
      </w:pPr>
      <w:r>
        <w:rPr>
          <w:sz w:val="24"/>
          <w:szCs w:val="24"/>
        </w:rPr>
        <w:t>通过分析化工园区液体危化品罐车的企业及储存物料分布表分析园区液体危险化学品品种较少，储存数量不多。考虑园区同时进行装卸作业（规划中远期按照一个企业每次1辆危化品车设计），设计了危化品停车场，考虑中远期的预留，设计有31个应急停车位。</w:t>
      </w:r>
    </w:p>
    <w:p w14:paraId="49ABF58F">
      <w:pPr>
        <w:spacing w:line="360" w:lineRule="auto"/>
        <w:ind w:firstLine="480" w:firstLineChars="200"/>
        <w:rPr>
          <w:sz w:val="24"/>
          <w:szCs w:val="24"/>
        </w:rPr>
      </w:pPr>
      <w:r>
        <w:rPr>
          <w:rFonts w:hint="eastAsia"/>
          <w:sz w:val="24"/>
          <w:szCs w:val="24"/>
        </w:rPr>
        <w:t>依据</w:t>
      </w:r>
      <w:r>
        <w:rPr>
          <w:sz w:val="24"/>
          <w:szCs w:val="24"/>
        </w:rPr>
        <w:t>工业和信息化部、应急管理部等6部委《关于印发〈化工园区建设标准和认定管理办法（试行）〉的通知》(工信部联原〔2021〕220号)中第十条要求化工园区应严格管控运输安全风险，实行专用道路、专用车道、限时限速行驶，并根据需要配套建设危险化学品车辆专用停车场，防止安全风险积聚。</w:t>
      </w:r>
    </w:p>
    <w:p w14:paraId="3076E291">
      <w:pPr>
        <w:spacing w:line="360" w:lineRule="auto"/>
        <w:ind w:firstLine="480" w:firstLineChars="200"/>
        <w:rPr>
          <w:sz w:val="24"/>
          <w:szCs w:val="24"/>
        </w:rPr>
      </w:pPr>
      <w:r>
        <w:rPr>
          <w:sz w:val="24"/>
          <w:szCs w:val="24"/>
        </w:rPr>
        <w:t>第十五条要求化工园区管理机构应按照有关规定开展园区对外危险货物运输风险论证等工作。</w:t>
      </w:r>
    </w:p>
    <w:p w14:paraId="6448FE58">
      <w:pPr>
        <w:spacing w:line="360" w:lineRule="auto"/>
        <w:ind w:firstLine="480" w:firstLineChars="200"/>
        <w:rPr>
          <w:sz w:val="24"/>
          <w:szCs w:val="24"/>
        </w:rPr>
      </w:pPr>
      <w:r>
        <w:rPr>
          <w:sz w:val="24"/>
          <w:szCs w:val="24"/>
        </w:rPr>
        <w:t>第十九条要求交通运输主管部门负责依职责指导化工园区对外危险货物运输风险论证工作。</w:t>
      </w:r>
    </w:p>
    <w:p w14:paraId="0F87E7AE">
      <w:pPr>
        <w:spacing w:line="360" w:lineRule="auto"/>
        <w:ind w:firstLine="480" w:firstLineChars="200"/>
        <w:rPr>
          <w:sz w:val="24"/>
          <w:szCs w:val="24"/>
        </w:rPr>
      </w:pPr>
      <w:r>
        <w:rPr>
          <w:sz w:val="24"/>
          <w:szCs w:val="24"/>
        </w:rPr>
        <w:t>化工园区运输车辆进出进行实时监控，专用道路、专用车道和限时限速行驶等机制，危险化学品车辆专用停车场规划在建设在长宁路与华兴路交口东南角，占地面积约51.69亩，具体总图和技术经济指标见下表和总图。</w:t>
      </w:r>
    </w:p>
    <w:p w14:paraId="512B49E9">
      <w:pPr>
        <w:pStyle w:val="12"/>
        <w:spacing w:line="360" w:lineRule="auto"/>
        <w:ind w:firstLine="480" w:firstLineChars="200"/>
        <w:rPr>
          <w:sz w:val="24"/>
          <w:szCs w:val="24"/>
        </w:rPr>
      </w:pPr>
      <w:r>
        <w:rPr>
          <w:sz w:val="24"/>
          <w:szCs w:val="24"/>
        </w:rPr>
        <w:object>
          <v:shape id="_x0000_i1025" o:spt="75" type="#_x0000_t75" style="height:366.75pt;width:403.5pt;" o:ole="t" filled="f" o:preferrelative="t" stroked="f" coordsize="21600,21600">
            <v:path/>
            <v:fill on="f" focussize="0,0"/>
            <v:stroke on="f" joinstyle="miter"/>
            <v:imagedata r:id="rId27" cropleft="21921f" croptop="8867f" cropright="16222f" cropbottom="8867f" o:title=""/>
            <o:lock v:ext="edit" aspectratio="f"/>
            <w10:wrap type="none"/>
            <w10:anchorlock/>
          </v:shape>
          <o:OLEObject Type="Embed" ProgID="AutoCAD.Drawing.20" ShapeID="_x0000_i1025" DrawAspect="Content" ObjectID="_1468075727" r:id="rId26">
            <o:LockedField>false</o:LockedField>
          </o:OLEObject>
        </w:object>
      </w:r>
    </w:p>
    <w:p w14:paraId="3A65BE35">
      <w:pPr>
        <w:pStyle w:val="55"/>
        <w:ind w:firstLine="560"/>
      </w:pPr>
      <w:r>
        <w:object>
          <v:shape id="_x0000_i1026" o:spt="75" type="#_x0000_t75" style="height:231.75pt;width:351.75pt;" o:ole="t" filled="f" o:preferrelative="t" stroked="f" coordsize="21600,21600">
            <v:path/>
            <v:fill on="f" focussize="0,0"/>
            <v:stroke on="f" joinstyle="miter"/>
            <v:imagedata r:id="rId29" cropleft="21921f" croptop="22464f" cropright="26305f" cropbottom="22464f" o:title=""/>
            <o:lock v:ext="edit" aspectratio="f"/>
            <w10:wrap type="none"/>
            <w10:anchorlock/>
          </v:shape>
          <o:OLEObject Type="Embed" ProgID="AutoCAD.Drawing.20" ShapeID="_x0000_i1026" DrawAspect="Content" ObjectID="_1468075728" r:id="rId28">
            <o:LockedField>false</o:LockedField>
          </o:OLEObject>
        </w:object>
      </w:r>
    </w:p>
    <w:p w14:paraId="0EC7A994">
      <w:pPr>
        <w:pStyle w:val="55"/>
        <w:ind w:firstLine="560"/>
        <w:jc w:val="center"/>
      </w:pPr>
      <w:r>
        <w:t>停车场总平面布置图</w:t>
      </w:r>
    </w:p>
    <w:p w14:paraId="5AD884C8">
      <w:pPr>
        <w:spacing w:beforeLines="50" w:afterLines="50" w:line="360" w:lineRule="auto"/>
        <w:rPr>
          <w:b/>
          <w:sz w:val="24"/>
          <w:szCs w:val="24"/>
        </w:rPr>
      </w:pPr>
      <w:r>
        <w:rPr>
          <w:b/>
          <w:sz w:val="24"/>
          <w:szCs w:val="24"/>
          <w:u w:color="FFFFFF"/>
        </w:rPr>
        <w:t>7.6.5化工安全技能实训基地</w:t>
      </w:r>
    </w:p>
    <w:p w14:paraId="32C71258">
      <w:pPr>
        <w:spacing w:line="360" w:lineRule="auto"/>
        <w:ind w:firstLine="480" w:firstLineChars="200"/>
        <w:rPr>
          <w:sz w:val="24"/>
          <w:szCs w:val="24"/>
        </w:rPr>
      </w:pPr>
      <w:r>
        <w:rPr>
          <w:sz w:val="24"/>
          <w:szCs w:val="24"/>
        </w:rPr>
        <w:t>工业和信息化部、应急管理部等6部委《关于印发〈化工园区建设标准和认定管理办法（试行）〉的通知》(工信部联原〔2021〕220号)中第十三条要求化工园区应采取自建、共建、委托服务的方式，配套建设化工安全技能实训基地。化工园区应通过自建、共建或依托重点化工企业、第三方专业机构，建立化工安全技能实训基地，实训基地应满足《化工安全技能实训基地建设指南（试行）》的要求。</w:t>
      </w:r>
    </w:p>
    <w:p w14:paraId="28FC38AF">
      <w:pPr>
        <w:spacing w:line="360" w:lineRule="auto"/>
        <w:ind w:firstLine="480" w:firstLineChars="200"/>
        <w:rPr>
          <w:sz w:val="24"/>
          <w:szCs w:val="24"/>
        </w:rPr>
      </w:pPr>
      <w:r>
        <w:rPr>
          <w:sz w:val="24"/>
          <w:szCs w:val="24"/>
        </w:rPr>
        <w:t>中共中央办公厅、国务院办公厅《关于全面加强危险化学品安全生产工作的意见》中明确提出要加强化工专业人才培养，化工重点地区要加大政策引导力度，依托化工重点企业、化工园区、职业院校、培训机构等第三方专业机构建设一批集实践教学、安全培训、专业实训、鉴定考核、资格认证等功能为一体的高水平化工安全技能实训基地。基地建设要贴近危险化学品生产实际，适应装置大型化、工艺复杂化、生产自动化的要求。</w:t>
      </w:r>
    </w:p>
    <w:p w14:paraId="0761B697">
      <w:pPr>
        <w:spacing w:line="360" w:lineRule="auto"/>
        <w:ind w:firstLine="480" w:firstLineChars="200"/>
        <w:rPr>
          <w:sz w:val="24"/>
          <w:szCs w:val="24"/>
        </w:rPr>
      </w:pPr>
      <w:r>
        <w:rPr>
          <w:sz w:val="24"/>
          <w:szCs w:val="24"/>
        </w:rPr>
        <w:t>化工园区应按照《化工安全技能实训基地建设指南（试行）》要求，通过自建、共建或依托重点化工企业、第三方专业机构，建立安全技能实训基地。淮南经开化工园区委托安徽蚌埠技师学院进行园区企业化工安全技能培训。</w:t>
      </w:r>
    </w:p>
    <w:p w14:paraId="513D29A9">
      <w:pPr>
        <w:spacing w:line="360" w:lineRule="auto"/>
        <w:ind w:firstLine="480" w:firstLineChars="200"/>
        <w:rPr>
          <w:sz w:val="24"/>
          <w:szCs w:val="24"/>
        </w:rPr>
      </w:pPr>
      <w:r>
        <w:rPr>
          <w:sz w:val="24"/>
          <w:szCs w:val="24"/>
        </w:rPr>
        <w:t>实训基地应建设典型化工设备操作与检维修实训设施、化工特殊作业安全技能实训设施、化工工艺安全实训设施、个体防护和应急处置实训设施、事故警示教育和伤害体验设施、配套培训研讨教室，满足新招录从业人员、特种作业人员、班组长等人员进行100%实训考核上岗需求，并逐步完成企业在岗从业人员的实训考核。</w:t>
      </w:r>
    </w:p>
    <w:p w14:paraId="290EEA38">
      <w:pPr>
        <w:spacing w:line="360" w:lineRule="auto"/>
        <w:rPr>
          <w:b/>
          <w:sz w:val="24"/>
          <w:szCs w:val="24"/>
          <w:u w:color="FFFFFF"/>
        </w:rPr>
      </w:pPr>
      <w:r>
        <w:rPr>
          <w:b/>
          <w:sz w:val="24"/>
          <w:szCs w:val="24"/>
          <w:u w:color="FFFFFF"/>
        </w:rPr>
        <w:t>7.6.6应急物资储备</w:t>
      </w:r>
    </w:p>
    <w:p w14:paraId="00A84CA9">
      <w:pPr>
        <w:pStyle w:val="45"/>
        <w:tabs>
          <w:tab w:val="left" w:pos="1290"/>
        </w:tabs>
        <w:spacing w:line="360" w:lineRule="auto"/>
        <w:ind w:left="108" w:firstLine="480"/>
        <w:rPr>
          <w:sz w:val="24"/>
          <w:szCs w:val="24"/>
          <w:u w:color="FFFFFF"/>
        </w:rPr>
      </w:pPr>
      <w:r>
        <w:rPr>
          <w:sz w:val="24"/>
          <w:szCs w:val="24"/>
          <w:u w:color="FFFFFF"/>
        </w:rPr>
        <w:t>园区规划项目</w:t>
      </w:r>
      <w:r>
        <w:rPr>
          <w:rFonts w:hint="eastAsia"/>
          <w:sz w:val="24"/>
          <w:szCs w:val="24"/>
          <w:u w:color="FFFFFF"/>
          <w:lang w:eastAsia="zh-CN"/>
        </w:rPr>
        <w:t>涉及</w:t>
      </w:r>
      <w:r>
        <w:rPr>
          <w:sz w:val="24"/>
          <w:szCs w:val="24"/>
          <w:u w:color="FFFFFF"/>
        </w:rPr>
        <w:t>火灾、爆炸、有毒有害物质，需要一定数量的应急物资储备，规划在仓储区设立独立的应急物资储备库，主要储备消防设备器材、抢险工具、医疗救护器材、常用药品和砂土、活性炭等事故救援物资。</w:t>
      </w:r>
    </w:p>
    <w:p w14:paraId="046DCBF5">
      <w:pPr>
        <w:pStyle w:val="45"/>
        <w:tabs>
          <w:tab w:val="left" w:pos="1290"/>
        </w:tabs>
        <w:spacing w:line="360" w:lineRule="auto"/>
        <w:ind w:firstLine="480"/>
        <w:rPr>
          <w:sz w:val="24"/>
          <w:szCs w:val="24"/>
          <w:u w:color="FFFFFF"/>
        </w:rPr>
      </w:pPr>
      <w:r>
        <w:rPr>
          <w:rFonts w:hint="eastAsia"/>
          <w:sz w:val="24"/>
          <w:szCs w:val="24"/>
          <w:u w:color="FFFFFF"/>
        </w:rPr>
        <w:t>化工园区建立了化工园区内企业及公共应急物资储备保障制度，统筹规划配备充足的应急物资装备。园区应急物资依托消防站管理，建设</w:t>
      </w:r>
      <w:bookmarkStart w:id="170" w:name="_Hlk107566039"/>
      <w:r>
        <w:rPr>
          <w:rFonts w:hint="eastAsia"/>
          <w:sz w:val="24"/>
          <w:szCs w:val="24"/>
          <w:u w:color="FFFFFF"/>
        </w:rPr>
        <w:t>综合应急物资</w:t>
      </w:r>
      <w:bookmarkEnd w:id="170"/>
      <w:r>
        <w:rPr>
          <w:rFonts w:hint="eastAsia"/>
          <w:sz w:val="24"/>
          <w:szCs w:val="24"/>
          <w:u w:color="FFFFFF"/>
        </w:rPr>
        <w:t>储备库，采购应急物资。</w:t>
      </w:r>
    </w:p>
    <w:p w14:paraId="503CB0F2">
      <w:pPr>
        <w:spacing w:line="360" w:lineRule="auto"/>
        <w:rPr>
          <w:b/>
          <w:sz w:val="24"/>
          <w:szCs w:val="24"/>
          <w:u w:color="FFFFFF"/>
        </w:rPr>
      </w:pPr>
      <w:r>
        <w:rPr>
          <w:b/>
          <w:sz w:val="24"/>
          <w:szCs w:val="24"/>
          <w:u w:color="FFFFFF"/>
        </w:rPr>
        <w:t>7.6.7安全工程措施</w:t>
      </w:r>
    </w:p>
    <w:p w14:paraId="76D88911">
      <w:pPr>
        <w:spacing w:line="360" w:lineRule="auto"/>
        <w:ind w:firstLine="480" w:firstLineChars="200"/>
        <w:rPr>
          <w:sz w:val="24"/>
          <w:szCs w:val="24"/>
          <w:u w:color="FFFFFF"/>
        </w:rPr>
      </w:pPr>
      <w:r>
        <w:rPr>
          <w:sz w:val="24"/>
          <w:szCs w:val="24"/>
          <w:u w:color="FFFFFF"/>
        </w:rPr>
        <w:t>1、重大危险源安全管理</w:t>
      </w:r>
    </w:p>
    <w:p w14:paraId="3020016D">
      <w:pPr>
        <w:spacing w:line="360" w:lineRule="auto"/>
        <w:ind w:firstLine="480" w:firstLineChars="200"/>
        <w:rPr>
          <w:sz w:val="24"/>
          <w:szCs w:val="24"/>
          <w:u w:color="FFFFFF"/>
        </w:rPr>
      </w:pPr>
      <w:r>
        <w:rPr>
          <w:sz w:val="24"/>
          <w:szCs w:val="24"/>
          <w:u w:color="FFFFFF"/>
        </w:rPr>
        <w:t>应当根据构成重大危险源的危险化学品种类、数量、生产、使用工艺（方式）或者相关设备、设施等实际情况，按照下列要求建立健全安全监测监控体系，完善控制措施：</w:t>
      </w:r>
    </w:p>
    <w:p w14:paraId="7000DF6A">
      <w:pPr>
        <w:spacing w:line="360" w:lineRule="auto"/>
        <w:ind w:firstLine="480" w:firstLineChars="200"/>
        <w:rPr>
          <w:sz w:val="24"/>
          <w:szCs w:val="24"/>
          <w:u w:color="FFFFFF"/>
        </w:rPr>
      </w:pPr>
      <w:r>
        <w:rPr>
          <w:sz w:val="24"/>
          <w:szCs w:val="24"/>
          <w:u w:color="FFFFFF"/>
        </w:rPr>
        <w:t>a、重大危险源配备温度、压力、液位、流量、组份等信息的不间断采集和监测系统以及可燃气体和有毒有害气体泄漏检测报警装置，并具备信息远传、连续记录、事故预警、信息存储等功能；一级或者二级重大危险源，具备紧急停车功能。记录的电子数据的保存时间不少于30天；</w:t>
      </w:r>
    </w:p>
    <w:p w14:paraId="680E884D">
      <w:pPr>
        <w:spacing w:line="360" w:lineRule="auto"/>
        <w:ind w:firstLine="480" w:firstLineChars="200"/>
        <w:rPr>
          <w:sz w:val="24"/>
          <w:szCs w:val="24"/>
          <w:u w:color="FFFFFF"/>
        </w:rPr>
      </w:pPr>
      <w:r>
        <w:rPr>
          <w:sz w:val="24"/>
          <w:szCs w:val="24"/>
          <w:u w:color="FFFFFF"/>
        </w:rPr>
        <w:t>b、对重大危险源中的毒性气体、剧毒液体和易燃气体等重点设施，设置紧急切断装置；毒性气体的设施，设置泄漏物紧急处置装置。涉及毒性气体、液化气体、剧毒液体的一级重大危险源，配备独立的安全仪表系统（SIS系统）；</w:t>
      </w:r>
    </w:p>
    <w:p w14:paraId="71B92E22">
      <w:pPr>
        <w:spacing w:line="360" w:lineRule="auto"/>
        <w:ind w:firstLine="480" w:firstLineChars="200"/>
        <w:rPr>
          <w:sz w:val="24"/>
          <w:szCs w:val="24"/>
          <w:u w:color="FFFFFF"/>
        </w:rPr>
      </w:pPr>
      <w:r>
        <w:rPr>
          <w:sz w:val="24"/>
          <w:szCs w:val="24"/>
          <w:u w:color="FFFFFF"/>
        </w:rPr>
        <w:t>c、重大危险源中储存剧毒物质的场所或者设施，设置视频监控系统。</w:t>
      </w:r>
    </w:p>
    <w:p w14:paraId="4AFB885E">
      <w:pPr>
        <w:spacing w:line="360" w:lineRule="auto"/>
        <w:ind w:firstLine="480" w:firstLineChars="200"/>
        <w:rPr>
          <w:sz w:val="24"/>
          <w:szCs w:val="24"/>
          <w:u w:color="FFFFFF"/>
        </w:rPr>
      </w:pPr>
      <w:r>
        <w:rPr>
          <w:sz w:val="24"/>
          <w:szCs w:val="24"/>
          <w:u w:color="FFFFFF"/>
        </w:rPr>
        <w:t>2、火灾、爆炸、有毒有害物质防范措施</w:t>
      </w:r>
    </w:p>
    <w:p w14:paraId="4EB7AF12">
      <w:pPr>
        <w:spacing w:line="360" w:lineRule="auto"/>
        <w:ind w:firstLine="480" w:firstLineChars="200"/>
        <w:rPr>
          <w:sz w:val="24"/>
          <w:szCs w:val="24"/>
          <w:u w:color="FFFFFF"/>
        </w:rPr>
      </w:pPr>
      <w:r>
        <w:rPr>
          <w:sz w:val="24"/>
          <w:szCs w:val="24"/>
          <w:u w:color="FFFFFF"/>
        </w:rPr>
        <w:t>a、采用先进、成熟、可靠的工艺技术和设备，严防“跑、冒、滴、漏”，实现全过程密闭化生产,减少火灾和爆炸的可能性；</w:t>
      </w:r>
    </w:p>
    <w:p w14:paraId="7EE23262">
      <w:pPr>
        <w:spacing w:line="360" w:lineRule="auto"/>
        <w:ind w:firstLine="480" w:firstLineChars="200"/>
        <w:rPr>
          <w:sz w:val="24"/>
          <w:szCs w:val="24"/>
          <w:u w:color="FFFFFF"/>
        </w:rPr>
      </w:pPr>
      <w:r>
        <w:rPr>
          <w:sz w:val="24"/>
          <w:szCs w:val="24"/>
          <w:u w:color="FFFFFF"/>
        </w:rPr>
        <w:t>b、总平面布置中，充分考虑总体布置的安全性，装置区内外道路保持畅通，以利消防及安全疏散。总平面布置在符合安全、消防要求的前提下，力求优化；</w:t>
      </w:r>
    </w:p>
    <w:p w14:paraId="3C62BCB6">
      <w:pPr>
        <w:spacing w:line="360" w:lineRule="auto"/>
        <w:ind w:firstLine="480" w:firstLineChars="200"/>
        <w:rPr>
          <w:sz w:val="24"/>
          <w:szCs w:val="24"/>
          <w:u w:color="FFFFFF"/>
        </w:rPr>
      </w:pPr>
      <w:r>
        <w:rPr>
          <w:sz w:val="24"/>
          <w:szCs w:val="24"/>
          <w:u w:color="FFFFFF"/>
        </w:rPr>
        <w:t>c、对可能产生泄漏的设备、管道在满足工艺条件的情况下，尽量敞开布置。为防止布置在厂房内的生产装置产生的易燃、易爆、有毒、有害物质的积聚，厂房内设计可靠的通风系统；</w:t>
      </w:r>
    </w:p>
    <w:p w14:paraId="0B6B9F04">
      <w:pPr>
        <w:spacing w:line="360" w:lineRule="auto"/>
        <w:ind w:firstLine="480" w:firstLineChars="200"/>
        <w:rPr>
          <w:sz w:val="24"/>
          <w:szCs w:val="24"/>
          <w:u w:color="FFFFFF"/>
        </w:rPr>
      </w:pPr>
      <w:r>
        <w:rPr>
          <w:sz w:val="24"/>
          <w:szCs w:val="24"/>
          <w:u w:color="FFFFFF"/>
        </w:rPr>
        <w:t>d、有火灾爆炸危险的建构筑物的结构形式以及选用材料符合防火防爆要求；</w:t>
      </w:r>
    </w:p>
    <w:p w14:paraId="56979528">
      <w:pPr>
        <w:spacing w:line="360" w:lineRule="auto"/>
        <w:ind w:firstLine="480" w:firstLineChars="200"/>
        <w:rPr>
          <w:sz w:val="24"/>
          <w:szCs w:val="24"/>
          <w:u w:color="FFFFFF"/>
        </w:rPr>
      </w:pPr>
      <w:r>
        <w:rPr>
          <w:sz w:val="24"/>
          <w:szCs w:val="24"/>
          <w:u w:color="FFFFFF"/>
        </w:rPr>
        <w:t>e、压力容器和压缩机械等设置安全阀、防爆膜等泄压保护装置；</w:t>
      </w:r>
    </w:p>
    <w:p w14:paraId="109CEF14">
      <w:pPr>
        <w:spacing w:line="360" w:lineRule="auto"/>
        <w:ind w:firstLine="480" w:firstLineChars="200"/>
        <w:rPr>
          <w:sz w:val="24"/>
          <w:szCs w:val="24"/>
          <w:u w:color="FFFFFF"/>
        </w:rPr>
      </w:pPr>
      <w:r>
        <w:rPr>
          <w:sz w:val="24"/>
          <w:szCs w:val="24"/>
          <w:u w:color="FFFFFF"/>
        </w:rPr>
        <w:t>f、安装于爆炸危险区域内的仪表符合防爆要求。各主要装置的仪表电源由保安电源（不间断供电电源）供电。生产现场设置事故照明、安全疏散指示标志；</w:t>
      </w:r>
    </w:p>
    <w:p w14:paraId="345118A4">
      <w:pPr>
        <w:spacing w:line="360" w:lineRule="auto"/>
        <w:ind w:firstLine="480" w:firstLineChars="200"/>
        <w:rPr>
          <w:sz w:val="24"/>
          <w:szCs w:val="24"/>
          <w:u w:color="FFFFFF"/>
        </w:rPr>
      </w:pPr>
      <w:r>
        <w:rPr>
          <w:sz w:val="24"/>
          <w:szCs w:val="24"/>
          <w:u w:color="FFFFFF"/>
        </w:rPr>
        <w:t>g、装置设置可燃及有毒气体检测报警器，可燃气体检测报警器选用和设置应符合《石油化工可燃气体和有毒气体检测报警设计规范》（GB50493-2009）有关规定，以做到及时发现</w:t>
      </w:r>
      <w:r>
        <w:rPr>
          <w:rFonts w:hint="eastAsia"/>
          <w:sz w:val="24"/>
          <w:szCs w:val="24"/>
          <w:u w:color="FFFFFF"/>
          <w:lang w:eastAsia="zh-CN"/>
        </w:rPr>
        <w:t>及</w:t>
      </w:r>
      <w:r>
        <w:rPr>
          <w:sz w:val="24"/>
          <w:szCs w:val="24"/>
          <w:u w:color="FFFFFF"/>
        </w:rPr>
        <w:t>时处理。</w:t>
      </w:r>
    </w:p>
    <w:p w14:paraId="04338595">
      <w:pPr>
        <w:spacing w:line="360" w:lineRule="auto"/>
        <w:ind w:firstLine="480" w:firstLineChars="200"/>
        <w:rPr>
          <w:sz w:val="24"/>
          <w:szCs w:val="24"/>
          <w:u w:color="FFFFFF"/>
        </w:rPr>
      </w:pPr>
      <w:r>
        <w:rPr>
          <w:sz w:val="24"/>
          <w:szCs w:val="24"/>
          <w:u w:color="FFFFFF"/>
        </w:rPr>
        <w:t>3、化学腐蚀防范措施</w:t>
      </w:r>
    </w:p>
    <w:p w14:paraId="601631E1">
      <w:pPr>
        <w:spacing w:line="360" w:lineRule="auto"/>
        <w:ind w:firstLine="480" w:firstLineChars="200"/>
        <w:rPr>
          <w:sz w:val="24"/>
          <w:szCs w:val="24"/>
          <w:u w:color="FFFFFF"/>
        </w:rPr>
      </w:pPr>
      <w:r>
        <w:rPr>
          <w:sz w:val="24"/>
          <w:szCs w:val="24"/>
          <w:u w:color="FFFFFF"/>
        </w:rPr>
        <w:t>园区内新建化工装置，应满足《石油化工设备和管道涂料防腐蚀技术规范》（</w:t>
      </w:r>
      <w:r>
        <w:fldChar w:fldCharType="begin"/>
      </w:r>
      <w:r>
        <w:instrText xml:space="preserve"> HYPERLINK "http://www.csres.com/detail/218215.html" \t "_blank" </w:instrText>
      </w:r>
      <w:r>
        <w:fldChar w:fldCharType="separate"/>
      </w:r>
      <w:r>
        <w:rPr>
          <w:sz w:val="24"/>
          <w:szCs w:val="24"/>
          <w:u w:color="FFFFFF"/>
        </w:rPr>
        <w:t>SH/T 3022-2011</w:t>
      </w:r>
      <w:r>
        <w:rPr>
          <w:sz w:val="24"/>
          <w:szCs w:val="24"/>
          <w:u w:color="FFFFFF"/>
        </w:rPr>
        <w:fldChar w:fldCharType="end"/>
      </w:r>
      <w:r>
        <w:rPr>
          <w:sz w:val="24"/>
          <w:szCs w:val="24"/>
          <w:u w:color="FFFFFF"/>
        </w:rPr>
        <w:t>）以及现行有关国家标准规范的相关规定。对与工艺物料直接接触的设备、管道、阀门选用合适的耐腐蚀材料制作，电机及仪表选型也考虑到防腐蚀。为保证受腐蚀性介质作用的工业建筑物、构筑物在设计使用年限内的正常使用，园区内新建工业建筑物、构筑物均应满足《工业建筑防腐蚀设计规范》（GB50046-2008）以及现行有关国家标准规范的相关规定，建构筑物设计采用耐腐蚀的建筑材料和涂料。</w:t>
      </w:r>
    </w:p>
    <w:p w14:paraId="11A4EDEA">
      <w:pPr>
        <w:spacing w:line="360" w:lineRule="auto"/>
        <w:ind w:firstLine="480" w:firstLineChars="200"/>
        <w:rPr>
          <w:sz w:val="24"/>
          <w:szCs w:val="24"/>
          <w:u w:color="FFFFFF"/>
        </w:rPr>
      </w:pPr>
      <w:r>
        <w:rPr>
          <w:sz w:val="24"/>
          <w:szCs w:val="24"/>
          <w:u w:color="FFFFFF"/>
        </w:rPr>
        <w:t>4、噪声防治措施</w:t>
      </w:r>
    </w:p>
    <w:p w14:paraId="3E8C641D">
      <w:pPr>
        <w:spacing w:line="360" w:lineRule="auto"/>
        <w:ind w:firstLine="480" w:firstLineChars="200"/>
        <w:rPr>
          <w:sz w:val="24"/>
          <w:szCs w:val="24"/>
          <w:u w:color="FFFFFF"/>
        </w:rPr>
      </w:pPr>
      <w:r>
        <w:rPr>
          <w:sz w:val="24"/>
          <w:szCs w:val="24"/>
          <w:u w:color="FFFFFF"/>
        </w:rPr>
        <w:t>为防止工业噪声的危害，保障职工的身体健康，保证安全生产和安全工作，保护环境，园区内化工装置均应采取综合控制防噪措施，防噪措施应满足《工业企业设计卫生标准》（GBZ 1-2010）、《工业企业噪声控制设计规范》（GB/T 50087-2013）以及现行有关国家标准和规范的相关规定。对于生产过程和设备产生的噪声，应首先从声源上进行控制，以低噪声的工艺设备代替高噪声的工艺设备；如仍达不到要求，则应采用隔声、消声、吸声隔振以及综合控制等噪声控制措施。同时加强厂区绿化，降低噪声的传播，对在进行防噪治理后噪声仍较大的工段，设置隔音间，并给工人配备耳塞、耳罩等防护用品。</w:t>
      </w:r>
    </w:p>
    <w:p w14:paraId="5CA2A052">
      <w:pPr>
        <w:spacing w:line="360" w:lineRule="auto"/>
        <w:ind w:firstLine="480" w:firstLineChars="200"/>
        <w:rPr>
          <w:sz w:val="24"/>
          <w:szCs w:val="24"/>
          <w:u w:color="FFFFFF"/>
        </w:rPr>
      </w:pPr>
      <w:r>
        <w:rPr>
          <w:sz w:val="24"/>
          <w:szCs w:val="24"/>
          <w:u w:color="FFFFFF"/>
        </w:rPr>
        <w:t>5、静电、雷电防范措施</w:t>
      </w:r>
    </w:p>
    <w:p w14:paraId="3FDDB2C6">
      <w:pPr>
        <w:spacing w:line="360" w:lineRule="auto"/>
        <w:ind w:firstLine="480" w:firstLineChars="200"/>
        <w:rPr>
          <w:sz w:val="24"/>
          <w:szCs w:val="24"/>
          <w:u w:color="FFFFFF"/>
        </w:rPr>
      </w:pPr>
      <w:r>
        <w:rPr>
          <w:sz w:val="24"/>
          <w:szCs w:val="24"/>
          <w:u w:color="FFFFFF"/>
        </w:rPr>
        <w:t>严格按规范划分防爆区域，在防爆区内选用防爆型电气设备和仪表。对建筑物、设备、管道等采取可靠的防雷及防静电措施。为了防止和减少雷击引起的设备损坏和人身伤亡，规范石油化工装置及其辅助设施的防雷设计，规划区内石油化工装置防雷设施应满足国家最新行业规范《石油化工装置防雷设计规范》（GB 50650-2011）、《建筑物防雷设计规范》（GB 50057-2010）以及现行有关国家标准和规范的相关规定；为了防止和减少静电危害，保障石油化工企业安全生产，产业园化工装置防静电措施应满足《石油化工静电接地设计规范》（SH 3097-2000）以及现行有关国家标准和规范的相关规定。</w:t>
      </w:r>
    </w:p>
    <w:p w14:paraId="2CC6313B">
      <w:pPr>
        <w:spacing w:line="360" w:lineRule="auto"/>
        <w:ind w:firstLine="480" w:firstLineChars="200"/>
        <w:rPr>
          <w:sz w:val="24"/>
          <w:szCs w:val="24"/>
          <w:u w:color="FFFFFF"/>
        </w:rPr>
      </w:pPr>
      <w:r>
        <w:rPr>
          <w:sz w:val="24"/>
          <w:szCs w:val="24"/>
          <w:u w:color="FFFFFF"/>
        </w:rPr>
        <w:t>6、机械及坠落意外伤害防范措施</w:t>
      </w:r>
    </w:p>
    <w:p w14:paraId="27A586B5">
      <w:pPr>
        <w:spacing w:line="360" w:lineRule="auto"/>
        <w:ind w:firstLine="480" w:firstLineChars="200"/>
        <w:rPr>
          <w:sz w:val="24"/>
          <w:szCs w:val="24"/>
          <w:u w:color="FFFFFF"/>
        </w:rPr>
      </w:pPr>
      <w:r>
        <w:rPr>
          <w:sz w:val="24"/>
          <w:szCs w:val="24"/>
          <w:u w:color="FFFFFF"/>
        </w:rPr>
        <w:t>对高速旋转或往复运动的机械零部件设计可靠的防护器、防护罩、挡板或安全围栏。传动运输设备，皮带运输线设计带有栏杆的安全走道，爬梯平台设有扶手和护栏等。</w:t>
      </w:r>
    </w:p>
    <w:p w14:paraId="71021DA6">
      <w:pPr>
        <w:spacing w:line="360" w:lineRule="auto"/>
        <w:ind w:firstLine="480" w:firstLineChars="200"/>
        <w:rPr>
          <w:sz w:val="24"/>
          <w:szCs w:val="24"/>
          <w:u w:color="FFFFFF"/>
        </w:rPr>
      </w:pPr>
      <w:r>
        <w:rPr>
          <w:sz w:val="24"/>
          <w:szCs w:val="24"/>
          <w:u w:color="FFFFFF"/>
        </w:rPr>
        <w:t>装置区内有发生坠落危险的操作岗位按规定设置便于操作、巡检和维修作业的扶梯、平台和围栏等附属设施。</w:t>
      </w:r>
    </w:p>
    <w:p w14:paraId="05B2513E">
      <w:pPr>
        <w:spacing w:line="360" w:lineRule="auto"/>
        <w:ind w:firstLine="480" w:firstLineChars="200"/>
        <w:rPr>
          <w:sz w:val="24"/>
          <w:szCs w:val="24"/>
          <w:u w:color="FFFFFF"/>
        </w:rPr>
      </w:pPr>
      <w:r>
        <w:rPr>
          <w:sz w:val="24"/>
          <w:szCs w:val="24"/>
          <w:u w:color="FFFFFF"/>
        </w:rPr>
        <w:t>凡容易发生事故或危及生命安全的场所和设备，以及需要提醒操作人员注意的地点，均按标准设置各种安全标志。凡需要迅速发现并引起注意以防发生事故的场所、部位均按标准涂安全色。</w:t>
      </w:r>
    </w:p>
    <w:p w14:paraId="5BA62898">
      <w:pPr>
        <w:spacing w:line="360" w:lineRule="auto"/>
        <w:ind w:firstLine="480" w:firstLineChars="200"/>
        <w:rPr>
          <w:sz w:val="24"/>
          <w:szCs w:val="24"/>
          <w:u w:color="FFFFFF"/>
        </w:rPr>
      </w:pPr>
      <w:r>
        <w:rPr>
          <w:sz w:val="24"/>
          <w:szCs w:val="24"/>
          <w:u w:color="FFFFFF"/>
        </w:rPr>
        <w:t>7、职业安全卫生防范措施</w:t>
      </w:r>
    </w:p>
    <w:p w14:paraId="0FF94DD6">
      <w:pPr>
        <w:spacing w:line="360" w:lineRule="auto"/>
        <w:ind w:firstLine="480" w:firstLineChars="200"/>
        <w:rPr>
          <w:sz w:val="24"/>
          <w:szCs w:val="24"/>
          <w:u w:color="FFFFFF"/>
        </w:rPr>
      </w:pPr>
      <w:r>
        <w:rPr>
          <w:sz w:val="24"/>
          <w:szCs w:val="24"/>
          <w:u w:color="FFFFFF"/>
        </w:rPr>
        <w:t>在操作人员可能接触有毒有害物质的地点，就近设置事故淋浴和洗眼器，以便及时冲洗。</w:t>
      </w:r>
    </w:p>
    <w:p w14:paraId="2C675471">
      <w:pPr>
        <w:spacing w:line="360" w:lineRule="auto"/>
        <w:ind w:firstLine="480" w:firstLineChars="200"/>
        <w:rPr>
          <w:sz w:val="24"/>
          <w:szCs w:val="24"/>
          <w:u w:color="FFFFFF"/>
        </w:rPr>
      </w:pPr>
      <w:r>
        <w:rPr>
          <w:sz w:val="24"/>
          <w:szCs w:val="24"/>
          <w:u w:color="FFFFFF"/>
        </w:rPr>
        <w:t>对高温设备和管线进行保温，并合理配置蒸汽和冷凝液的管道接头，以防物料喷出而造成烫伤或冻伤。</w:t>
      </w:r>
    </w:p>
    <w:p w14:paraId="7E31A5D9">
      <w:pPr>
        <w:spacing w:line="360" w:lineRule="auto"/>
        <w:ind w:firstLine="480" w:firstLineChars="200"/>
        <w:rPr>
          <w:sz w:val="24"/>
          <w:szCs w:val="24"/>
          <w:u w:color="FFFFFF"/>
        </w:rPr>
      </w:pPr>
      <w:r>
        <w:rPr>
          <w:sz w:val="24"/>
          <w:szCs w:val="24"/>
          <w:u w:color="FFFFFF"/>
        </w:rPr>
        <w:t>各装置根据工作环境特点配备补充各种必需的防护用具和用品。包括眼面防护用具、防护手套、防毒面具、耳塞、耳罩等。</w:t>
      </w:r>
    </w:p>
    <w:p w14:paraId="5196672D">
      <w:pPr>
        <w:spacing w:line="360" w:lineRule="auto"/>
        <w:ind w:firstLine="480" w:firstLineChars="200"/>
        <w:rPr>
          <w:sz w:val="24"/>
          <w:szCs w:val="24"/>
          <w:u w:color="FFFFFF"/>
        </w:rPr>
      </w:pPr>
      <w:r>
        <w:rPr>
          <w:sz w:val="24"/>
          <w:szCs w:val="24"/>
          <w:u w:color="FFFFFF"/>
        </w:rPr>
        <w:t>8、职业安全卫生教育、管理机构</w:t>
      </w:r>
    </w:p>
    <w:p w14:paraId="18738523">
      <w:pPr>
        <w:spacing w:line="360" w:lineRule="auto"/>
        <w:ind w:firstLine="480" w:firstLineChars="200"/>
        <w:rPr>
          <w:sz w:val="24"/>
          <w:szCs w:val="24"/>
          <w:u w:color="FFFFFF"/>
        </w:rPr>
      </w:pPr>
      <w:r>
        <w:rPr>
          <w:sz w:val="24"/>
          <w:szCs w:val="24"/>
          <w:u w:color="FFFFFF"/>
        </w:rPr>
        <w:t>在园区设置安全卫生管理机构，配备专门人员和必要的仪器设备。</w:t>
      </w:r>
    </w:p>
    <w:p w14:paraId="4D1EE381">
      <w:pPr>
        <w:spacing w:line="360" w:lineRule="auto"/>
        <w:ind w:firstLine="480" w:firstLineChars="200"/>
        <w:rPr>
          <w:sz w:val="24"/>
          <w:szCs w:val="24"/>
          <w:u w:color="FFFFFF"/>
        </w:rPr>
      </w:pPr>
      <w:r>
        <w:rPr>
          <w:sz w:val="24"/>
          <w:szCs w:val="24"/>
          <w:u w:color="FFFFFF"/>
        </w:rPr>
        <w:t>9、化学救护中心</w:t>
      </w:r>
    </w:p>
    <w:p w14:paraId="2FB9C016">
      <w:pPr>
        <w:spacing w:line="360" w:lineRule="auto"/>
        <w:ind w:firstLine="480" w:firstLineChars="200"/>
        <w:rPr>
          <w:sz w:val="24"/>
          <w:szCs w:val="24"/>
          <w:u w:color="FFFFFF"/>
        </w:rPr>
      </w:pPr>
      <w:r>
        <w:rPr>
          <w:sz w:val="24"/>
          <w:szCs w:val="24"/>
          <w:u w:color="FFFFFF"/>
        </w:rPr>
        <w:t>为了积极应对突发安全生产事故，对受伤人员进行幻夜救护，园区应依托</w:t>
      </w:r>
      <w:r>
        <w:rPr>
          <w:rFonts w:hint="eastAsia"/>
          <w:sz w:val="24"/>
          <w:szCs w:val="24"/>
        </w:rPr>
        <w:t>淮南济民医院急救中心</w:t>
      </w:r>
      <w:r>
        <w:rPr>
          <w:sz w:val="24"/>
          <w:szCs w:val="24"/>
        </w:rPr>
        <w:t>（</w:t>
      </w:r>
      <w:r>
        <w:rPr>
          <w:rFonts w:hint="eastAsia"/>
          <w:sz w:val="24"/>
          <w:szCs w:val="24"/>
        </w:rPr>
        <w:t>淮南经开化工园区应急救援医疗救护协议单位</w:t>
      </w:r>
      <w:r>
        <w:rPr>
          <w:sz w:val="24"/>
          <w:szCs w:val="24"/>
        </w:rPr>
        <w:t>）</w:t>
      </w:r>
      <w:r>
        <w:rPr>
          <w:sz w:val="24"/>
          <w:szCs w:val="24"/>
          <w:u w:color="FFFFFF"/>
        </w:rPr>
        <w:t>建立园区化学医疗救护中心。</w:t>
      </w:r>
    </w:p>
    <w:p w14:paraId="4CC73CA4">
      <w:pPr>
        <w:spacing w:line="360" w:lineRule="auto"/>
        <w:ind w:firstLine="480" w:firstLineChars="200"/>
        <w:rPr>
          <w:sz w:val="24"/>
          <w:szCs w:val="24"/>
          <w:u w:color="FFFFFF"/>
        </w:rPr>
      </w:pPr>
      <w:r>
        <w:rPr>
          <w:sz w:val="24"/>
          <w:szCs w:val="24"/>
          <w:u w:color="FFFFFF"/>
        </w:rPr>
        <w:t>10、工程建设控制措施</w:t>
      </w:r>
    </w:p>
    <w:p w14:paraId="0D94C22B">
      <w:pPr>
        <w:spacing w:line="360" w:lineRule="auto"/>
        <w:ind w:firstLine="480" w:firstLineChars="200"/>
        <w:rPr>
          <w:sz w:val="24"/>
          <w:szCs w:val="24"/>
          <w:u w:color="FFFFFF"/>
        </w:rPr>
      </w:pPr>
      <w:r>
        <w:rPr>
          <w:sz w:val="24"/>
          <w:szCs w:val="24"/>
          <w:u w:color="FFFFFF"/>
        </w:rPr>
        <w:t>园区管理宜从项目建设开始、提高项目的本质化安全。项目建设按国家规定的建设程序进行安全评价、环境评价、职业卫生评价，并委托有相关资质的设计院、工程公司等单位进行安全设计、安全施工、安全监理，确保工程项目建设符合国家相关规范。园区管委会应对入园项目设计单位、施工单位、监理单位采取备案审查制度。</w:t>
      </w:r>
    </w:p>
    <w:p w14:paraId="6D7550CB">
      <w:pPr>
        <w:spacing w:line="360" w:lineRule="auto"/>
        <w:rPr>
          <w:b/>
          <w:sz w:val="24"/>
          <w:szCs w:val="24"/>
          <w:u w:color="FFFFFF"/>
        </w:rPr>
      </w:pPr>
      <w:r>
        <w:rPr>
          <w:b/>
          <w:sz w:val="24"/>
          <w:szCs w:val="24"/>
          <w:u w:color="FFFFFF"/>
        </w:rPr>
        <w:t>7.6.8危化品生产和储存企业搬迁</w:t>
      </w:r>
    </w:p>
    <w:p w14:paraId="1AC8FDE5">
      <w:pPr>
        <w:spacing w:line="360" w:lineRule="auto"/>
        <w:ind w:firstLine="480" w:firstLineChars="200"/>
        <w:rPr>
          <w:spacing w:val="-1"/>
          <w:sz w:val="24"/>
          <w:szCs w:val="24"/>
        </w:rPr>
      </w:pPr>
      <w:r>
        <w:rPr>
          <w:sz w:val="24"/>
          <w:szCs w:val="24"/>
          <w:u w:color="FFFFFF"/>
        </w:rPr>
        <w:t>本规划区内涉及</w:t>
      </w:r>
      <w:r>
        <w:rPr>
          <w:rFonts w:eastAsiaTheme="minorEastAsia"/>
          <w:snapToGrid w:val="0"/>
          <w:sz w:val="24"/>
          <w:szCs w:val="24"/>
        </w:rPr>
        <w:t>共确定</w:t>
      </w:r>
      <w:r>
        <w:rPr>
          <w:rFonts w:hint="eastAsia" w:eastAsiaTheme="minorEastAsia"/>
          <w:snapToGrid w:val="0"/>
          <w:sz w:val="24"/>
          <w:szCs w:val="24"/>
        </w:rPr>
        <w:t>二</w:t>
      </w:r>
      <w:r>
        <w:rPr>
          <w:rFonts w:eastAsiaTheme="minorEastAsia"/>
          <w:snapToGrid w:val="0"/>
          <w:sz w:val="24"/>
          <w:szCs w:val="24"/>
        </w:rPr>
        <w:t>家企业</w:t>
      </w:r>
      <w:r>
        <w:rPr>
          <w:rFonts w:hint="eastAsia" w:eastAsiaTheme="minorEastAsia"/>
          <w:snapToGrid w:val="0"/>
          <w:sz w:val="24"/>
          <w:szCs w:val="24"/>
        </w:rPr>
        <w:t>4</w:t>
      </w:r>
      <w:r>
        <w:rPr>
          <w:rFonts w:eastAsiaTheme="minorEastAsia"/>
          <w:snapToGrid w:val="0"/>
          <w:sz w:val="24"/>
          <w:szCs w:val="24"/>
        </w:rPr>
        <w:t>处危险化学品重大危险源：三级重大危险源</w:t>
      </w:r>
      <w:r>
        <w:rPr>
          <w:rFonts w:hint="eastAsia" w:eastAsiaTheme="minorEastAsia"/>
          <w:snapToGrid w:val="0"/>
          <w:sz w:val="24"/>
          <w:szCs w:val="24"/>
        </w:rPr>
        <w:t>3</w:t>
      </w:r>
      <w:r>
        <w:rPr>
          <w:rFonts w:eastAsiaTheme="minorEastAsia"/>
          <w:snapToGrid w:val="0"/>
          <w:sz w:val="24"/>
          <w:szCs w:val="24"/>
        </w:rPr>
        <w:t>处，四级重大危险源</w:t>
      </w:r>
      <w:r>
        <w:rPr>
          <w:rFonts w:hint="eastAsia" w:eastAsiaTheme="minorEastAsia"/>
          <w:snapToGrid w:val="0"/>
          <w:sz w:val="24"/>
          <w:szCs w:val="24"/>
        </w:rPr>
        <w:t>1</w:t>
      </w:r>
      <w:r>
        <w:rPr>
          <w:rFonts w:eastAsiaTheme="minorEastAsia"/>
          <w:snapToGrid w:val="0"/>
          <w:sz w:val="24"/>
          <w:szCs w:val="24"/>
        </w:rPr>
        <w:t>处</w:t>
      </w:r>
      <w:r>
        <w:rPr>
          <w:sz w:val="24"/>
          <w:szCs w:val="24"/>
          <w:u w:color="FFFFFF"/>
        </w:rPr>
        <w:t>，本规划区内涉及重大危险源的现状企业见</w:t>
      </w:r>
      <w:r>
        <w:rPr>
          <w:spacing w:val="-1"/>
          <w:sz w:val="24"/>
          <w:szCs w:val="24"/>
        </w:rPr>
        <w:t>表7.1-10、化工园区</w:t>
      </w:r>
      <w:r>
        <w:rPr>
          <w:sz w:val="24"/>
          <w:szCs w:val="24"/>
        </w:rPr>
        <w:t>危险化学品重大危险源辨识结果汇总表</w:t>
      </w:r>
      <w:r>
        <w:rPr>
          <w:rFonts w:hint="eastAsia"/>
          <w:sz w:val="24"/>
          <w:szCs w:val="24"/>
        </w:rPr>
        <w:t>。</w:t>
      </w:r>
    </w:p>
    <w:p w14:paraId="2BF3203E">
      <w:pPr>
        <w:pStyle w:val="4"/>
        <w:spacing w:before="156" w:after="156"/>
        <w:rPr>
          <w:rFonts w:ascii="Times New Roman" w:hAnsi="Times New Roman"/>
          <w:sz w:val="24"/>
          <w:szCs w:val="24"/>
        </w:rPr>
      </w:pPr>
      <w:bookmarkStart w:id="171" w:name="_Toc449277635"/>
      <w:bookmarkStart w:id="172" w:name="_Toc356465567"/>
      <w:bookmarkStart w:id="173" w:name="_Toc1628654"/>
      <w:bookmarkStart w:id="174" w:name="_Toc30175"/>
      <w:r>
        <w:rPr>
          <w:rFonts w:ascii="Times New Roman" w:hAnsi="Times New Roman"/>
          <w:sz w:val="24"/>
          <w:szCs w:val="24"/>
        </w:rPr>
        <w:t>7.7应急救援体系规划</w:t>
      </w:r>
      <w:bookmarkEnd w:id="171"/>
      <w:bookmarkEnd w:id="172"/>
      <w:bookmarkEnd w:id="173"/>
      <w:bookmarkEnd w:id="174"/>
    </w:p>
    <w:p w14:paraId="773808D9">
      <w:pPr>
        <w:spacing w:line="360" w:lineRule="auto"/>
        <w:ind w:firstLine="480" w:firstLineChars="200"/>
        <w:rPr>
          <w:sz w:val="24"/>
          <w:szCs w:val="24"/>
        </w:rPr>
      </w:pPr>
      <w:r>
        <w:rPr>
          <w:rFonts w:hint="eastAsia"/>
          <w:sz w:val="24"/>
          <w:szCs w:val="24"/>
        </w:rPr>
        <w:t>以习近平新时代中国特色社会主义思想为指导，坚决防控全局性系统性风险，有效有序应对各类突发事件，保障公众健康和生命财产安全，</w:t>
      </w:r>
      <w:r>
        <w:fldChar w:fldCharType="begin"/>
      </w:r>
      <w:r>
        <w:instrText xml:space="preserve"> HYPERLINK "https://baike.baidu.com/item/%E7%BB%B4%E6%8A%A4%E5%9B%BD%E5%AE%B6%E5%AE%89%E5%85%A8" \t "_blank" </w:instrText>
      </w:r>
      <w:r>
        <w:fldChar w:fldCharType="separate"/>
      </w:r>
      <w:r>
        <w:rPr>
          <w:rFonts w:hint="eastAsia"/>
          <w:sz w:val="24"/>
          <w:szCs w:val="24"/>
        </w:rPr>
        <w:t>维护</w:t>
      </w:r>
      <w:r>
        <w:rPr>
          <w:rFonts w:hint="eastAsia"/>
          <w:sz w:val="24"/>
          <w:szCs w:val="24"/>
        </w:rPr>
        <w:fldChar w:fldCharType="end"/>
      </w:r>
      <w:r>
        <w:rPr>
          <w:rFonts w:hint="eastAsia"/>
          <w:sz w:val="24"/>
          <w:szCs w:val="24"/>
        </w:rPr>
        <w:t>公共安全和社会秩序，依据《中华人民共和国突发事件应对法》（国家主席令第69号）、《突发事件应急预案管理办法》（</w:t>
      </w:r>
      <w:r>
        <w:rPr>
          <w:sz w:val="24"/>
          <w:szCs w:val="24"/>
        </w:rPr>
        <w:t>国办发〔2013〕101号</w:t>
      </w:r>
      <w:r>
        <w:rPr>
          <w:rFonts w:hint="eastAsia"/>
          <w:sz w:val="24"/>
          <w:szCs w:val="24"/>
        </w:rPr>
        <w:t>）、《安徽省突发事件应对条例》(</w:t>
      </w:r>
      <w:r>
        <w:rPr>
          <w:sz w:val="24"/>
          <w:szCs w:val="24"/>
        </w:rPr>
        <w:t>安徽省人大常委会公告第</w:t>
      </w:r>
      <w:r>
        <w:rPr>
          <w:rFonts w:hint="eastAsia"/>
          <w:sz w:val="24"/>
          <w:szCs w:val="24"/>
        </w:rPr>
        <w:t>50号)、《安徽省突发事件总体应急预案》（皖政秘〔2020〕147号）和《淮南市突发事件总体应急预案》（淮府秘〔2020〕114号）等有关法律、法规、规章和规范性文件，进行</w:t>
      </w:r>
      <w:r>
        <w:rPr>
          <w:sz w:val="24"/>
          <w:szCs w:val="24"/>
        </w:rPr>
        <w:t>应急救援体系规划</w:t>
      </w:r>
      <w:r>
        <w:rPr>
          <w:rFonts w:hint="eastAsia"/>
          <w:sz w:val="24"/>
          <w:szCs w:val="24"/>
        </w:rPr>
        <w:t>。</w:t>
      </w:r>
    </w:p>
    <w:p w14:paraId="66E29A6F">
      <w:pPr>
        <w:spacing w:line="360" w:lineRule="auto"/>
        <w:ind w:firstLine="480" w:firstLineChars="200"/>
        <w:rPr>
          <w:sz w:val="24"/>
          <w:szCs w:val="24"/>
        </w:rPr>
      </w:pPr>
      <w:r>
        <w:rPr>
          <w:sz w:val="24"/>
          <w:szCs w:val="24"/>
        </w:rPr>
        <w:t>本规划以能够及时、快速、高效地开展应急救援为出发点，结合化工园区应急救援工作的现实和发展需要，坚持资源共享、联防联动的原则，规划能充分发挥整体效能的应急救援体系。由以下几部分构成：</w:t>
      </w:r>
    </w:p>
    <w:p w14:paraId="5C792A17">
      <w:pPr>
        <w:pStyle w:val="5"/>
        <w:spacing w:before="156" w:after="156"/>
        <w:rPr>
          <w:rFonts w:eastAsiaTheme="minorEastAsia"/>
          <w:sz w:val="24"/>
          <w:szCs w:val="24"/>
        </w:rPr>
      </w:pPr>
      <w:bookmarkStart w:id="175" w:name="_Toc4596066"/>
      <w:r>
        <w:rPr>
          <w:rFonts w:eastAsiaTheme="minorEastAsia"/>
          <w:sz w:val="24"/>
          <w:szCs w:val="24"/>
        </w:rPr>
        <w:t>7.7.1建立化工园区应急救援指挥中心</w:t>
      </w:r>
      <w:bookmarkEnd w:id="175"/>
    </w:p>
    <w:p w14:paraId="1C66928B">
      <w:pPr>
        <w:overflowPunct/>
        <w:snapToGrid/>
        <w:spacing w:line="360" w:lineRule="auto"/>
        <w:ind w:firstLine="480" w:firstLineChars="200"/>
        <w:jc w:val="left"/>
        <w:rPr>
          <w:sz w:val="24"/>
          <w:szCs w:val="24"/>
        </w:rPr>
      </w:pPr>
      <w:r>
        <w:rPr>
          <w:sz w:val="24"/>
          <w:szCs w:val="24"/>
        </w:rPr>
        <w:t>化工园区应急救援指挥中心作为常设机构应设在淮南市经济开发区管委会，在管委会的领</w:t>
      </w:r>
      <w:r>
        <w:rPr>
          <w:rFonts w:hint="eastAsia" w:ascii="Times New Roman" w:hAnsi="Times New Roman" w:eastAsia="宋体"/>
          <w:sz w:val="24"/>
          <w:szCs w:val="24"/>
          <w:u w:color="FFFFFF"/>
        </w:rPr>
        <w:t>导下，指导化工园区应急救援预案的编制和修订、应急队伍（淮南市经济开发区政府专职消防队化工处置专业队和经开区危化应急救援队）</w:t>
      </w:r>
      <w:r>
        <w:rPr>
          <w:sz w:val="24"/>
          <w:szCs w:val="24"/>
        </w:rPr>
        <w:t>的演练、应急物资储备、组织管理等工作；发生事故时，对化工园区应急救援工作发布命令，传递信息，调动资源，实施统一指挥，必要时向区、市人民政府及相关部门请求增援。</w:t>
      </w:r>
    </w:p>
    <w:p w14:paraId="63260F1C">
      <w:pPr>
        <w:spacing w:line="360" w:lineRule="auto"/>
        <w:ind w:firstLine="480" w:firstLineChars="200"/>
        <w:jc w:val="left"/>
        <w:rPr>
          <w:sz w:val="24"/>
          <w:szCs w:val="24"/>
        </w:rPr>
      </w:pPr>
      <w:r>
        <w:rPr>
          <w:sz w:val="24"/>
          <w:szCs w:val="24"/>
        </w:rPr>
        <w:t>各企业设立应急救援指挥部，在化工园区应急救援指挥中心的领导下，负责区内企业应急救援预案的编制和修订、应急队伍的演练、应急物资储备、组织管理等工作；本企业发生事故时，第一时间出动负责现场应急指挥工作，其他企业发生事故时，服从化工园区应急救援指挥中心的统一调度，参与救援。</w:t>
      </w:r>
    </w:p>
    <w:p w14:paraId="65BECE4C">
      <w:pPr>
        <w:pStyle w:val="5"/>
        <w:spacing w:before="156" w:after="156"/>
        <w:rPr>
          <w:rFonts w:eastAsiaTheme="minorEastAsia"/>
          <w:sz w:val="24"/>
          <w:szCs w:val="24"/>
        </w:rPr>
      </w:pPr>
      <w:bookmarkStart w:id="176" w:name="_Toc4596067"/>
      <w:r>
        <w:rPr>
          <w:rFonts w:eastAsiaTheme="minorEastAsia"/>
          <w:sz w:val="24"/>
          <w:szCs w:val="24"/>
        </w:rPr>
        <w:t>7.7.2编制应急救援预案</w:t>
      </w:r>
      <w:bookmarkEnd w:id="176"/>
    </w:p>
    <w:p w14:paraId="1719079D">
      <w:pPr>
        <w:spacing w:line="360" w:lineRule="auto"/>
        <w:ind w:firstLine="480" w:firstLineChars="200"/>
        <w:rPr>
          <w:sz w:val="24"/>
          <w:szCs w:val="24"/>
        </w:rPr>
      </w:pPr>
      <w:bookmarkStart w:id="177" w:name="_Toc4596068"/>
      <w:r>
        <w:rPr>
          <w:sz w:val="24"/>
          <w:szCs w:val="24"/>
        </w:rPr>
        <w:t>化工园区应急救援指挥中心应充分结合化工园区的功能区划、危险源的分布、应急救援资源的分布等实际情况，负责组织和协调公安消防部队、各生产经营单位参与化工园区应急救援预案的编制，确保应急救援预案与各部门预案的协调一致和切实可行，并定期组织联合演练，达到应急救援队伍、装备、应急物资的有效结合。化工园区制定安全风险分级管控制度；对化工园区内企业进行安全风险分级情况。化工园区总体应急预案及专项预案，并至少每2年组织1次安全事故应急救援演练记录。</w:t>
      </w:r>
    </w:p>
    <w:p w14:paraId="4D996995">
      <w:pPr>
        <w:spacing w:line="360" w:lineRule="auto"/>
        <w:ind w:firstLine="480" w:firstLineChars="200"/>
        <w:rPr>
          <w:sz w:val="24"/>
          <w:szCs w:val="24"/>
        </w:rPr>
      </w:pPr>
      <w:r>
        <w:rPr>
          <w:sz w:val="24"/>
          <w:szCs w:val="24"/>
        </w:rPr>
        <w:t>外部应急救援队伍主要依托现有位于威海路与浦东路交叉路口西侧经开区消防救援大队。</w:t>
      </w:r>
      <w:r>
        <w:rPr>
          <w:rFonts w:hint="eastAsia" w:ascii="Times New Roman" w:hAnsi="Times New Roman" w:eastAsia="宋体"/>
          <w:sz w:val="24"/>
          <w:szCs w:val="24"/>
          <w:u w:color="FFFFFF"/>
        </w:rPr>
        <w:t>淮南市经济开发区政府专职消防队化工处置专业队和经开区危化应急救援队</w:t>
      </w:r>
      <w:r>
        <w:rPr>
          <w:sz w:val="24"/>
          <w:szCs w:val="24"/>
        </w:rPr>
        <w:t>依据《危险化学品单位应急救 援物资配备要求》(GB30077-2013)配备了救援车、防毒面具、防化服、个体防护器材、消防器材、堵漏设备、应急照明、通讯设备等应急救援物资。德邦化工与山河药辅分别设有微型消防站，各有消防车一辆，作为辅助消防救援。</w:t>
      </w:r>
    </w:p>
    <w:p w14:paraId="1200066E">
      <w:pPr>
        <w:spacing w:line="360" w:lineRule="auto"/>
        <w:ind w:firstLine="480" w:firstLineChars="200"/>
        <w:rPr>
          <w:sz w:val="24"/>
          <w:szCs w:val="24"/>
        </w:rPr>
      </w:pPr>
      <w:r>
        <w:rPr>
          <w:sz w:val="24"/>
          <w:szCs w:val="24"/>
        </w:rPr>
        <w:t>化工园区内的德邦化工、恒诚制药、水卫士环保科技、国瑞药业均编 制应急救援预案，配备了应急救援器材，并已到应急管理局备案，三级应急响应由企业组织救援，一级和二级响应依托经开区消防救援大队救援和德邦</w:t>
      </w:r>
      <w:bookmarkStart w:id="178" w:name="_bookmark27"/>
      <w:bookmarkEnd w:id="178"/>
      <w:r>
        <w:rPr>
          <w:sz w:val="24"/>
          <w:szCs w:val="24"/>
        </w:rPr>
        <w:t>化工、山河药辅的微型消防站。</w:t>
      </w:r>
    </w:p>
    <w:p w14:paraId="282D01D7">
      <w:pPr>
        <w:spacing w:line="360" w:lineRule="auto"/>
        <w:ind w:firstLine="480" w:firstLineChars="200"/>
      </w:pPr>
      <w:r>
        <w:rPr>
          <w:rFonts w:hint="eastAsia"/>
          <w:sz w:val="24"/>
          <w:szCs w:val="24"/>
        </w:rPr>
        <w:t>具体内容详见《淮南经济技术开发区（淮南经开化工园区）突发事件总体应急预案》。</w:t>
      </w:r>
    </w:p>
    <w:p w14:paraId="2167EB42">
      <w:pPr>
        <w:pStyle w:val="5"/>
        <w:spacing w:before="156" w:after="156"/>
        <w:rPr>
          <w:rFonts w:eastAsiaTheme="minorEastAsia"/>
          <w:sz w:val="24"/>
          <w:szCs w:val="24"/>
        </w:rPr>
      </w:pPr>
      <w:r>
        <w:rPr>
          <w:rFonts w:eastAsiaTheme="minorEastAsia"/>
          <w:sz w:val="24"/>
          <w:szCs w:val="24"/>
        </w:rPr>
        <w:t>7.7.3完善应急救援队伍</w:t>
      </w:r>
      <w:bookmarkEnd w:id="177"/>
    </w:p>
    <w:p w14:paraId="554974AE">
      <w:pPr>
        <w:overflowPunct/>
        <w:snapToGrid/>
        <w:spacing w:line="360" w:lineRule="auto"/>
        <w:ind w:firstLine="480" w:firstLineChars="200"/>
        <w:rPr>
          <w:sz w:val="24"/>
          <w:szCs w:val="24"/>
        </w:rPr>
      </w:pPr>
      <w:r>
        <w:rPr>
          <w:sz w:val="24"/>
          <w:szCs w:val="24"/>
        </w:rPr>
        <w:t>化工园区应急救援队伍除包括各企业的应急救援小组、专职（或义务）消防队外，还应包括公安消防站、医疗救护队等，应以公安消防部队为骨干，组建一支快速反应、战斗力强的综合应急救援保障队伍。</w:t>
      </w:r>
    </w:p>
    <w:p w14:paraId="66044366">
      <w:pPr>
        <w:pStyle w:val="47"/>
        <w:adjustRightInd/>
        <w:spacing w:line="360" w:lineRule="auto"/>
        <w:ind w:firstLine="482" w:firstLineChars="200"/>
        <w:rPr>
          <w:rFonts w:hint="default" w:ascii="Times New Roman" w:hAnsi="Times New Roman"/>
          <w:b/>
          <w:bCs/>
          <w:color w:val="auto"/>
          <w:u w:color="FFFFFF"/>
        </w:rPr>
      </w:pPr>
      <w:r>
        <w:rPr>
          <w:rFonts w:ascii="Times New Roman" w:hAnsi="Times New Roman"/>
          <w:b/>
          <w:bCs/>
          <w:color w:val="auto"/>
          <w:u w:color="FFFFFF"/>
        </w:rPr>
        <w:t>淮南市经济开发区政府专职消防队化工处置专业队规划建设情况：</w:t>
      </w:r>
    </w:p>
    <w:p w14:paraId="24D29433">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淮南市经济开发区共有化工企业15家，其中经开区医药化工集中区距大队约2.5公里，行车时间约10分钟。现已入驻德邦化工（含合成氨、硫磺、甲醇等生产装置、氯化铵生产装置、氯化铵仓库，涉及的主要危险化学品有甲醇、氨、盐酸、氢氧化钠、氢气、水煤气、硫磺，涉及危险工艺有新型煤化工工艺、合成氨工艺，具有发生火灾、爆炸、中毒窒息、触电、机械伤害等危险）；水卫士环保科技（主要危险化学品有氢氧化钠，主要生产装置有水处理剂生产装置，具有发生火灾、中毒窒息、灼烫、触电、机械伤害、高处坠落、物体打击、车辆伤害、坍塌等危险）；国瑞药业（主要生产装置有冻干粉针剂生产装置、粉针剂生产装置、口服固体制剂生产装置、注射剂生产装置、中试生产装置，主要危险化学品储存设施有危险品库、易制毒库、剧毒库）等多家化工企业。</w:t>
      </w:r>
    </w:p>
    <w:p w14:paraId="1875691C">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二、淮南经济技术开发区政府专职消防队基本情况</w:t>
      </w:r>
    </w:p>
    <w:p w14:paraId="7BE05BFD">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（一）人员配备情况</w:t>
      </w:r>
    </w:p>
    <w:p w14:paraId="4345317F">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经开区消防站2019年9月建成投入使用，占地面积9920</w:t>
      </w:r>
      <w:r>
        <w:rPr>
          <w:rFonts w:ascii="Times New Roman"/>
          <w:color w:val="auto"/>
          <w:u w:color="FFFFFF"/>
        </w:rPr>
        <w:t>m</w:t>
      </w:r>
      <w:r>
        <w:rPr>
          <w:rFonts w:ascii="Times New Roman"/>
          <w:color w:val="auto"/>
          <w:u w:color="FFFFFF"/>
          <w:vertAlign w:val="superscript"/>
        </w:rPr>
        <w:t>2</w:t>
      </w:r>
      <w:r>
        <w:rPr>
          <w:rFonts w:ascii="Times New Roman" w:hAnsi="Times New Roman"/>
          <w:color w:val="auto"/>
          <w:u w:color="FFFFFF"/>
        </w:rPr>
        <w:t>，现有人员30人，其中干部8人（大队6人，队站2人）、现役消防员2人、专职消防员15人、消防文员3人、会计2人。</w:t>
      </w:r>
    </w:p>
    <w:p w14:paraId="7E3CCD7A">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（二）车辆配备情况</w:t>
      </w:r>
    </w:p>
    <w:p w14:paraId="482DEF61">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淮南市经济开发区政府专职消防队共</w:t>
      </w:r>
      <w:r>
        <w:rPr>
          <w:rFonts w:hint="default" w:ascii="Times New Roman" w:hAnsi="Times New Roman"/>
          <w:color w:val="auto"/>
          <w:u w:color="FFFFFF"/>
        </w:rPr>
        <w:t>配备消防车</w:t>
      </w:r>
      <w:r>
        <w:rPr>
          <w:rFonts w:ascii="Times New Roman" w:hAnsi="Times New Roman"/>
          <w:color w:val="auto"/>
          <w:u w:color="FFFFFF"/>
        </w:rPr>
        <w:t>7</w:t>
      </w:r>
      <w:r>
        <w:rPr>
          <w:rFonts w:hint="default" w:ascii="Times New Roman" w:hAnsi="Times New Roman"/>
          <w:color w:val="auto"/>
          <w:u w:color="FFFFFF"/>
        </w:rPr>
        <w:t>辆，其中</w:t>
      </w:r>
      <w:r>
        <w:rPr>
          <w:rFonts w:ascii="Times New Roman" w:hAnsi="Times New Roman"/>
          <w:color w:val="auto"/>
          <w:u w:color="FFFFFF"/>
        </w:rPr>
        <w:t>泡沫消防车4</w:t>
      </w:r>
      <w:r>
        <w:rPr>
          <w:rFonts w:hint="default" w:ascii="Times New Roman" w:hAnsi="Times New Roman"/>
          <w:color w:val="auto"/>
          <w:u w:color="FFFFFF"/>
        </w:rPr>
        <w:t>辆</w:t>
      </w:r>
      <w:r>
        <w:rPr>
          <w:rFonts w:ascii="Times New Roman" w:hAnsi="Times New Roman"/>
          <w:color w:val="auto"/>
          <w:u w:color="FFFFFF"/>
        </w:rPr>
        <w:t>，25</w:t>
      </w:r>
      <w:r>
        <w:rPr>
          <w:rFonts w:hint="default" w:ascii="Times New Roman" w:hAnsi="Times New Roman"/>
          <w:color w:val="auto"/>
          <w:u w:color="FFFFFF"/>
        </w:rPr>
        <w:t>吨</w:t>
      </w:r>
      <w:r>
        <w:rPr>
          <w:rFonts w:ascii="Times New Roman" w:hAnsi="Times New Roman"/>
          <w:color w:val="auto"/>
          <w:u w:color="FFFFFF"/>
        </w:rPr>
        <w:t>重型水罐</w:t>
      </w:r>
      <w:r>
        <w:rPr>
          <w:rFonts w:hint="default" w:ascii="Times New Roman" w:hAnsi="Times New Roman"/>
          <w:color w:val="auto"/>
          <w:u w:color="FFFFFF"/>
        </w:rPr>
        <w:t>消防车1辆</w:t>
      </w:r>
      <w:r>
        <w:rPr>
          <w:rFonts w:ascii="Times New Roman" w:hAnsi="Times New Roman"/>
          <w:color w:val="auto"/>
          <w:u w:color="FFFFFF"/>
        </w:rPr>
        <w:t>，举高喷射</w:t>
      </w:r>
      <w:r>
        <w:rPr>
          <w:rFonts w:hint="default" w:ascii="Times New Roman" w:hAnsi="Times New Roman"/>
          <w:color w:val="auto"/>
          <w:u w:color="FFFFFF"/>
        </w:rPr>
        <w:t>消防车</w:t>
      </w:r>
      <w:r>
        <w:rPr>
          <w:rFonts w:ascii="Times New Roman" w:hAnsi="Times New Roman"/>
          <w:color w:val="auto"/>
          <w:u w:color="FFFFFF"/>
        </w:rPr>
        <w:t>2</w:t>
      </w:r>
      <w:r>
        <w:rPr>
          <w:rFonts w:hint="default" w:ascii="Times New Roman" w:hAnsi="Times New Roman"/>
          <w:color w:val="auto"/>
          <w:u w:color="FFFFFF"/>
        </w:rPr>
        <w:t>辆</w:t>
      </w:r>
      <w:r>
        <w:rPr>
          <w:rFonts w:ascii="Times New Roman" w:hAnsi="Times New Roman"/>
          <w:color w:val="auto"/>
          <w:u w:color="FFFFFF"/>
        </w:rPr>
        <w:t>。</w:t>
      </w:r>
    </w:p>
    <w:p w14:paraId="686AD0D1">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（三）装备配备情况</w:t>
      </w:r>
    </w:p>
    <w:p w14:paraId="0B900E6B">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淮南市经济开发区政府专职消防队共有</w:t>
      </w:r>
      <w:r>
        <w:rPr>
          <w:rFonts w:hint="default" w:ascii="Times New Roman" w:hAnsi="Times New Roman"/>
          <w:color w:val="auto"/>
          <w:u w:color="FFFFFF"/>
        </w:rPr>
        <w:t>个人防护装备：1</w:t>
      </w:r>
      <w:r>
        <w:rPr>
          <w:rFonts w:ascii="Times New Roman" w:hAnsi="Times New Roman"/>
          <w:color w:val="auto"/>
          <w:u w:color="FFFFFF"/>
        </w:rPr>
        <w:t>603</w:t>
      </w:r>
      <w:r>
        <w:rPr>
          <w:rFonts w:hint="default" w:ascii="Times New Roman" w:hAnsi="Times New Roman"/>
          <w:color w:val="auto"/>
          <w:u w:color="FFFFFF"/>
        </w:rPr>
        <w:t>件（套），抢险救援装备：224件（套）；灭火器材：</w:t>
      </w:r>
      <w:r>
        <w:rPr>
          <w:rFonts w:ascii="Times New Roman" w:hAnsi="Times New Roman"/>
          <w:color w:val="auto"/>
          <w:u w:color="FFFFFF"/>
        </w:rPr>
        <w:t>670</w:t>
      </w:r>
      <w:r>
        <w:rPr>
          <w:rFonts w:hint="default" w:ascii="Times New Roman" w:hAnsi="Times New Roman"/>
          <w:color w:val="auto"/>
          <w:u w:color="FFFFFF"/>
        </w:rPr>
        <w:t>件（套）；水域救援专业类：821件（套）。202</w:t>
      </w:r>
      <w:r>
        <w:rPr>
          <w:rFonts w:ascii="Times New Roman" w:hAnsi="Times New Roman"/>
          <w:color w:val="auto"/>
          <w:u w:color="FFFFFF"/>
        </w:rPr>
        <w:t>2</w:t>
      </w:r>
      <w:r>
        <w:rPr>
          <w:rFonts w:hint="default" w:ascii="Times New Roman" w:hAnsi="Times New Roman"/>
          <w:color w:val="auto"/>
          <w:u w:color="FFFFFF"/>
        </w:rPr>
        <w:t>年</w:t>
      </w:r>
      <w:r>
        <w:rPr>
          <w:rFonts w:ascii="Times New Roman" w:hAnsi="Times New Roman"/>
          <w:color w:val="auto"/>
          <w:u w:color="FFFFFF"/>
        </w:rPr>
        <w:t>新到</w:t>
      </w:r>
      <w:r>
        <w:rPr>
          <w:rFonts w:hint="default" w:ascii="Times New Roman" w:hAnsi="Times New Roman"/>
          <w:color w:val="auto"/>
          <w:u w:color="FFFFFF"/>
        </w:rPr>
        <w:t>泡沫消防车（6吨）</w:t>
      </w:r>
      <w:r>
        <w:rPr>
          <w:rFonts w:ascii="Times New Roman" w:hAnsi="Times New Roman"/>
          <w:color w:val="auto"/>
          <w:u w:color="FFFFFF"/>
        </w:rPr>
        <w:t>1台，35米举高喷射消防车1台</w:t>
      </w:r>
      <w:r>
        <w:rPr>
          <w:rFonts w:hint="default" w:ascii="Times New Roman" w:hAnsi="Times New Roman"/>
          <w:color w:val="auto"/>
          <w:u w:color="FFFFFF"/>
        </w:rPr>
        <w:t>。</w:t>
      </w:r>
      <w:r>
        <w:rPr>
          <w:rFonts w:ascii="Times New Roman" w:hAnsi="Times New Roman"/>
          <w:color w:val="auto"/>
          <w:u w:color="FFFFFF"/>
        </w:rPr>
        <w:t>2023年经开区消防救援站按照《城市消防站建设标准》装备配备达标率达100%:包括1台抢险救援消防车，以及部分个人防护、灭火和破拆类器材，合计落实经费362.4万元。2024年，通过更新换代，经开区救援装备完成系统型建设。</w:t>
      </w:r>
    </w:p>
    <w:p w14:paraId="31D0A95D">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食宿保障</w:t>
      </w:r>
    </w:p>
    <w:p w14:paraId="686338A4">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淮南市经济开发区政府专职消防队隶属于淮南市消防救援支队，由政府代建模式组织建设，占地面积9920</w:t>
      </w:r>
      <w:r>
        <w:rPr>
          <w:rFonts w:ascii="Times New Roman"/>
          <w:color w:val="auto"/>
          <w:u w:color="FFFFFF"/>
        </w:rPr>
        <w:t>m</w:t>
      </w:r>
      <w:r>
        <w:rPr>
          <w:rFonts w:ascii="Times New Roman"/>
          <w:color w:val="auto"/>
          <w:u w:color="FFFFFF"/>
          <w:vertAlign w:val="superscript"/>
        </w:rPr>
        <w:t>2</w:t>
      </w:r>
      <w:r>
        <w:rPr>
          <w:rFonts w:ascii="Times New Roman" w:hAnsi="Times New Roman"/>
          <w:color w:val="auto"/>
          <w:u w:color="FFFFFF"/>
        </w:rPr>
        <w:t>，建筑面积5480</w:t>
      </w:r>
      <w:r>
        <w:rPr>
          <w:rFonts w:ascii="Times New Roman"/>
          <w:color w:val="auto"/>
          <w:u w:color="FFFFFF"/>
        </w:rPr>
        <w:t>m</w:t>
      </w:r>
      <w:r>
        <w:rPr>
          <w:rFonts w:ascii="Times New Roman"/>
          <w:color w:val="auto"/>
          <w:u w:color="FFFFFF"/>
          <w:vertAlign w:val="superscript"/>
        </w:rPr>
        <w:t>2</w:t>
      </w:r>
      <w:r>
        <w:rPr>
          <w:rFonts w:ascii="Times New Roman" w:hAnsi="Times New Roman"/>
          <w:color w:val="auto"/>
          <w:u w:color="FFFFFF"/>
        </w:rPr>
        <w:t>，营房楼主体建筑5层。食宿由大队统一保障，食堂满足总队“3A”星级食堂标准，满足“四干一热”生活保障要求。</w:t>
      </w:r>
    </w:p>
    <w:p w14:paraId="3D8E95F1">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训练设施</w:t>
      </w:r>
    </w:p>
    <w:p w14:paraId="3BA73CC8">
      <w:pPr>
        <w:pStyle w:val="47"/>
        <w:adjustRightInd/>
        <w:spacing w:line="360" w:lineRule="auto"/>
        <w:ind w:firstLine="480" w:firstLineChars="200"/>
        <w:rPr>
          <w:rFonts w:hint="default" w:ascii="Times New Roman" w:hAnsi="Times New Roman"/>
          <w:color w:val="auto"/>
          <w:u w:color="FFFFFF"/>
        </w:rPr>
      </w:pPr>
      <w:r>
        <w:rPr>
          <w:rFonts w:ascii="Times New Roman" w:hAnsi="Times New Roman"/>
          <w:color w:val="auto"/>
          <w:u w:color="FFFFFF"/>
        </w:rPr>
        <w:t>经济技术开发区政府专职消防队2019年5月正式投入执勤战备，内设训练塔，室内训练馆，柏油跑道、体能训练器械等训练设施。</w:t>
      </w:r>
    </w:p>
    <w:p w14:paraId="5F308A9E">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四、经济技术开发区医药</w:t>
      </w:r>
      <w:r>
        <w:rPr>
          <w:rFonts w:ascii="Times New Roman" w:hAnsi="Times New Roman" w:eastAsia="宋体"/>
          <w:kern w:val="0"/>
          <w:sz w:val="24"/>
          <w:szCs w:val="24"/>
          <w:u w:color="FFFFFF"/>
        </w:rPr>
        <w:t>化工处置专业队建设</w:t>
      </w:r>
      <w:r>
        <w:rPr>
          <w:rFonts w:hint="eastAsia" w:ascii="Times New Roman" w:hAnsi="Times New Roman" w:eastAsia="宋体"/>
          <w:kern w:val="0"/>
          <w:sz w:val="24"/>
          <w:szCs w:val="24"/>
          <w:u w:color="FFFFFF"/>
        </w:rPr>
        <w:t>规划</w:t>
      </w:r>
      <w:r>
        <w:rPr>
          <w:rFonts w:ascii="Times New Roman" w:hAnsi="Times New Roman" w:eastAsia="宋体"/>
          <w:kern w:val="0"/>
          <w:sz w:val="24"/>
          <w:szCs w:val="24"/>
          <w:u w:color="FFFFFF"/>
        </w:rPr>
        <w:t>思路</w:t>
      </w:r>
    </w:p>
    <w:p w14:paraId="0E0A4AB0">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（一）医药化工灭火救援专业队作战小组的构成</w:t>
      </w:r>
    </w:p>
    <w:p w14:paraId="3CDF861A">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作战小组是依托队站人员、车辆、装备构成，是化工灭火救援专业队伍的组成部分。单个作战小组由不同功能的车辆、器材构成，以作战能力为衡量标准，可以承担独立的战斗行动。按照功能可分为6个作战小组：</w:t>
      </w:r>
    </w:p>
    <w:p w14:paraId="401926C4">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灭火冷却小组</w:t>
      </w:r>
    </w:p>
    <w:p w14:paraId="5A0AD62B">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其主要承担事故处置中对储罐、化工装置和地面流淌火的灭火、冷却任务，实现流量80L/s～160L/s的供水能力，确保能够同时出2门车载炮或</w:t>
      </w:r>
      <w:r>
        <w:rPr>
          <w:rFonts w:hint="eastAsia" w:ascii="Times New Roman" w:hAnsi="Times New Roman" w:eastAsia="宋体"/>
          <w:kern w:val="0"/>
          <w:sz w:val="24"/>
          <w:szCs w:val="24"/>
          <w:u w:color="FFFFFF"/>
        </w:rPr>
        <w:t>4</w:t>
      </w:r>
      <w:r>
        <w:rPr>
          <w:rFonts w:ascii="Times New Roman" w:hAnsi="Times New Roman" w:eastAsia="宋体"/>
          <w:kern w:val="0"/>
          <w:sz w:val="24"/>
          <w:szCs w:val="24"/>
          <w:u w:color="FFFFFF"/>
        </w:rPr>
        <w:t>支泡沫枪、2门以上双干线移动炮。</w:t>
      </w:r>
    </w:p>
    <w:p w14:paraId="56D589C4">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举高喷射小组</w:t>
      </w:r>
    </w:p>
    <w:p w14:paraId="7C8EF11E">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其主要承担灾害事故中对大型储罐、</w:t>
      </w:r>
      <w:r>
        <w:rPr>
          <w:rFonts w:hint="eastAsia" w:ascii="Times New Roman" w:hAnsi="Times New Roman" w:eastAsia="宋体"/>
          <w:kern w:val="0"/>
          <w:sz w:val="24"/>
          <w:szCs w:val="24"/>
          <w:u w:color="FFFFFF"/>
        </w:rPr>
        <w:t>医药</w:t>
      </w:r>
      <w:r>
        <w:rPr>
          <w:rFonts w:ascii="Times New Roman" w:hAnsi="Times New Roman" w:eastAsia="宋体"/>
          <w:kern w:val="0"/>
          <w:sz w:val="24"/>
          <w:szCs w:val="24"/>
          <w:u w:color="FFFFFF"/>
        </w:rPr>
        <w:t>化工装置高位设备的灭火冷却任务，实现喷射流量大于80L/s。举高喷射消防车举升高度不小于</w:t>
      </w:r>
      <w:r>
        <w:rPr>
          <w:rFonts w:hint="eastAsia" w:ascii="Times New Roman" w:hAnsi="Times New Roman" w:eastAsia="宋体"/>
          <w:kern w:val="0"/>
          <w:sz w:val="24"/>
          <w:szCs w:val="24"/>
          <w:u w:color="FFFFFF"/>
        </w:rPr>
        <w:t>35</w:t>
      </w:r>
      <w:r>
        <w:rPr>
          <w:rFonts w:ascii="Times New Roman" w:hAnsi="Times New Roman" w:eastAsia="宋体"/>
          <w:kern w:val="0"/>
          <w:sz w:val="24"/>
          <w:szCs w:val="24"/>
          <w:u w:color="FFFFFF"/>
        </w:rPr>
        <w:t>m，泵浦流量不小于100L/s；后方供水大功率泡沫消防车载水量不少于</w:t>
      </w:r>
      <w:r>
        <w:rPr>
          <w:rFonts w:hint="eastAsia" w:ascii="Times New Roman" w:hAnsi="Times New Roman" w:eastAsia="宋体"/>
          <w:kern w:val="0"/>
          <w:sz w:val="24"/>
          <w:szCs w:val="24"/>
          <w:u w:color="FFFFFF"/>
        </w:rPr>
        <w:t>25</w:t>
      </w:r>
      <w:r>
        <w:rPr>
          <w:rFonts w:ascii="Times New Roman" w:hAnsi="Times New Roman" w:eastAsia="宋体"/>
          <w:kern w:val="0"/>
          <w:sz w:val="24"/>
          <w:szCs w:val="24"/>
          <w:u w:color="FFFFFF"/>
        </w:rPr>
        <w:t>t，载泡沫液量不少于6 t，泵浦流量不小于100 L/s。</w:t>
      </w:r>
    </w:p>
    <w:p w14:paraId="2DD993D6">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抢险防化小组</w:t>
      </w:r>
    </w:p>
    <w:p w14:paraId="59876DAC">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其主要承担灾害事故处置中侦检、洗消和堵漏任务，能提供个人化学防护和呼吸防护，实现有毒有害物质现场快速检测，个人、公众洗消和装备器材的洗消能力。</w:t>
      </w:r>
    </w:p>
    <w:p w14:paraId="4E769D95">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战勤保障小组</w:t>
      </w:r>
    </w:p>
    <w:p w14:paraId="619BA909">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其主要负责火灾中战勤保障工作，实现常用装备器材补充、油料（泡沫）保障、空气呼吸器气瓶更换等工作。</w:t>
      </w:r>
    </w:p>
    <w:p w14:paraId="57DFCFC2">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通信指挥小组</w:t>
      </w:r>
    </w:p>
    <w:p w14:paraId="7A484183">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通信指挥小组主要承担灾害事故中通信、调度指挥等任务，具备单兵图传功能，可将现场影像实时回传至上级指挥中心，可实现无线通信、单兵图像、卫星图传、无人机航拍、现场文书等功能。</w:t>
      </w:r>
    </w:p>
    <w:p w14:paraId="252FC0F4">
      <w:pPr>
        <w:numPr>
          <w:ilvl w:val="0"/>
          <w:numId w:val="19"/>
        </w:num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远程供水小组</w:t>
      </w:r>
    </w:p>
    <w:p w14:paraId="40B92224">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主要承担灾害事故处置中远程供水任务，要实现流量不小于200 L/s，距离不少于3 km的远程供水能力。</w:t>
      </w:r>
    </w:p>
    <w:p w14:paraId="45C6C5D3">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（二）</w:t>
      </w:r>
      <w:r>
        <w:rPr>
          <w:rFonts w:hint="eastAsia" w:ascii="Times New Roman" w:hAnsi="Times New Roman" w:eastAsia="宋体"/>
          <w:kern w:val="0"/>
          <w:sz w:val="24"/>
          <w:szCs w:val="24"/>
          <w:u w:color="FFFFFF"/>
        </w:rPr>
        <w:t>化工灭火救援专业队建设规划要求</w:t>
      </w:r>
    </w:p>
    <w:p w14:paraId="28776E02">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淮南经济技术开发区化工专业救援队</w:t>
      </w:r>
      <w:r>
        <w:rPr>
          <w:rFonts w:ascii="Times New Roman" w:hAnsi="Times New Roman" w:eastAsia="宋体"/>
          <w:kern w:val="0"/>
          <w:sz w:val="24"/>
          <w:szCs w:val="24"/>
          <w:u w:color="FFFFFF"/>
        </w:rPr>
        <w:t>根据化工灭火救援实际需求，结合自身队伍需要，参照《专业救援队伍装备配备标准》和《城市消防站建设标准》，需配备专业救援车辆装备器材。</w:t>
      </w:r>
    </w:p>
    <w:p w14:paraId="0CA44285">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1、</w:t>
      </w:r>
      <w:r>
        <w:rPr>
          <w:rFonts w:ascii="Times New Roman" w:hAnsi="Times New Roman" w:eastAsia="宋体"/>
          <w:kern w:val="0"/>
          <w:sz w:val="24"/>
          <w:szCs w:val="24"/>
          <w:u w:color="FFFFFF"/>
        </w:rPr>
        <w:t>配足配齐专业救援人员</w:t>
      </w:r>
    </w:p>
    <w:p w14:paraId="136EAD4B">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在结合</w:t>
      </w:r>
      <w:r>
        <w:rPr>
          <w:rFonts w:hint="eastAsia" w:ascii="Times New Roman" w:hAnsi="Times New Roman" w:eastAsia="宋体"/>
          <w:kern w:val="0"/>
          <w:sz w:val="24"/>
          <w:szCs w:val="24"/>
          <w:u w:color="FFFFFF"/>
        </w:rPr>
        <w:t>医药</w:t>
      </w:r>
      <w:r>
        <w:rPr>
          <w:rFonts w:ascii="Times New Roman" w:hAnsi="Times New Roman" w:eastAsia="宋体"/>
          <w:kern w:val="0"/>
          <w:sz w:val="24"/>
          <w:szCs w:val="24"/>
          <w:u w:color="FFFFFF"/>
        </w:rPr>
        <w:t>化工灭火救援专业队作战小组和《城市消防站建设标准》，建议为</w:t>
      </w:r>
      <w:r>
        <w:rPr>
          <w:rFonts w:hint="eastAsia" w:ascii="Times New Roman" w:hAnsi="Times New Roman" w:eastAsia="宋体"/>
          <w:kern w:val="0"/>
          <w:sz w:val="24"/>
          <w:szCs w:val="24"/>
          <w:u w:color="FFFFFF"/>
        </w:rPr>
        <w:t>淮南经济技术开发区</w:t>
      </w:r>
      <w:r>
        <w:rPr>
          <w:rFonts w:ascii="Times New Roman" w:hAnsi="Times New Roman" w:eastAsia="宋体"/>
          <w:kern w:val="0"/>
          <w:sz w:val="24"/>
          <w:szCs w:val="24"/>
          <w:u w:color="FFFFFF"/>
        </w:rPr>
        <w:t>消防救援站配备人员</w:t>
      </w:r>
      <w:r>
        <w:rPr>
          <w:rFonts w:hint="eastAsia" w:ascii="Times New Roman" w:hAnsi="Times New Roman" w:eastAsia="宋体"/>
          <w:kern w:val="0"/>
          <w:sz w:val="24"/>
          <w:szCs w:val="24"/>
          <w:u w:color="FFFFFF"/>
        </w:rPr>
        <w:t>22</w:t>
      </w:r>
      <w:r>
        <w:rPr>
          <w:rFonts w:ascii="Times New Roman" w:hAnsi="Times New Roman" w:eastAsia="宋体"/>
          <w:kern w:val="0"/>
          <w:sz w:val="24"/>
          <w:szCs w:val="24"/>
          <w:u w:color="FFFFFF"/>
        </w:rPr>
        <w:t>人，在该情况下人员应为固定的国家队队员，政府专职队队员由于流动性大、水平低、工作时间短，不利于化工救援专业队伍建设工作。</w:t>
      </w:r>
    </w:p>
    <w:p w14:paraId="2292D301">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2、</w:t>
      </w:r>
      <w:r>
        <w:rPr>
          <w:rFonts w:ascii="Times New Roman" w:hAnsi="Times New Roman" w:eastAsia="宋体"/>
          <w:kern w:val="0"/>
          <w:sz w:val="24"/>
          <w:szCs w:val="24"/>
          <w:u w:color="FFFFFF"/>
        </w:rPr>
        <w:t>配足配齐专业救援车辆</w:t>
      </w:r>
    </w:p>
    <w:p w14:paraId="2917D7AD">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淮南经济技术开发区化工专业救援队</w:t>
      </w:r>
      <w:r>
        <w:rPr>
          <w:rFonts w:ascii="Times New Roman" w:hAnsi="Times New Roman" w:eastAsia="宋体"/>
          <w:kern w:val="0"/>
          <w:sz w:val="24"/>
          <w:szCs w:val="24"/>
          <w:u w:color="FFFFFF"/>
        </w:rPr>
        <w:t>作为</w:t>
      </w:r>
      <w:r>
        <w:rPr>
          <w:rFonts w:hint="eastAsia" w:ascii="Times New Roman" w:hAnsi="Times New Roman" w:eastAsia="宋体"/>
          <w:kern w:val="0"/>
          <w:sz w:val="24"/>
          <w:szCs w:val="24"/>
          <w:u w:color="FFFFFF"/>
        </w:rPr>
        <w:t>开发区化工产业区</w:t>
      </w:r>
      <w:r>
        <w:rPr>
          <w:rFonts w:ascii="Times New Roman" w:hAnsi="Times New Roman" w:eastAsia="宋体"/>
          <w:kern w:val="0"/>
          <w:sz w:val="24"/>
          <w:szCs w:val="24"/>
          <w:u w:color="FFFFFF"/>
        </w:rPr>
        <w:t>化工事故处置的专业力量，应结合化工专业队属性、化工火灾事故处置和特殊生产工艺配备相应的车辆。经调研，需为</w:t>
      </w:r>
      <w:r>
        <w:rPr>
          <w:rFonts w:hint="eastAsia" w:ascii="Times New Roman" w:hAnsi="Times New Roman" w:eastAsia="宋体"/>
          <w:kern w:val="0"/>
          <w:sz w:val="24"/>
          <w:szCs w:val="24"/>
          <w:u w:color="FFFFFF"/>
        </w:rPr>
        <w:t>淮南经济开发区化工专业救援队</w:t>
      </w:r>
      <w:r>
        <w:rPr>
          <w:rFonts w:ascii="Times New Roman" w:hAnsi="Times New Roman" w:eastAsia="宋体"/>
          <w:kern w:val="0"/>
          <w:sz w:val="24"/>
          <w:szCs w:val="24"/>
          <w:u w:color="FFFFFF"/>
        </w:rPr>
        <w:t>配备</w:t>
      </w:r>
      <w:r>
        <w:rPr>
          <w:rFonts w:hint="eastAsia" w:ascii="Times New Roman" w:hAnsi="Times New Roman" w:eastAsia="宋体"/>
          <w:kern w:val="0"/>
          <w:sz w:val="24"/>
          <w:szCs w:val="24"/>
          <w:u w:color="FFFFFF"/>
        </w:rPr>
        <w:t>抢险救援车</w:t>
      </w:r>
      <w:r>
        <w:rPr>
          <w:rFonts w:ascii="Times New Roman" w:hAnsi="Times New Roman" w:eastAsia="宋体"/>
          <w:kern w:val="0"/>
          <w:sz w:val="24"/>
          <w:szCs w:val="24"/>
          <w:u w:color="FFFFFF"/>
        </w:rPr>
        <w:t>1辆、</w:t>
      </w:r>
      <w:r>
        <w:rPr>
          <w:rFonts w:hint="eastAsia" w:ascii="Times New Roman" w:hAnsi="Times New Roman" w:eastAsia="宋体"/>
          <w:kern w:val="0"/>
          <w:sz w:val="24"/>
          <w:szCs w:val="24"/>
          <w:u w:color="FFFFFF"/>
        </w:rPr>
        <w:t>18</w:t>
      </w:r>
      <w:r>
        <w:rPr>
          <w:rFonts w:ascii="Times New Roman" w:hAnsi="Times New Roman" w:eastAsia="宋体"/>
          <w:kern w:val="0"/>
          <w:sz w:val="24"/>
          <w:szCs w:val="24"/>
          <w:u w:color="FFFFFF"/>
        </w:rPr>
        <w:t>吨重型水罐消防车1辆、</w:t>
      </w:r>
      <w:r>
        <w:rPr>
          <w:rFonts w:hint="eastAsia" w:ascii="Times New Roman" w:hAnsi="Times New Roman" w:eastAsia="宋体"/>
          <w:kern w:val="0"/>
          <w:sz w:val="24"/>
          <w:szCs w:val="24"/>
          <w:u w:color="FFFFFF"/>
        </w:rPr>
        <w:t>消防机器人2台</w:t>
      </w:r>
      <w:r>
        <w:rPr>
          <w:rFonts w:ascii="Times New Roman" w:hAnsi="Times New Roman" w:eastAsia="宋体"/>
          <w:kern w:val="0"/>
          <w:sz w:val="24"/>
          <w:szCs w:val="24"/>
          <w:u w:color="FFFFFF"/>
        </w:rPr>
        <w:t>。</w:t>
      </w:r>
    </w:p>
    <w:p w14:paraId="5A99CC07">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3、</w:t>
      </w:r>
      <w:r>
        <w:rPr>
          <w:rFonts w:ascii="Times New Roman" w:hAnsi="Times New Roman" w:eastAsia="宋体"/>
          <w:kern w:val="0"/>
          <w:sz w:val="24"/>
          <w:szCs w:val="24"/>
          <w:u w:color="FFFFFF"/>
        </w:rPr>
        <w:t>配足配齐专业救援装备</w:t>
      </w:r>
    </w:p>
    <w:p w14:paraId="6E0A7B65">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不同的灾害事故救援属性和不同专业队的建队方向，需要因人、因地、因时、因势配备不同属性专业器材装备。建议为化工救援专业队配备相应的侦检器材、堵漏器材、洗消器材，如各级别化学防护服、各类有毒有害气体检测仪、破拆器材，参考《城市消防站建设标准》</w:t>
      </w:r>
      <w:r>
        <w:rPr>
          <w:rFonts w:hint="eastAsia" w:ascii="Times New Roman" w:hAnsi="Times New Roman" w:eastAsia="宋体"/>
          <w:kern w:val="0"/>
          <w:sz w:val="24"/>
          <w:szCs w:val="24"/>
          <w:u w:color="FFFFFF"/>
        </w:rPr>
        <w:t>，具体名单见附件</w:t>
      </w:r>
      <w:r>
        <w:rPr>
          <w:rFonts w:ascii="Times New Roman" w:hAnsi="Times New Roman" w:eastAsia="宋体"/>
          <w:kern w:val="0"/>
          <w:sz w:val="24"/>
          <w:szCs w:val="24"/>
          <w:u w:color="FFFFFF"/>
        </w:rPr>
        <w:t>。</w:t>
      </w:r>
    </w:p>
    <w:p w14:paraId="58C9C427">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4、</w:t>
      </w:r>
      <w:r>
        <w:rPr>
          <w:rFonts w:ascii="Times New Roman" w:hAnsi="Times New Roman" w:eastAsia="宋体"/>
          <w:kern w:val="0"/>
          <w:sz w:val="24"/>
          <w:szCs w:val="24"/>
          <w:u w:color="FFFFFF"/>
        </w:rPr>
        <w:t>配足配齐专业训练装备</w:t>
      </w:r>
    </w:p>
    <w:p w14:paraId="17D8DC64">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依托化工园区、企业设置训练教学场地，围绕化工装置、工艺流程、致灾因素等开展实战化教学训练。结合各化工企业不同的危险物质，开展实地模拟灾害事故演练，通过观察不同危化品物质发生灾害的情况，让全体消防救援人员对其有直观认识。设置化工灾害模拟训练设施，如管道泄漏破损、罐体腐蚀破损等模拟设备，各类化工处置防护、洗消等化工专业训练。通过训练达到人装合一，并通过专业装备的配备实现专业救援队伍战斗力的提升。</w:t>
      </w:r>
    </w:p>
    <w:p w14:paraId="2CC7CC21">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五、下</w:t>
      </w:r>
      <w:r>
        <w:rPr>
          <w:rFonts w:ascii="Times New Roman" w:hAnsi="Times New Roman" w:eastAsia="宋体"/>
          <w:kern w:val="0"/>
          <w:sz w:val="24"/>
          <w:szCs w:val="24"/>
          <w:u w:color="FFFFFF"/>
        </w:rPr>
        <w:t>一步</w:t>
      </w:r>
      <w:r>
        <w:rPr>
          <w:rFonts w:hint="eastAsia" w:ascii="Times New Roman" w:hAnsi="Times New Roman" w:eastAsia="宋体"/>
          <w:kern w:val="0"/>
          <w:sz w:val="24"/>
          <w:szCs w:val="24"/>
          <w:u w:color="FFFFFF"/>
        </w:rPr>
        <w:t>规划</w:t>
      </w:r>
      <w:r>
        <w:rPr>
          <w:rFonts w:ascii="Times New Roman" w:hAnsi="Times New Roman" w:eastAsia="宋体"/>
          <w:kern w:val="0"/>
          <w:sz w:val="24"/>
          <w:szCs w:val="24"/>
          <w:u w:color="FFFFFF"/>
        </w:rPr>
        <w:t>工作方向</w:t>
      </w:r>
    </w:p>
    <w:p w14:paraId="7DEF643B">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一）紧紧围绕“专业建设、专业救援、专业储备”目标，建立专业应急救援力量体系按照化工灭火救援专业队的“灭火冷却小组、举高喷射小组、抢险防化小组、战勤保障小组、通信指挥小组、远程供水小组”组成，配齐专业队伍人员。按照化工处置专业队的相关要求，开展体</w:t>
      </w:r>
      <w:r>
        <w:rPr>
          <w:rFonts w:hint="eastAsia" w:ascii="Times New Roman" w:hAnsi="Times New Roman" w:eastAsia="宋体"/>
          <w:kern w:val="0"/>
          <w:sz w:val="24"/>
          <w:szCs w:val="24"/>
          <w:u w:color="FFFFFF"/>
        </w:rPr>
        <w:t>能</w:t>
      </w:r>
      <w:r>
        <w:rPr>
          <w:rFonts w:ascii="Times New Roman" w:hAnsi="Times New Roman" w:eastAsia="宋体"/>
          <w:kern w:val="0"/>
          <w:sz w:val="24"/>
          <w:szCs w:val="24"/>
          <w:u w:color="FFFFFF"/>
        </w:rPr>
        <w:t>技能训练和学习，做好专业队人才建设和储备，</w:t>
      </w:r>
    </w:p>
    <w:p w14:paraId="2812631C">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（二）紧紧围绕“专业队伍、专业人才、专业能力”目标，开展科学高效化工处置训练</w:t>
      </w:r>
    </w:p>
    <w:p w14:paraId="6FD3C419">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要充分开展专业队员专业救援技术实战运用和各战斗小组之间协同配合，达到“像训练一样作战、像作战一样训练”“训战合一”的目的。立足各类事故处置需求，规范化工事故灭火救援战斗小组编成，制定专业队训练科目及标准，组织开展防护警戒、侦察检测、控火抑爆、设施应用、工艺处置、堵漏洗消、泡沫输转释放等专项训练，对近年来典型化工火灾扑救战例复盘推演，固化经验、查找不足、改进战法，强化知识储备，提高实战能力。组织各危化品企业专家定期分析研判形势，开展专题授课并指导化工处置实战演练，培养一批化工灭火救援专业人才，以点带面，以师傅带徒弟，提升消防救援队伍化工灾害事故处置能力。</w:t>
      </w:r>
    </w:p>
    <w:p w14:paraId="0616CB77">
      <w:pPr>
        <w:overflowPunct/>
        <w:snapToGrid/>
        <w:spacing w:line="360" w:lineRule="auto"/>
        <w:ind w:firstLine="480" w:firstLineChars="200"/>
        <w:rPr>
          <w:rFonts w:ascii="Times New Roman" w:hAnsi="Times New Roman" w:eastAsia="宋体"/>
          <w:kern w:val="0"/>
          <w:sz w:val="24"/>
          <w:szCs w:val="24"/>
          <w:u w:color="FFFFFF"/>
        </w:rPr>
      </w:pPr>
      <w:r>
        <w:rPr>
          <w:rFonts w:ascii="Times New Roman" w:hAnsi="Times New Roman" w:eastAsia="宋体"/>
          <w:kern w:val="0"/>
          <w:sz w:val="24"/>
          <w:szCs w:val="24"/>
          <w:u w:color="FFFFFF"/>
        </w:rPr>
        <w:t>（三）紧紧围绕“专业标准、专业战法、专业救援”主线，配备专业救援队伍的专业装备</w:t>
      </w:r>
    </w:p>
    <w:p w14:paraId="44E8AB2C">
      <w:pPr>
        <w:pStyle w:val="47"/>
        <w:adjustRightInd/>
        <w:spacing w:line="360" w:lineRule="auto"/>
        <w:ind w:firstLine="480" w:firstLineChars="200"/>
        <w:rPr>
          <w:rFonts w:hint="default" w:ascii="Times New Roman" w:hAnsi="Times New Roman"/>
          <w:color w:val="auto"/>
          <w:u w:color="FFFFFF"/>
        </w:rPr>
      </w:pPr>
      <w:r>
        <w:rPr>
          <w:rFonts w:hint="default" w:ascii="Times New Roman" w:hAnsi="Times New Roman"/>
          <w:color w:val="auto"/>
          <w:u w:color="FFFFFF"/>
        </w:rPr>
        <w:t>专业队伍根据救援实际需求，结合自身队伍需要，参照《专业救援队伍装备配备标准》和《城市消防站建设标准》科学合理配备专业车辆器材装备。在化工事故处置过程中,大功率的水罐消防车、泡沫消防车、举高喷射消防车均是常用的主战车辆。现场用水量大,火场供水困难,远程供水系统也是必备的供水器具。化学防护服等个人防护装备、有毒气体检测仪和可燃气体检测仪等侦检装备,洗消帐篷和洗消剂等都是化工事故现场常用到的装备器材。同时应结合辖区化工企业特点,进行专业的危险性评估、装备评估和战斗力评估</w:t>
      </w:r>
      <w:r>
        <w:rPr>
          <w:rFonts w:ascii="Times New Roman"/>
          <w:color w:val="auto"/>
          <w:u w:color="FFFFFF"/>
        </w:rPr>
        <w:t>，</w:t>
      </w:r>
      <w:r>
        <w:rPr>
          <w:rFonts w:hint="default" w:ascii="Times New Roman" w:hAnsi="Times New Roman"/>
          <w:color w:val="auto"/>
          <w:u w:color="FFFFFF"/>
        </w:rPr>
        <w:t>以增强个人防护能力、侦检能力、供水能力、灭火能力、工艺处置能力等实战能力为最终目的,配备高质量、高性能的装备器材。</w:t>
      </w:r>
    </w:p>
    <w:p w14:paraId="56B63271">
      <w:pPr>
        <w:overflowPunct/>
        <w:snapToGrid/>
        <w:spacing w:beforeLines="50" w:afterLines="50" w:line="360" w:lineRule="auto"/>
        <w:rPr>
          <w:rFonts w:ascii="Times New Roman" w:hAnsi="Times New Roman" w:eastAsia="宋体"/>
          <w:b/>
          <w:bCs/>
          <w:kern w:val="0"/>
          <w:sz w:val="24"/>
          <w:szCs w:val="24"/>
          <w:u w:color="FFFFFF"/>
        </w:rPr>
      </w:pPr>
      <w:r>
        <w:rPr>
          <w:rFonts w:hint="eastAsia" w:ascii="Times New Roman" w:hAnsi="Times New Roman" w:eastAsia="宋体"/>
          <w:b/>
          <w:bCs/>
          <w:kern w:val="0"/>
          <w:sz w:val="24"/>
          <w:szCs w:val="24"/>
          <w:u w:color="FFFFFF"/>
        </w:rPr>
        <w:t>经开区危化应急救援队规划建设情况</w:t>
      </w:r>
    </w:p>
    <w:p w14:paraId="551681E8">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安徽省危化应急救援淮南淮化队隶属于安徽新淮化工工程有限责任公司。2022.9.22经开化工园区管委会与新淮化工签订协议，成立淮南经开化工园区危化应急救援队，并于9.30正式入驻。安徽省危化应急救援淮南淮化队是安徽省应急管理厅任命的5支省级队伍之一。现经开区危化应急救援队共有34人，战备执勤人员均取得红十字救护员证；并前往国家危化品应急救援实训演练濮阳基地培训取得技能等级证书消防员证。队伍救援经验丰富，综合应急素质较高，执勤分队实行24小时全天候战备执勤，实行准军事化管理，依照省级队伍建设指南标准进行技能、体能训练。</w:t>
      </w:r>
    </w:p>
    <w:p w14:paraId="09F0D7BE">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应急救援物资装备使用情况</w:t>
      </w:r>
    </w:p>
    <w:p w14:paraId="16287805">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经开区危化应急救援队灭火救援出动1辆消防泡沫车、1辆消防水罐车、1辆气防车，车上配备重型、轻型防化服、堵漏工具及移动炮等必要装备。</w:t>
      </w:r>
    </w:p>
    <w:p w14:paraId="4BA94788">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应急保障物资保障情况</w:t>
      </w:r>
    </w:p>
    <w:p w14:paraId="05F0F9A2">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经开区危化救援队现有</w:t>
      </w:r>
      <w:r>
        <w:rPr>
          <w:rFonts w:hint="eastAsia" w:ascii="Times New Roman" w:hAnsi="Times New Roman" w:eastAsia="宋体"/>
          <w:kern w:val="0"/>
          <w:sz w:val="24"/>
          <w:szCs w:val="24"/>
          <w:u w:color="FFFFFF"/>
          <w:lang w:eastAsia="zh-CN"/>
        </w:rPr>
        <w:t>涉及</w:t>
      </w:r>
      <w:r>
        <w:rPr>
          <w:rFonts w:hint="eastAsia" w:ascii="Times New Roman" w:hAnsi="Times New Roman" w:eastAsia="宋体"/>
          <w:kern w:val="0"/>
          <w:sz w:val="24"/>
          <w:szCs w:val="24"/>
          <w:u w:color="FFFFFF"/>
        </w:rPr>
        <w:t>危化品处置装备：6套重型防化服、12套轻型防化服、破拆工具、气体检测仪、防爆输转泵、移动供气源、正压式空气呼吸器及各种装备配件等。</w:t>
      </w:r>
    </w:p>
    <w:p w14:paraId="09BDED51">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演练开展情况</w:t>
      </w:r>
    </w:p>
    <w:p w14:paraId="598B3D96">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打铁还需自身硬，我队始终把强化队伍建设，提高业务技能，实施精准救援作为管理目标，积极组织和参与各项演练。队伍曾先后2022、2023年参加淮南市危化应急综合演练及经开化工园区危化品生产安全事故应急演练。</w:t>
      </w:r>
    </w:p>
    <w:p w14:paraId="71A5FC2E">
      <w:pPr>
        <w:overflowPunct/>
        <w:snapToGrid/>
        <w:spacing w:line="360" w:lineRule="auto"/>
        <w:ind w:firstLine="480" w:firstLineChars="200"/>
        <w:rPr>
          <w:rFonts w:ascii="Times New Roman" w:hAnsi="Times New Roman" w:eastAsia="宋体"/>
          <w:kern w:val="0"/>
          <w:sz w:val="24"/>
          <w:szCs w:val="24"/>
          <w:u w:color="FFFFFF"/>
        </w:rPr>
      </w:pPr>
      <w:r>
        <w:rPr>
          <w:rFonts w:hint="eastAsia" w:ascii="Times New Roman" w:hAnsi="Times New Roman" w:eastAsia="宋体"/>
          <w:kern w:val="0"/>
          <w:sz w:val="24"/>
          <w:szCs w:val="24"/>
          <w:u w:color="FFFFFF"/>
        </w:rPr>
        <w:t>日常培训训练开展</w:t>
      </w:r>
    </w:p>
    <w:p w14:paraId="36FD1C8E">
      <w:pPr>
        <w:overflowPunct/>
        <w:snapToGrid/>
        <w:spacing w:line="360" w:lineRule="auto"/>
        <w:ind w:firstLine="480" w:firstLineChars="200"/>
        <w:rPr>
          <w:rFonts w:ascii="宋体" w:hAnsi="宋体" w:eastAsia="宋体" w:cs="宋体"/>
          <w:sz w:val="30"/>
          <w:szCs w:val="30"/>
        </w:rPr>
      </w:pPr>
      <w:r>
        <w:rPr>
          <w:rFonts w:hint="eastAsia" w:ascii="Times New Roman" w:hAnsi="Times New Roman" w:eastAsia="宋体"/>
          <w:kern w:val="0"/>
          <w:sz w:val="24"/>
          <w:szCs w:val="24"/>
          <w:u w:color="FFFFFF"/>
        </w:rPr>
        <w:t>开展全员训练，树立仗怎么打，兵就怎么练的基本原则。着力打造一支省级危化专业应急队伍。为增强队员训练积极性,强化应急队员的作风纪律建设,增强体能和专业技能的技战水平,提高应急救援灭火和抢险救援能力。根据公司要求开展大培训、大练兵、大比武工作精神及化工企业灭火实战的特点，制定年度、月度、日训练计划。</w:t>
      </w:r>
    </w:p>
    <w:p w14:paraId="10F29432">
      <w:pPr>
        <w:pStyle w:val="5"/>
        <w:spacing w:before="156" w:after="156"/>
      </w:pPr>
      <w:bookmarkStart w:id="179" w:name="_Toc4596069"/>
      <w:r>
        <w:rPr>
          <w:rFonts w:eastAsiaTheme="minorEastAsia"/>
          <w:sz w:val="24"/>
          <w:szCs w:val="24"/>
        </w:rPr>
        <w:t>7.7.4 建设一个应急平台</w:t>
      </w:r>
      <w:bookmarkEnd w:id="179"/>
    </w:p>
    <w:p w14:paraId="1F29877C">
      <w:pPr>
        <w:spacing w:line="360" w:lineRule="auto"/>
        <w:ind w:firstLine="480" w:firstLineChars="200"/>
        <w:rPr>
          <w:sz w:val="24"/>
          <w:szCs w:val="24"/>
        </w:rPr>
      </w:pPr>
      <w:bookmarkStart w:id="180" w:name="_Toc4596070"/>
      <w:r>
        <w:rPr>
          <w:sz w:val="24"/>
          <w:szCs w:val="24"/>
        </w:rPr>
        <w:t>利用现代通讯技术、网络、安全管理等技术，建设一个应急平台。应用应急管理软件实现应急管理的“平战结合”和安监、环保、消防、公安等系统的应急联动。“平时”利用该系统实行预案的模拟演练，“战时”利用应急指挥系统进行事故接报、风险评估、人员疏散、应急处置等工作。</w:t>
      </w:r>
    </w:p>
    <w:p w14:paraId="6A0D77FF">
      <w:pPr>
        <w:spacing w:line="360" w:lineRule="auto"/>
        <w:ind w:firstLine="480" w:firstLineChars="200"/>
        <w:rPr>
          <w:sz w:val="24"/>
          <w:szCs w:val="24"/>
        </w:rPr>
      </w:pPr>
      <w:r>
        <w:rPr>
          <w:sz w:val="24"/>
          <w:szCs w:val="24"/>
        </w:rPr>
        <w:t>应急平台由化工园区动态监控网络、事故模拟平台、应急联动和应急处置系统组成，还包括化工园区安全监控与应急救援指挥中心设备等。</w:t>
      </w:r>
    </w:p>
    <w:p w14:paraId="5F01C04A">
      <w:pPr>
        <w:spacing w:line="360" w:lineRule="auto"/>
        <w:ind w:firstLine="480" w:firstLineChars="200"/>
        <w:rPr>
          <w:sz w:val="24"/>
          <w:szCs w:val="24"/>
        </w:rPr>
      </w:pPr>
      <w:r>
        <w:rPr>
          <w:sz w:val="24"/>
          <w:szCs w:val="24"/>
        </w:rPr>
        <w:t>化工园区建设安全监管和应急救援信息平台，构建基础信息库和风险隐患数据库，至少接入企业重大危险源（储罐区和库区）实时在线监测监控相关数据、关键岗位视频监控、安全仪表等异常报警数据，实现对化工园区内重点场所、重点设施在线实时监测、动态评估和及时自动预警；园区三维倾斜摄影模型，在平台中实时更新园区建设边界、园区内企业边界及分布等基础信息；化工园区接入数据上传至省、市级应急管理部门。具体见7.6.3信息化平台章节</w:t>
      </w:r>
      <w:r>
        <w:rPr>
          <w:rFonts w:hint="eastAsia"/>
          <w:sz w:val="24"/>
          <w:szCs w:val="24"/>
        </w:rPr>
        <w:t>。</w:t>
      </w:r>
    </w:p>
    <w:p w14:paraId="3EF09403">
      <w:pPr>
        <w:pStyle w:val="5"/>
        <w:spacing w:before="156" w:after="156"/>
        <w:rPr>
          <w:rFonts w:eastAsiaTheme="minorEastAsia"/>
          <w:sz w:val="24"/>
          <w:szCs w:val="24"/>
        </w:rPr>
      </w:pPr>
      <w:r>
        <w:rPr>
          <w:rFonts w:eastAsiaTheme="minorEastAsia"/>
          <w:sz w:val="24"/>
          <w:szCs w:val="24"/>
        </w:rPr>
        <w:t>7.7.5 应急救援体系管理体制和应急响应机制建设</w:t>
      </w:r>
      <w:bookmarkEnd w:id="180"/>
    </w:p>
    <w:p w14:paraId="3F5445A9">
      <w:pPr>
        <w:spacing w:line="360" w:lineRule="auto"/>
        <w:ind w:firstLine="480" w:firstLineChars="200"/>
        <w:rPr>
          <w:sz w:val="24"/>
          <w:szCs w:val="24"/>
        </w:rPr>
      </w:pPr>
      <w:r>
        <w:rPr>
          <w:sz w:val="24"/>
          <w:szCs w:val="24"/>
        </w:rPr>
        <w:t>在开发区管委会的领导下，化工园区应急救援指挥中心直接指挥、指导和协调化工园区各企业的应急救援指挥部，调动整个化工园区范围内的所有应急救援资源。化工园区应急救援指挥中心在自己的力量不能满足事故抢险救灾需要时，可以向上级应急救援相关部门请求支援。接到请求的上级应急救援相关部门应当立即组织调集相关资源前往化工园区支援。</w:t>
      </w:r>
    </w:p>
    <w:p w14:paraId="01F65633">
      <w:pPr>
        <w:spacing w:line="360" w:lineRule="auto"/>
        <w:ind w:firstLine="480" w:firstLineChars="200"/>
        <w:rPr>
          <w:sz w:val="24"/>
          <w:szCs w:val="24"/>
        </w:rPr>
      </w:pPr>
      <w:r>
        <w:rPr>
          <w:sz w:val="24"/>
          <w:szCs w:val="24"/>
        </w:rPr>
        <w:t>化工园区应建立分级响应的应急救援机制。事故发生后，首先由装置应急指挥部实施第一救援并上报。可能造成一般或较大事故的，原则上由化工园区应急救援指挥中心组织指挥，可能造成重大以上事故的，一般由化工园区应急救援指挥中心向上级相关部门汇报，请求支援。</w:t>
      </w:r>
    </w:p>
    <w:p w14:paraId="7C3EB6E5">
      <w:pPr>
        <w:spacing w:line="360" w:lineRule="auto"/>
        <w:ind w:firstLine="480" w:firstLineChars="200"/>
      </w:pPr>
      <w:r>
        <w:rPr>
          <w:sz w:val="24"/>
          <w:szCs w:val="24"/>
        </w:rPr>
        <w:t>化工园区企业及公共应急物资储备保障制度，配备充足的应急物资装备。台风、雷电、洪水、泥石流、滑坡等自然灾害监测和预警能力。</w:t>
      </w:r>
    </w:p>
    <w:p w14:paraId="3812A702">
      <w:pPr>
        <w:pStyle w:val="4"/>
        <w:spacing w:before="156" w:after="156"/>
        <w:rPr>
          <w:rFonts w:ascii="Times New Roman" w:hAnsi="Times New Roman"/>
          <w:sz w:val="24"/>
          <w:szCs w:val="24"/>
        </w:rPr>
      </w:pPr>
      <w:bookmarkStart w:id="181" w:name="_Toc1628655"/>
      <w:bookmarkStart w:id="182" w:name="_Toc23888"/>
      <w:bookmarkStart w:id="183" w:name="_Toc449277636"/>
      <w:bookmarkStart w:id="184" w:name="_Toc356465568"/>
      <w:r>
        <w:rPr>
          <w:rFonts w:ascii="Times New Roman" w:hAnsi="Times New Roman"/>
          <w:sz w:val="24"/>
          <w:szCs w:val="24"/>
        </w:rPr>
        <w:t>7.8安全管理规划</w:t>
      </w:r>
      <w:bookmarkEnd w:id="181"/>
      <w:bookmarkEnd w:id="182"/>
      <w:bookmarkEnd w:id="183"/>
      <w:bookmarkEnd w:id="184"/>
    </w:p>
    <w:p w14:paraId="2E413557">
      <w:pPr>
        <w:pStyle w:val="5"/>
        <w:spacing w:before="156" w:after="156"/>
        <w:rPr>
          <w:rFonts w:eastAsiaTheme="minorEastAsia"/>
          <w:sz w:val="24"/>
          <w:szCs w:val="24"/>
        </w:rPr>
      </w:pPr>
      <w:bookmarkStart w:id="185" w:name="_Toc4596072"/>
      <w:r>
        <w:rPr>
          <w:rFonts w:eastAsiaTheme="minorEastAsia"/>
          <w:sz w:val="24"/>
          <w:szCs w:val="24"/>
        </w:rPr>
        <w:t>7.8.1建立化工园区安全管理机构</w:t>
      </w:r>
      <w:bookmarkEnd w:id="185"/>
    </w:p>
    <w:p w14:paraId="40F9C182">
      <w:pPr>
        <w:spacing w:line="360" w:lineRule="auto"/>
        <w:ind w:firstLine="480" w:firstLineChars="200"/>
        <w:rPr>
          <w:sz w:val="24"/>
          <w:szCs w:val="24"/>
          <w:u w:color="FFFFFF"/>
        </w:rPr>
      </w:pPr>
      <w:bookmarkStart w:id="186" w:name="_Toc4596073"/>
      <w:r>
        <w:rPr>
          <w:sz w:val="24"/>
          <w:szCs w:val="24"/>
          <w:u w:color="FFFFFF"/>
        </w:rPr>
        <w:t>依据《化工园区安全风险排查治理导则（试行）》第2.3条要求“化工园区的设立应经省级及以上人民政府认定，负责园区管理的当地人民政府应明确承担园区安全生产和应急管理职责的机构”。</w:t>
      </w:r>
    </w:p>
    <w:p w14:paraId="0C038DDD">
      <w:pPr>
        <w:spacing w:line="360" w:lineRule="auto"/>
        <w:ind w:firstLine="480" w:firstLineChars="200"/>
        <w:rPr>
          <w:sz w:val="24"/>
          <w:szCs w:val="24"/>
          <w:u w:color="FFFFFF"/>
        </w:rPr>
      </w:pPr>
      <w:r>
        <w:rPr>
          <w:sz w:val="24"/>
          <w:szCs w:val="24"/>
          <w:u w:color="FFFFFF"/>
        </w:rPr>
        <w:t>第7.1条要求“化工园区应实施安全生产与应急一体化管理，建立健全行业监管、协同执法和应急救援的联动机制，协调解决化工园区内企业之间的安全生产重大问题， 统筹指挥化工园区的应急救援工作，指导企业落实安全生产主体责任，全面加强安全生产和应急管理工作”。</w:t>
      </w:r>
    </w:p>
    <w:p w14:paraId="0B1EAA26">
      <w:pPr>
        <w:spacing w:line="360" w:lineRule="auto"/>
        <w:ind w:firstLine="480" w:firstLineChars="200"/>
        <w:rPr>
          <w:sz w:val="24"/>
          <w:szCs w:val="24"/>
          <w:u w:color="FFFFFF"/>
        </w:rPr>
      </w:pPr>
      <w:r>
        <w:rPr>
          <w:sz w:val="24"/>
          <w:szCs w:val="24"/>
          <w:u w:color="FFFFFF"/>
        </w:rPr>
        <w:t>第7.2条要求“化工园区管委会应配备具有化工专业背景的负责人，并建立化工园区管委会领导带班制度；根据企业数量、产业特点、整体安全风险状况，配备满足安全监管需要的人员，其中具有相关化工专业学历或化工安全生产实践经历的人员或注册安全工程师的人员数量不低于安全监管人员的75%”。</w:t>
      </w:r>
    </w:p>
    <w:p w14:paraId="3B5FC64B">
      <w:pPr>
        <w:spacing w:line="360" w:lineRule="auto"/>
        <w:ind w:firstLine="482" w:firstLineChars="200"/>
        <w:rPr>
          <w:b/>
          <w:bCs/>
          <w:sz w:val="24"/>
          <w:szCs w:val="24"/>
          <w:u w:color="FFFFFF"/>
        </w:rPr>
      </w:pPr>
      <w:r>
        <w:rPr>
          <w:b/>
          <w:bCs/>
          <w:sz w:val="24"/>
          <w:szCs w:val="24"/>
          <w:u w:color="FFFFFF"/>
        </w:rPr>
        <w:t>规划要求：</w:t>
      </w:r>
    </w:p>
    <w:p w14:paraId="257CF300">
      <w:pPr>
        <w:spacing w:line="360" w:lineRule="auto"/>
        <w:ind w:firstLine="480" w:firstLineChars="200"/>
        <w:rPr>
          <w:sz w:val="24"/>
          <w:szCs w:val="24"/>
          <w:u w:color="FFFFFF"/>
        </w:rPr>
      </w:pPr>
      <w:r>
        <w:rPr>
          <w:sz w:val="24"/>
          <w:szCs w:val="24"/>
          <w:u w:color="FFFFFF"/>
        </w:rPr>
        <w:t>负责园区管理的淮南经开区管委会明确承担化工园区安全生产职责的机构。</w:t>
      </w:r>
      <w:r>
        <w:rPr>
          <w:rFonts w:hint="eastAsia"/>
          <w:sz w:val="24"/>
          <w:szCs w:val="24"/>
          <w:u w:color="FFFFFF"/>
        </w:rPr>
        <w:t>成立化工园区管委会正式机构，设立应急管理、生态环境等园区管理部门，</w:t>
      </w:r>
      <w:r>
        <w:rPr>
          <w:sz w:val="24"/>
          <w:szCs w:val="24"/>
          <w:u w:color="FFFFFF"/>
        </w:rPr>
        <w:t>建立健全安全管理制度</w:t>
      </w:r>
      <w:r>
        <w:rPr>
          <w:rFonts w:hint="eastAsia"/>
          <w:sz w:val="24"/>
          <w:szCs w:val="24"/>
          <w:u w:color="FFFFFF"/>
        </w:rPr>
        <w:t>，配备的专职管理和监管人员。</w:t>
      </w:r>
    </w:p>
    <w:p w14:paraId="271CE94D">
      <w:pPr>
        <w:spacing w:line="360" w:lineRule="auto"/>
        <w:ind w:firstLine="482" w:firstLineChars="200"/>
        <w:rPr>
          <w:b/>
          <w:bCs/>
          <w:sz w:val="24"/>
          <w:szCs w:val="24"/>
          <w:u w:color="FFFFFF"/>
        </w:rPr>
      </w:pPr>
      <w:r>
        <w:rPr>
          <w:b/>
          <w:bCs/>
          <w:sz w:val="24"/>
          <w:szCs w:val="24"/>
          <w:u w:color="FFFFFF"/>
        </w:rPr>
        <w:t>安全管理机构设置要求：</w:t>
      </w:r>
    </w:p>
    <w:p w14:paraId="4143714F">
      <w:pPr>
        <w:spacing w:line="360" w:lineRule="auto"/>
        <w:ind w:firstLine="480" w:firstLineChars="200"/>
        <w:rPr>
          <w:sz w:val="24"/>
          <w:szCs w:val="24"/>
          <w:u w:color="FFFFFF"/>
        </w:rPr>
      </w:pPr>
      <w:r>
        <w:rPr>
          <w:sz w:val="24"/>
          <w:szCs w:val="24"/>
          <w:u w:color="FFFFFF"/>
        </w:rPr>
        <w:t>化工园区建立安全生产与应急一体化管理权责清单，明确化工园区相关负责人、安全生产管理机构及相关部门的安全管理职责，建立园区各项安全管理制度并严格落实。</w:t>
      </w:r>
    </w:p>
    <w:p w14:paraId="1BF70764">
      <w:pPr>
        <w:spacing w:line="360" w:lineRule="auto"/>
        <w:ind w:firstLine="480" w:firstLineChars="200"/>
        <w:rPr>
          <w:sz w:val="24"/>
          <w:szCs w:val="24"/>
          <w:u w:color="FFFFFF"/>
        </w:rPr>
      </w:pPr>
      <w:r>
        <w:rPr>
          <w:sz w:val="24"/>
          <w:szCs w:val="24"/>
          <w:u w:color="FFFFFF"/>
        </w:rPr>
        <w:t>化工园区建立安全生产与应急一体化管理权责清单，明确化工园区相关负责人、安全生产管理机构及相关部门的安全管理职责。各类安全管理制度包括：通用类管理制度、人员类管理制度、园区内企业管理制度、公共区域类管理制度、建设项目类安全管理制度、第三方管理制度、应急管理制度、消防安全管理制度等专业管理制度。按化工园区专家指导服务工作组安排，为指导化工园区编制各项安全管理制度，化工园区安全生产与应急一体化管理权责清单及相关制度。</w:t>
      </w:r>
    </w:p>
    <w:p w14:paraId="6522BBEC">
      <w:pPr>
        <w:spacing w:line="360" w:lineRule="auto"/>
        <w:ind w:firstLine="480" w:firstLineChars="200"/>
        <w:rPr>
          <w:sz w:val="24"/>
          <w:szCs w:val="24"/>
          <w:u w:color="FFFFFF"/>
        </w:rPr>
      </w:pPr>
      <w:r>
        <w:rPr>
          <w:sz w:val="24"/>
          <w:szCs w:val="24"/>
          <w:u w:color="FFFFFF"/>
        </w:rPr>
        <w:t>负责园区管理的淮南经开区管委会指定园区安全生产管理机构，实施园区安全生产一体化管理，协调解决园区内企业之间的安全生产重大问题，统筹指挥园区的应急救援工作，指导企业落实安全生产主体责任，全面加强安全生产工作，定期组织园区企业开展安全管理情况检查或互查。化工园区安全管理机构包括化工园区单独设立的安全管理机构，内设化工园区的开发区安全管理机构以及地方应急管理部门派驻园区的分局、安监站等。</w:t>
      </w:r>
    </w:p>
    <w:p w14:paraId="09345795">
      <w:pPr>
        <w:spacing w:line="360" w:lineRule="auto"/>
        <w:ind w:firstLine="482" w:firstLineChars="200"/>
        <w:rPr>
          <w:b/>
          <w:bCs/>
          <w:sz w:val="24"/>
          <w:szCs w:val="24"/>
          <w:u w:color="FFFFFF"/>
        </w:rPr>
      </w:pPr>
      <w:r>
        <w:rPr>
          <w:b/>
          <w:bCs/>
          <w:sz w:val="24"/>
          <w:szCs w:val="24"/>
          <w:u w:color="FFFFFF"/>
        </w:rPr>
        <w:t>监管人员设置要求：</w:t>
      </w:r>
    </w:p>
    <w:p w14:paraId="65B6EA83">
      <w:pPr>
        <w:spacing w:line="360" w:lineRule="auto"/>
        <w:ind w:firstLine="480" w:firstLineChars="200"/>
        <w:rPr>
          <w:sz w:val="24"/>
          <w:szCs w:val="24"/>
          <w:u w:color="FFFFFF"/>
        </w:rPr>
      </w:pPr>
      <w:r>
        <w:rPr>
          <w:sz w:val="24"/>
          <w:szCs w:val="24"/>
          <w:u w:color="FFFFFF"/>
        </w:rPr>
        <w:t>化工园区管理机构配备具有化工专业背景的负责人，建立化工园区管理机构领导带班制度，并配备满足安全监管需要的专业监管人员。</w:t>
      </w:r>
    </w:p>
    <w:p w14:paraId="11123546">
      <w:pPr>
        <w:spacing w:line="360" w:lineRule="auto"/>
        <w:ind w:firstLine="480" w:firstLineChars="200"/>
        <w:rPr>
          <w:sz w:val="24"/>
          <w:szCs w:val="24"/>
          <w:u w:color="FFFFFF"/>
        </w:rPr>
      </w:pPr>
      <w:r>
        <w:rPr>
          <w:sz w:val="24"/>
          <w:szCs w:val="24"/>
          <w:u w:color="FFFFFF"/>
        </w:rPr>
        <w:t>化工园区应充分考虑化工园区规模、化工（危险化学品）企业数量、产业特点、整体安全风险状况等因素，采用行政编制、事业编制、聘用应急管理综合行政执法技术检查员等形式，配齐配强专业监管人员，明确监管人员职责，合理调配力量，确保专业高效监管。淮南经开化工园区（危险化学品）企业不超过20家，专业监管人员应不少于6人。当随着园区的企业进入，危险化学品企业超过20家时，专业监管人员应不少于10人；涉及有毒、剧毒气体和爆炸物，重点监管危险化工工艺，重大危险源的化工园区，应增加专业监管人员。专业监管人员应具有化工等相关专业本科以上学历，或者相关行业领域中级以上专业技术职称、二级（技师）以上职业资格，或者注册安全工程师等职业资格，或者在化工企业一线从事生产或安全管理10年及以上。化工园区管委会应配备具有化工专业背景的负责人，并建立化工园区管委会领导带班制度。</w:t>
      </w:r>
    </w:p>
    <w:p w14:paraId="623E4456">
      <w:pPr>
        <w:spacing w:line="360" w:lineRule="auto"/>
        <w:ind w:firstLine="482" w:firstLineChars="200"/>
        <w:rPr>
          <w:b/>
          <w:bCs/>
          <w:sz w:val="24"/>
          <w:szCs w:val="24"/>
          <w:u w:color="FFFFFF"/>
        </w:rPr>
      </w:pPr>
      <w:r>
        <w:rPr>
          <w:b/>
          <w:bCs/>
          <w:sz w:val="24"/>
          <w:szCs w:val="24"/>
          <w:u w:color="FFFFFF"/>
        </w:rPr>
        <w:t>管理制度：</w:t>
      </w:r>
    </w:p>
    <w:p w14:paraId="1DC635AC">
      <w:pPr>
        <w:spacing w:line="360" w:lineRule="auto"/>
        <w:ind w:firstLine="480" w:firstLineChars="200"/>
        <w:rPr>
          <w:sz w:val="24"/>
          <w:szCs w:val="24"/>
          <w:u w:color="FFFFFF"/>
        </w:rPr>
      </w:pPr>
      <w:r>
        <w:rPr>
          <w:sz w:val="24"/>
          <w:szCs w:val="24"/>
          <w:u w:color="FFFFFF"/>
        </w:rPr>
        <w:t>化工园区建立健全行业监管、协同执法和应急救援的联动机制，协调解决化工园区内企业之间的安全生产重大问题，统筹指挥化工园区的应急救援工作，指导企业落实安全生产主体责任，全面加强安全生产和应急管理工作。新修改的《安全生产法》第三条明确要求“安全生产工作实行管行业必须管安全、管业务必须管安全、管生产经营必须管安全”。各地化工园区管委会多数为地方政府负责园区综合管理的派出机构。由于化工行业安全生产风险高、监管责任大，决定了化工园区必须实施安全生产与应急一体化管理，建立健全行业监管、协同执法和应急救援的联动机制。</w:t>
      </w:r>
    </w:p>
    <w:p w14:paraId="76AF5BCD">
      <w:pPr>
        <w:pStyle w:val="14"/>
        <w:ind w:firstLine="480"/>
        <w:rPr>
          <w:rFonts w:eastAsia="宋体"/>
          <w:szCs w:val="24"/>
          <w:u w:color="FFFFFF"/>
        </w:rPr>
      </w:pPr>
      <w:r>
        <w:rPr>
          <w:rFonts w:eastAsia="宋体"/>
          <w:szCs w:val="24"/>
          <w:u w:color="FFFFFF"/>
        </w:rPr>
        <w:t>化工园区按照国家有关要求，制定安全风险分级管控制度，对化工园区内企业进行安全风险分级，加强对红色、橙色安全风险的分析、评估、预警。《两办意见》要求，对危险化学品企业、化工园区（化工集中区），组织实施精准化安全风险排查评估，分类建立完善安全风险数据库和信息管理系统，区分“红、橙、黄、蓝”四级安全风险。依据《关于印发危险化学品生产储存企业安全风险评估诊断分级指南（试行）的通知》（应急〔2018〕19号）对危险化学品企业进行安全风险评估诊断分级，根据评估诊断结果按照风险从高到低依次将危险化学品企业分为红色（60分以下）、橙色（60至75分以下）、黄色（75至90分以下）、蓝色（90分及以上）四个等级。</w:t>
      </w:r>
    </w:p>
    <w:p w14:paraId="642DA98E">
      <w:pPr>
        <w:pStyle w:val="14"/>
        <w:ind w:firstLine="480"/>
        <w:rPr>
          <w:rFonts w:eastAsia="宋体"/>
          <w:szCs w:val="24"/>
          <w:u w:color="FFFFFF"/>
        </w:rPr>
      </w:pPr>
      <w:r>
        <w:rPr>
          <w:rFonts w:eastAsia="宋体"/>
          <w:szCs w:val="24"/>
          <w:u w:color="FFFFFF"/>
        </w:rPr>
        <w:t>化工园区建设安全监管和应急救援信息平台，满足《化工园区安全风险智能化管控平台建设指南（试行）》的建设要求。化工园区应将接入数据上传至省、市级应急管理部门。《两办意见》明确提出“强化园区应急保障能力建设，构建一体化应急管理系统。构建园区一体化应急管理信息平台，并依托信息平台，对园区安全生产状况实施动态监控及预警预报，定期进行安全生产风险分析，建立与园区周边社区危险性告知和应急联动体系，及时发布预警信息，落实防范和应急处置措施。”</w:t>
      </w:r>
    </w:p>
    <w:p w14:paraId="2AF385CC">
      <w:pPr>
        <w:spacing w:line="360" w:lineRule="auto"/>
        <w:ind w:firstLine="480" w:firstLineChars="200"/>
        <w:rPr>
          <w:sz w:val="24"/>
          <w:szCs w:val="24"/>
          <w:u w:color="FFFFFF"/>
        </w:rPr>
      </w:pPr>
      <w:r>
        <w:rPr>
          <w:sz w:val="24"/>
          <w:szCs w:val="24"/>
          <w:u w:color="FFFFFF"/>
        </w:rPr>
        <w:t>化工园区应建立安全生产与应急一体化管理权责清单，明确化工园区相关负责人、安全生产管理机构及相关部门的安全管理职责。各类安全管理制度包括：通用类管理制度、人员类管理制度、园区内企业管理制度、公共区域类管理制度、建设项目类安全管理制度、第三方管理制度、应急管理制度等专业管理制度。</w:t>
      </w:r>
    </w:p>
    <w:p w14:paraId="629C12BA">
      <w:pPr>
        <w:spacing w:line="360" w:lineRule="auto"/>
        <w:ind w:firstLine="480" w:firstLineChars="200"/>
        <w:rPr>
          <w:sz w:val="24"/>
          <w:szCs w:val="24"/>
          <w:u w:color="FFFFFF"/>
        </w:rPr>
      </w:pPr>
      <w:r>
        <w:rPr>
          <w:sz w:val="24"/>
          <w:szCs w:val="24"/>
          <w:u w:color="FFFFFF"/>
        </w:rPr>
        <w:t>淮南经开化工园区应当建立由园区管理负责人、园区安全生产管理机构负责人等组成的安全生产委员会，定期召开会议，通报园区安全生产工作，研究和协调园区有关安全生产的重大事项，督促落实消除事故隐患的措施。</w:t>
      </w:r>
    </w:p>
    <w:p w14:paraId="5027E167">
      <w:pPr>
        <w:spacing w:line="360" w:lineRule="auto"/>
        <w:ind w:firstLine="480" w:firstLineChars="200"/>
        <w:rPr>
          <w:sz w:val="24"/>
          <w:szCs w:val="24"/>
          <w:u w:color="FFFFFF"/>
        </w:rPr>
      </w:pPr>
      <w:r>
        <w:rPr>
          <w:sz w:val="24"/>
          <w:szCs w:val="24"/>
          <w:u w:color="FFFFFF"/>
        </w:rPr>
        <w:t>淮南经开化工园区应根据安全生产工作实际，建立安全生产管理机构，配备安全生产管理人员。并随着园区建设的不断展开，逐步扩充专职、专业的安全生产管理人员队伍，并落实必要的办公设施和工作经费。</w:t>
      </w:r>
    </w:p>
    <w:p w14:paraId="64A119EF">
      <w:pPr>
        <w:spacing w:line="360" w:lineRule="auto"/>
        <w:ind w:firstLine="480" w:firstLineChars="200"/>
        <w:rPr>
          <w:sz w:val="24"/>
          <w:szCs w:val="24"/>
        </w:rPr>
      </w:pPr>
      <w:r>
        <w:rPr>
          <w:sz w:val="24"/>
          <w:szCs w:val="24"/>
        </w:rPr>
        <w:t>化工园区管委会配备具有化工专业背景的负责人，化工园区管委会领导带班制度；配备满足安全监管需要的人员，具有相关化工专业学历或化工安全生产实践经历的人员或注册安全工程师的人员数量不低于安全监管人员的75%。</w:t>
      </w:r>
    </w:p>
    <w:p w14:paraId="28DE66E9">
      <w:pPr>
        <w:spacing w:line="360" w:lineRule="auto"/>
        <w:ind w:firstLine="482" w:firstLineChars="200"/>
        <w:rPr>
          <w:b/>
          <w:bCs/>
          <w:sz w:val="24"/>
          <w:szCs w:val="24"/>
          <w:u w:color="FFFFFF"/>
        </w:rPr>
      </w:pPr>
      <w:r>
        <w:rPr>
          <w:b/>
          <w:bCs/>
          <w:sz w:val="24"/>
          <w:szCs w:val="24"/>
          <w:u w:color="FFFFFF"/>
        </w:rPr>
        <w:t>日常安全管理</w:t>
      </w:r>
    </w:p>
    <w:p w14:paraId="160CBD9E">
      <w:pPr>
        <w:spacing w:line="360" w:lineRule="auto"/>
        <w:ind w:firstLine="480" w:firstLineChars="200"/>
        <w:rPr>
          <w:rFonts w:eastAsiaTheme="minorEastAsia"/>
          <w:bCs/>
          <w:kern w:val="0"/>
          <w:sz w:val="24"/>
          <w:szCs w:val="24"/>
        </w:rPr>
      </w:pPr>
      <w:r>
        <w:rPr>
          <w:rFonts w:eastAsiaTheme="minorEastAsia"/>
          <w:bCs/>
          <w:kern w:val="0"/>
          <w:sz w:val="24"/>
          <w:szCs w:val="24"/>
        </w:rPr>
        <w:t>园区管委会按照《国务院安委会办公室关于进一步加强化工园区安全管理的指导意见》(安委办〔2012〕37号)、《关于加强化工园区安全管理工作的指导意见》(原皖安监三〔2012〕107号)等文件要求制定了相应的工作职责、规范、程序，建立了安全生产工作例会、安全宣传、安全检查、隐患整治、事故处置报告等制度，隐患排查治理、自动化控制改造、重大危险源等方面均建立了相关档案。</w:t>
      </w:r>
    </w:p>
    <w:p w14:paraId="0E24C019">
      <w:pPr>
        <w:spacing w:line="360" w:lineRule="auto"/>
        <w:ind w:firstLine="480" w:firstLineChars="200"/>
        <w:rPr>
          <w:rFonts w:eastAsiaTheme="minorEastAsia"/>
          <w:bCs/>
          <w:kern w:val="0"/>
          <w:sz w:val="24"/>
          <w:szCs w:val="24"/>
        </w:rPr>
      </w:pPr>
      <w:r>
        <w:rPr>
          <w:rFonts w:eastAsiaTheme="minorEastAsia"/>
          <w:bCs/>
          <w:kern w:val="0"/>
          <w:sz w:val="24"/>
          <w:szCs w:val="24"/>
        </w:rPr>
        <w:t>(1) 淮南经开区管委会每季度组织召开安全环保工作会议，每月召开一次应急职能部门联席会议；</w:t>
      </w:r>
    </w:p>
    <w:p w14:paraId="1121B632">
      <w:pPr>
        <w:spacing w:line="360" w:lineRule="auto"/>
        <w:ind w:firstLine="480" w:firstLineChars="200"/>
        <w:rPr>
          <w:rFonts w:eastAsiaTheme="minorEastAsia"/>
          <w:bCs/>
          <w:kern w:val="0"/>
          <w:sz w:val="24"/>
          <w:szCs w:val="24"/>
        </w:rPr>
      </w:pPr>
      <w:r>
        <w:rPr>
          <w:rFonts w:eastAsiaTheme="minorEastAsia"/>
          <w:bCs/>
          <w:kern w:val="0"/>
          <w:sz w:val="24"/>
          <w:szCs w:val="24"/>
        </w:rPr>
        <w:t>(2) 配合上级监管部门对园区企业进行执法检查，按国家及省市相关要求组织开展专项安全检查，对涉及“两重点、一重大”的企业严格实施日常监管；</w:t>
      </w:r>
    </w:p>
    <w:p w14:paraId="5311372C">
      <w:pPr>
        <w:spacing w:line="360" w:lineRule="auto"/>
        <w:ind w:firstLine="480" w:firstLineChars="200"/>
        <w:rPr>
          <w:rFonts w:eastAsiaTheme="minorEastAsia"/>
          <w:bCs/>
          <w:kern w:val="0"/>
          <w:sz w:val="24"/>
          <w:szCs w:val="24"/>
        </w:rPr>
      </w:pPr>
      <w:r>
        <w:rPr>
          <w:rFonts w:eastAsiaTheme="minorEastAsia"/>
          <w:bCs/>
          <w:kern w:val="0"/>
          <w:sz w:val="24"/>
          <w:szCs w:val="24"/>
        </w:rPr>
        <w:t>(3) 每年按时开展“安全生产月”活动；</w:t>
      </w:r>
    </w:p>
    <w:p w14:paraId="117993FC">
      <w:pPr>
        <w:spacing w:line="360" w:lineRule="auto"/>
        <w:ind w:firstLine="480" w:firstLineChars="200"/>
        <w:rPr>
          <w:rFonts w:eastAsiaTheme="minorEastAsia"/>
          <w:bCs/>
          <w:kern w:val="0"/>
          <w:sz w:val="24"/>
          <w:szCs w:val="24"/>
        </w:rPr>
      </w:pPr>
      <w:r>
        <w:rPr>
          <w:rFonts w:eastAsiaTheme="minorEastAsia"/>
          <w:bCs/>
          <w:kern w:val="0"/>
          <w:sz w:val="24"/>
          <w:szCs w:val="24"/>
        </w:rPr>
        <w:t>(4) 组织开展主要负责人、安全管理人员、特种作业人员等各类安全培训班；</w:t>
      </w:r>
    </w:p>
    <w:p w14:paraId="4FBD80BB">
      <w:pPr>
        <w:spacing w:line="360" w:lineRule="auto"/>
        <w:ind w:firstLine="480" w:firstLineChars="200"/>
        <w:rPr>
          <w:rFonts w:eastAsiaTheme="minorEastAsia"/>
          <w:bCs/>
          <w:kern w:val="0"/>
          <w:sz w:val="24"/>
          <w:szCs w:val="24"/>
        </w:rPr>
      </w:pPr>
      <w:r>
        <w:rPr>
          <w:rFonts w:eastAsiaTheme="minorEastAsia"/>
          <w:bCs/>
          <w:kern w:val="0"/>
          <w:sz w:val="24"/>
          <w:szCs w:val="24"/>
        </w:rPr>
        <w:t>(5) 及时宣贯落实新法律、法规、文件精神，严格查处非法、违法行为；</w:t>
      </w:r>
    </w:p>
    <w:p w14:paraId="7CFE958B">
      <w:pPr>
        <w:spacing w:line="360" w:lineRule="auto"/>
        <w:ind w:firstLine="480" w:firstLineChars="200"/>
        <w:rPr>
          <w:rFonts w:eastAsiaTheme="minorEastAsia"/>
          <w:bCs/>
          <w:kern w:val="0"/>
          <w:sz w:val="24"/>
          <w:szCs w:val="24"/>
        </w:rPr>
      </w:pPr>
      <w:r>
        <w:rPr>
          <w:rFonts w:eastAsiaTheme="minorEastAsia"/>
          <w:bCs/>
          <w:kern w:val="0"/>
          <w:sz w:val="24"/>
          <w:szCs w:val="24"/>
        </w:rPr>
        <w:t>(6) 认真为企业做好服务，帮助企业顺利开展安全许可和职业卫生许可相关工作，及时帮助企业解决安全方面的各项难题；</w:t>
      </w:r>
    </w:p>
    <w:p w14:paraId="3A636928">
      <w:pPr>
        <w:spacing w:line="360" w:lineRule="auto"/>
        <w:ind w:firstLine="480" w:firstLineChars="200"/>
        <w:rPr>
          <w:rFonts w:eastAsiaTheme="minorEastAsia"/>
          <w:bCs/>
          <w:kern w:val="0"/>
          <w:sz w:val="24"/>
          <w:szCs w:val="24"/>
        </w:rPr>
      </w:pPr>
      <w:r>
        <w:rPr>
          <w:rFonts w:eastAsiaTheme="minorEastAsia"/>
          <w:bCs/>
          <w:kern w:val="0"/>
          <w:sz w:val="24"/>
          <w:szCs w:val="24"/>
        </w:rPr>
        <w:t>(7) 督促企业开展安全标准化达标创建工作；</w:t>
      </w:r>
    </w:p>
    <w:p w14:paraId="72185072">
      <w:pPr>
        <w:widowControl/>
        <w:spacing w:line="360" w:lineRule="auto"/>
        <w:ind w:firstLine="480" w:firstLineChars="200"/>
        <w:jc w:val="left"/>
        <w:rPr>
          <w:rFonts w:eastAsiaTheme="minorEastAsia"/>
          <w:bCs/>
          <w:kern w:val="0"/>
          <w:sz w:val="24"/>
          <w:szCs w:val="24"/>
        </w:rPr>
      </w:pPr>
      <w:r>
        <w:rPr>
          <w:rFonts w:eastAsiaTheme="minorEastAsia"/>
          <w:bCs/>
          <w:kern w:val="0"/>
          <w:sz w:val="24"/>
          <w:szCs w:val="24"/>
        </w:rPr>
        <w:t>(8) 委托第三方检查和企业自聘专家会诊的方式，一方面督促企业自聘专家“诊断式”开展检查；另一方面由政府出资委托第三方监管单位帮助企业查找隐患，并提出针对性整改措施，不断提升企业本质安全水平；</w:t>
      </w:r>
    </w:p>
    <w:p w14:paraId="1ECFD49C">
      <w:pPr>
        <w:widowControl/>
        <w:spacing w:line="360" w:lineRule="auto"/>
        <w:ind w:firstLine="480" w:firstLineChars="200"/>
        <w:jc w:val="left"/>
        <w:rPr>
          <w:rFonts w:eastAsiaTheme="minorEastAsia"/>
          <w:bCs/>
          <w:kern w:val="0"/>
          <w:sz w:val="24"/>
          <w:szCs w:val="24"/>
        </w:rPr>
      </w:pPr>
      <w:r>
        <w:rPr>
          <w:rFonts w:eastAsiaTheme="minorEastAsia"/>
          <w:bCs/>
          <w:kern w:val="0"/>
          <w:sz w:val="24"/>
          <w:szCs w:val="24"/>
        </w:rPr>
        <w:t>(9) 委托具有资质的安全评价机构开展园区整体性安全风险评价工作，科学评价园区安全风险，提出消除、降低或控制安全风险的对策措施，并将该方案报园区主管部门备案，原则上每五年开展一次，如遇其他情况可提前开展。</w:t>
      </w:r>
      <w:r>
        <w:rPr>
          <w:rFonts w:hint="eastAsia" w:eastAsiaTheme="minorEastAsia"/>
          <w:bCs/>
          <w:kern w:val="0"/>
          <w:sz w:val="24"/>
          <w:szCs w:val="24"/>
        </w:rPr>
        <w:t>化工园区安全生产管理机构应至少每五年开展一次化工园区整体性安全风险评估，评估安全风险，提出消除、降低、管控安全风险的对策措施。</w:t>
      </w:r>
      <w:r>
        <w:rPr>
          <w:rFonts w:eastAsiaTheme="minorEastAsia"/>
          <w:bCs/>
          <w:kern w:val="0"/>
          <w:sz w:val="24"/>
          <w:szCs w:val="24"/>
        </w:rPr>
        <w:t>上一次园区安全风险评估工作为2022年9月委托安徽祥源科技股份有限公司开展。</w:t>
      </w:r>
    </w:p>
    <w:p w14:paraId="00C6EDCD">
      <w:pPr>
        <w:pStyle w:val="5"/>
        <w:spacing w:before="156" w:after="156"/>
        <w:rPr>
          <w:rFonts w:eastAsiaTheme="minorEastAsia"/>
          <w:sz w:val="24"/>
          <w:szCs w:val="24"/>
        </w:rPr>
      </w:pPr>
      <w:r>
        <w:rPr>
          <w:rFonts w:eastAsiaTheme="minorEastAsia"/>
          <w:sz w:val="24"/>
          <w:szCs w:val="24"/>
        </w:rPr>
        <w:t>7.8.2严格履行建设项目“三同时”监督管理工作制度</w:t>
      </w:r>
      <w:bookmarkEnd w:id="186"/>
    </w:p>
    <w:p w14:paraId="6DE00AF7">
      <w:pPr>
        <w:spacing w:line="360" w:lineRule="auto"/>
        <w:ind w:firstLine="480" w:firstLineChars="200"/>
        <w:rPr>
          <w:sz w:val="24"/>
          <w:szCs w:val="24"/>
        </w:rPr>
      </w:pPr>
      <w:r>
        <w:rPr>
          <w:sz w:val="24"/>
          <w:szCs w:val="24"/>
        </w:rPr>
        <w:t>认真贯彻《安全生产法》、《环境保护法》、《职业病防治法》和“安全第一，预防为主,综合治理”的方针，确保化工园区各建设项目（工程）劳动、安全、环境保护、卫生防护设施达到国家标准要求，切实保障劳动者的安全与健康，对化工园区企业建设项目进行“三同时”监督管理工作制度，同时对化工园区变更设计需进行变更管理制度。</w:t>
      </w:r>
    </w:p>
    <w:p w14:paraId="1A50D568">
      <w:pPr>
        <w:pStyle w:val="5"/>
        <w:spacing w:before="156" w:after="156"/>
        <w:rPr>
          <w:rFonts w:eastAsiaTheme="minorEastAsia"/>
          <w:sz w:val="24"/>
          <w:szCs w:val="24"/>
        </w:rPr>
      </w:pPr>
      <w:bookmarkStart w:id="187" w:name="_Toc4596074"/>
      <w:r>
        <w:rPr>
          <w:rFonts w:eastAsiaTheme="minorEastAsia"/>
          <w:sz w:val="24"/>
          <w:szCs w:val="24"/>
        </w:rPr>
        <w:t>7.8.3化工园区安全生产双重预防体系建设规划</w:t>
      </w:r>
      <w:bookmarkEnd w:id="187"/>
    </w:p>
    <w:p w14:paraId="0C569BC7">
      <w:pPr>
        <w:spacing w:line="360" w:lineRule="auto"/>
        <w:ind w:firstLine="480" w:firstLineChars="200"/>
        <w:rPr>
          <w:sz w:val="24"/>
          <w:szCs w:val="24"/>
        </w:rPr>
      </w:pPr>
      <w:r>
        <w:rPr>
          <w:sz w:val="24"/>
          <w:szCs w:val="24"/>
        </w:rPr>
        <w:t>认真强化安全发展理念，创新安全管理模式，加强安全生产工作，有效遏制重特大事故发生，保障广大人民群众生命财产安全，化工园区建立完善风险管控和隐患排查治理双重预防机制。开展安全生产隐患大排查快整治严执法集中行动，深入研究重特大事故的规律特点，认真分析安全风险大的行业领域和关键环节，加快推行隐患排查治理、风险分级管控双重预防机制，建立完善安全生产风险分级管控体系、隐患排查治理体系和安全生产信息化系统，逐步实现标准化、信息化的风险管控和隐患排查治理双重预防，从根本上防范事故发生，构建安全生产长效机制，建立安全管控一体化体系。</w:t>
      </w:r>
    </w:p>
    <w:p w14:paraId="4A7FDA09">
      <w:pPr>
        <w:widowControl/>
        <w:spacing w:line="360" w:lineRule="auto"/>
        <w:ind w:firstLine="480" w:firstLineChars="200"/>
        <w:jc w:val="left"/>
        <w:rPr>
          <w:sz w:val="24"/>
          <w:szCs w:val="24"/>
        </w:rPr>
      </w:pPr>
      <w:r>
        <w:rPr>
          <w:sz w:val="24"/>
          <w:szCs w:val="24"/>
        </w:rPr>
        <w:t>2021年底前，淮南经开化工园区相关部门建立“两重点一重大”危险化学品建设项目安全风险联合防控机制，严禁不符合安全生产国家标准或行业标准、采用淘汰落后工艺技术、国内首次使用且未经安全可靠性论证及工艺技术不成熟的危险化学品建设项目入园。禁止引进涉及光气化、硝化、重氮化、偶氮化工艺以及硝酸铵、硝酸胍、硝基苯系物等高风险危险化学品项目。对涉及硝化、氯化、氟化、重氮化、过氧化工艺的新、改、扩建项目，在建设项目安全条件审查前所在市应向省应急管理部门书面报告。</w:t>
      </w:r>
    </w:p>
    <w:p w14:paraId="4F95FA44">
      <w:pPr>
        <w:widowControl/>
        <w:spacing w:line="360" w:lineRule="auto"/>
        <w:ind w:firstLine="480" w:firstLineChars="200"/>
        <w:jc w:val="left"/>
        <w:rPr>
          <w:sz w:val="24"/>
          <w:szCs w:val="24"/>
        </w:rPr>
      </w:pPr>
      <w:r>
        <w:rPr>
          <w:sz w:val="24"/>
          <w:szCs w:val="24"/>
        </w:rPr>
        <w:t>加快企业自动化控制改造升级。截止2021年9月，尚未取得安全设施设计批复的建设项目，凡涉及危险化工工艺的生产装置，其上下游配套装置须进行全流程自动化控制设计；现有涉及危险工艺装置的企业，其上下游配套装置2022年年底前须实现全流程自动化控制。新、改、扩建项目在设计阶段要优化设计方案，最大限度减少现场生产作业人员数量，涉及爆炸危险性、甲类乙类火灾危险性、有毒气体和窒息危险性的生产、储存装置区原则上除巡检人员外，不应配备其他现场作业人员，必须配备的，涉及硝化、加氢、氟化、氯化等重点监管化工工艺及其他反应工艺危险度2级及以上的生产车间（区域），同一时间现场操作人员控制在３人以下；独栋厂房（装置）内现场作业人员总数不得超过9人；现有涉及爆炸危险性、甲类乙类火灾危险性、中毒危险性的生产、储存装置区达不到上述限人要求的，2022年年底前达到要求。2021年底前所有生产企业实现“二道门”防无关人员进入功能。</w:t>
      </w:r>
    </w:p>
    <w:p w14:paraId="7B09DCB2">
      <w:pPr>
        <w:widowControl/>
        <w:spacing w:line="360" w:lineRule="auto"/>
        <w:ind w:firstLine="480" w:firstLineChars="200"/>
        <w:jc w:val="left"/>
        <w:rPr>
          <w:sz w:val="24"/>
          <w:szCs w:val="24"/>
        </w:rPr>
      </w:pPr>
      <w:r>
        <w:rPr>
          <w:sz w:val="24"/>
          <w:szCs w:val="24"/>
        </w:rPr>
        <w:t>开展安全资质对标达标和学历提升行动。企业要按照《危险化学品企业重点人员安全资质达标导则（试行）》要求，开展专职安全管理和高风险岗位操作两类重点人员安全资质达标提升行动，并建立管理清单。对新入职人员严把达标关，对现有不达标人员逐岗对标，实施“一企一策”限期达标整改计划，通过学历提升、内部调整、人员招录等方式，2022年年底前全面达标。将以上两类重点人员安全资质条件达标情况纳入安全许可现场核查和执法检查内容。危险化学品企业应支持员工在职提升化工安全相关学历水平，建立完善激励机制，吸引和稳定安全技术技能人员队伍。企业现有主要负责人、分管安全生产负责人和主管生产、设备、技术、安全的负责人等人员安全资质条件过渡政策和达标管理的原则，参照《危险化学品企业重点人员安全资质达标导则（试行）》相关要求执行，2022年年底前达标。</w:t>
      </w:r>
    </w:p>
    <w:p w14:paraId="6B118889">
      <w:pPr>
        <w:pStyle w:val="5"/>
        <w:spacing w:before="0" w:line="360" w:lineRule="auto"/>
        <w:rPr>
          <w:rFonts w:eastAsiaTheme="minorEastAsia"/>
          <w:sz w:val="24"/>
          <w:szCs w:val="24"/>
        </w:rPr>
      </w:pPr>
      <w:r>
        <w:rPr>
          <w:rFonts w:eastAsiaTheme="minorEastAsia"/>
          <w:sz w:val="24"/>
          <w:szCs w:val="24"/>
        </w:rPr>
        <w:t>7.8.4化工园区“两禁</w:t>
      </w:r>
    </w:p>
    <w:p w14:paraId="73C41818">
      <w:pPr>
        <w:spacing w:line="360" w:lineRule="auto"/>
        <w:rPr>
          <w:b/>
          <w:bCs/>
          <w:sz w:val="24"/>
          <w:szCs w:val="24"/>
          <w:u w:color="FFFFFF"/>
        </w:rPr>
      </w:pPr>
      <w:r>
        <w:rPr>
          <w:rFonts w:eastAsiaTheme="minorEastAsia"/>
          <w:b/>
          <w:bCs/>
          <w:sz w:val="24"/>
          <w:szCs w:val="24"/>
        </w:rPr>
        <w:t>7.8.4.1</w:t>
      </w:r>
      <w:r>
        <w:rPr>
          <w:b/>
          <w:bCs/>
          <w:sz w:val="24"/>
          <w:szCs w:val="24"/>
          <w:u w:color="FFFFFF"/>
        </w:rPr>
        <w:t>“禁限控”目录和项目安全准入条件</w:t>
      </w:r>
    </w:p>
    <w:p w14:paraId="532591AB">
      <w:pPr>
        <w:spacing w:line="360" w:lineRule="auto"/>
        <w:ind w:firstLine="480" w:firstLineChars="200"/>
        <w:rPr>
          <w:sz w:val="24"/>
          <w:szCs w:val="24"/>
          <w:u w:color="FFFFFF"/>
        </w:rPr>
      </w:pPr>
      <w:r>
        <w:rPr>
          <w:sz w:val="24"/>
          <w:szCs w:val="24"/>
          <w:u w:color="FFFFFF"/>
        </w:rPr>
        <w:t>依据《化工园区安全风险排查治理导则（试行）》5.1条要求“化工园区应严格根据《化工园区总体规划》和《化工园区产业规划》，制定适应区域特点、地方实际的‘禁限控’目录”。化工园区应编制“禁限控”目录和入园项目安全准入条件，严格项目安全准入，严禁已淘汰的落后产能异地落户和进园入区，严格防控产业转移安全风险。</w:t>
      </w:r>
    </w:p>
    <w:p w14:paraId="44E4AB97">
      <w:pPr>
        <w:spacing w:line="360" w:lineRule="auto"/>
        <w:ind w:firstLine="480" w:firstLineChars="200"/>
        <w:rPr>
          <w:sz w:val="24"/>
          <w:szCs w:val="24"/>
          <w:u w:color="FFFFFF"/>
        </w:rPr>
      </w:pPr>
      <w:r>
        <w:rPr>
          <w:sz w:val="24"/>
          <w:szCs w:val="24"/>
          <w:u w:color="FFFFFF"/>
        </w:rPr>
        <w:t>化工园区制定“禁限控”目录时，应遵循当地产业发展要求，结合地区地域情况、资源条件、生态环境、安全应急、项目准入、人才队伍等因素，优先引入符合产业集聚性和产业链关联性的化工项目，逐步形成符合园区自身发展特点的、相对完整的“上中下游”产业链和主导产业，实现化工园区内资源的有效配置和充分利用。</w:t>
      </w:r>
    </w:p>
    <w:p w14:paraId="382729E8">
      <w:pPr>
        <w:spacing w:line="360" w:lineRule="auto"/>
        <w:ind w:firstLine="480" w:firstLineChars="200"/>
        <w:rPr>
          <w:sz w:val="24"/>
          <w:szCs w:val="24"/>
          <w:u w:color="FFFFFF"/>
        </w:rPr>
      </w:pPr>
      <w:r>
        <w:rPr>
          <w:sz w:val="24"/>
          <w:szCs w:val="24"/>
          <w:u w:color="FFFFFF"/>
        </w:rPr>
        <w:t>化工园区应按照《危险化学品生产建设项目安全风险防控指南（试行）》要求，制定项目安全准入条件，明确项目审批、项目工艺技术、自动化水平、人才配备、投资额度等方面的要求。</w:t>
      </w:r>
    </w:p>
    <w:p w14:paraId="05A9B3E5">
      <w:pPr>
        <w:spacing w:line="360" w:lineRule="auto"/>
        <w:ind w:firstLine="480" w:firstLineChars="200"/>
        <w:rPr>
          <w:sz w:val="24"/>
          <w:szCs w:val="24"/>
          <w:u w:color="FFFFFF"/>
        </w:rPr>
      </w:pPr>
      <w:r>
        <w:rPr>
          <w:sz w:val="24"/>
          <w:szCs w:val="24"/>
          <w:u w:color="FFFFFF"/>
        </w:rPr>
        <w:t>严禁建设与园区产业发展规划无关的化工项目；严禁新建、扩建列入国家发展改革委发布的《产业结构调整指导目录》淘汰类、限制类的化工项目；严禁新建、扩建涉及应急管理部发布的《淘汰落后危险化学品安全生产工艺技术设备目录》有关工艺技术或设备的化工项目。</w:t>
      </w:r>
    </w:p>
    <w:p w14:paraId="144D71F3">
      <w:pPr>
        <w:spacing w:line="360" w:lineRule="auto"/>
        <w:ind w:firstLine="480" w:firstLineChars="200"/>
        <w:rPr>
          <w:sz w:val="24"/>
          <w:szCs w:val="24"/>
          <w:u w:color="FFFFFF"/>
        </w:rPr>
      </w:pPr>
      <w:r>
        <w:rPr>
          <w:sz w:val="24"/>
          <w:szCs w:val="24"/>
          <w:u w:color="FFFFFF"/>
        </w:rPr>
        <w:t>淮南经开化工园区根据国家和省产业政策，结合所在市“禁限控”目录，制定了《淮南经开化工园区禁止、限制和控制危险化学品目录（试行）》。</w:t>
      </w:r>
    </w:p>
    <w:p w14:paraId="43838308">
      <w:pPr>
        <w:spacing w:line="360" w:lineRule="auto"/>
        <w:rPr>
          <w:b/>
          <w:bCs/>
          <w:sz w:val="24"/>
          <w:szCs w:val="24"/>
          <w:u w:color="FFFFFF"/>
        </w:rPr>
      </w:pPr>
      <w:r>
        <w:rPr>
          <w:b/>
          <w:bCs/>
          <w:sz w:val="24"/>
          <w:szCs w:val="24"/>
          <w:u w:color="FFFFFF"/>
        </w:rPr>
        <w:t>7.8.4.2禁止有居民居住和劳动密集型企业</w:t>
      </w:r>
    </w:p>
    <w:p w14:paraId="2F741D52">
      <w:pPr>
        <w:spacing w:line="360" w:lineRule="auto"/>
        <w:ind w:firstLine="480" w:firstLineChars="200"/>
        <w:rPr>
          <w:sz w:val="24"/>
          <w:szCs w:val="24"/>
          <w:u w:color="FFFFFF"/>
        </w:rPr>
      </w:pPr>
      <w:r>
        <w:rPr>
          <w:sz w:val="24"/>
          <w:szCs w:val="24"/>
          <w:u w:color="FFFFFF"/>
        </w:rPr>
        <w:t>依据《化工园区安全风险排查治理导则（试行）》第2.1条要求“化工园区应整体规划、集中布置，化工园区内不应有居民居住”。</w:t>
      </w:r>
    </w:p>
    <w:p w14:paraId="41AA75E7">
      <w:pPr>
        <w:spacing w:line="360" w:lineRule="auto"/>
        <w:ind w:firstLine="480" w:firstLineChars="200"/>
        <w:rPr>
          <w:sz w:val="24"/>
          <w:szCs w:val="24"/>
          <w:u w:color="FFFFFF"/>
        </w:rPr>
      </w:pPr>
      <w:r>
        <w:rPr>
          <w:sz w:val="24"/>
          <w:szCs w:val="24"/>
          <w:u w:color="FFFFFF"/>
        </w:rPr>
        <w:t>依据《化工园区安全风险排查治理导则（试行）》第4.1条要求“化工园区应综合考虑主导风向、地势高低落差、企业装置之间的相互影响、产品类别、生产工艺、物料互供、公用设施保障、应急救援等因素，合理布置功能 分区。劳动力密集型的非化工企业不得与化工企业混建在同一化工园区内”。</w:t>
      </w:r>
    </w:p>
    <w:p w14:paraId="004B699E">
      <w:pPr>
        <w:spacing w:line="360" w:lineRule="auto"/>
        <w:ind w:firstLine="480" w:firstLineChars="200"/>
      </w:pPr>
      <w:r>
        <w:rPr>
          <w:sz w:val="24"/>
          <w:szCs w:val="24"/>
          <w:u w:color="FFFFFF"/>
        </w:rPr>
        <w:t>化工园区内有居民居住；劳动密集型企业与化工企业混建在同一园区内，容易受到化工园区内危险化学品潜在安全事故（火灾、爆炸、泄漏等）波及影响。园区内有居民居住、化工企业与劳动密集型企业安全防护距离不足的化工园区，要制定整治方案，明确搬迁改造、危险化学品减量等防控措施并限期实施。依据《国务院安全生产委员会关于开展劳动密集型企业消防安全专项治理工作的通知》（安委〔2014〕9号），劳动密集型企业是指同一时间生产加工车间、经营 储存场所和员工集体宿舍等场所容纳超过30人以上，从事制鞋、制衣、玩具、肉食蔬菜水果等食品加工、家具木材加工、物流仓储等企业。目前淮南经开化工园区无居民居住，无劳动密集型企业。</w:t>
      </w:r>
    </w:p>
    <w:p w14:paraId="0B2C0CEB">
      <w:pPr>
        <w:pStyle w:val="5"/>
        <w:spacing w:before="0" w:line="360" w:lineRule="auto"/>
        <w:rPr>
          <w:rFonts w:eastAsiaTheme="minorEastAsia"/>
          <w:b w:val="0"/>
          <w:sz w:val="24"/>
          <w:szCs w:val="24"/>
        </w:rPr>
      </w:pPr>
      <w:bookmarkStart w:id="188" w:name="_Toc85035959"/>
      <w:r>
        <w:rPr>
          <w:rFonts w:eastAsiaTheme="minorEastAsia"/>
          <w:b w:val="0"/>
          <w:sz w:val="24"/>
          <w:szCs w:val="24"/>
        </w:rPr>
        <w:t>7.8.5其他安全管理规划</w:t>
      </w:r>
      <w:bookmarkEnd w:id="188"/>
    </w:p>
    <w:p w14:paraId="7303382F">
      <w:pPr>
        <w:spacing w:line="360" w:lineRule="auto"/>
        <w:ind w:firstLine="480" w:firstLineChars="200"/>
        <w:rPr>
          <w:sz w:val="24"/>
          <w:szCs w:val="24"/>
          <w:u w:color="FFFFFF"/>
        </w:rPr>
      </w:pPr>
      <w:r>
        <w:rPr>
          <w:sz w:val="24"/>
          <w:szCs w:val="24"/>
          <w:u w:color="FFFFFF"/>
        </w:rPr>
        <w:t>根据《关于开展提升危险化学品领域本质安全水平专项行动的通知》（安监总管三〔2012〕87号）及《关于开展提升危险化学品领域本质安全水平专项行动的实施意见》（皖安监三〔2012〕88号）文件要求，园区内涉及“两重点一重大”危险化学品的企业(具体企业名单见</w:t>
      </w:r>
      <w:r>
        <w:rPr>
          <w:sz w:val="24"/>
        </w:rPr>
        <w:t>表6.6-1</w:t>
      </w:r>
      <w:r>
        <w:rPr>
          <w:sz w:val="24"/>
          <w:szCs w:val="24"/>
          <w:u w:color="FFFFFF"/>
        </w:rPr>
        <w:t>)必须进行自动化控制系统改造工作，同时全面开展园区内未经正规设计的在役化工装置安全设计诊断排查工作。加强操作人员的岗位技能培训，涉及剧毒化学品和“两重点一重大”装置的专业管理人员必须具有大专以上学历，操作人员必须具有高中以上文化程度，涉及重点监管的危险化工工艺的操作人员作为特种作业人员，必须取得相关特种作业资格证。危险化学品单位要设置安全生产管理机构或配备专职安全生产管理人员，安全生产管理机构要具备相对独立职能，专职安全生产管理人员不得兼职其它部门的工作。按照安徽省三年行动计划：自2020年5月起，对涉及“两重点一重大”生产装置和储存设施的企业，新入职的主要负责人和主管生产、设备、技术、安全的负责人及安全生产管理人员必须具备化学、化工、安全等相关专业大专及以上学历或化工类中级及以上职称，新入职的涉及重大危险源、重点监管化工工艺的生产装置、储存设施操作人员必须具备高中及以上学历或化工类中等及以上职业教育水平，新入职的涉及爆炸危险性化学品的生产装置和储存设施的操作人员必须具备化工类大专及以上学历；不符合上述要求的现有人员应在2022年年底前达到相应水平。危险化学品企业要按规定配备化工相关专业注册安全工程师。</w:t>
      </w:r>
    </w:p>
    <w:p w14:paraId="1D27613A">
      <w:pPr>
        <w:spacing w:line="360" w:lineRule="auto"/>
        <w:ind w:firstLine="480" w:firstLineChars="200"/>
        <w:rPr>
          <w:sz w:val="24"/>
          <w:szCs w:val="24"/>
          <w:u w:color="FFFFFF"/>
        </w:rPr>
      </w:pPr>
      <w:r>
        <w:rPr>
          <w:sz w:val="24"/>
          <w:szCs w:val="24"/>
          <w:u w:color="FFFFFF"/>
        </w:rPr>
        <w:t>根据《关于2016年工贸行业粉尘防爆专项整治工作情况的通报》（安监总厅管四函〔2017〕43号）、《关于深入开展工贸行业粉尘防爆专项整治工作的通知》（皖安监二〔2017〕36号）等文件要求，加强对园区企业粉尘防爆整治及监管力度，对照建构筑物、除尘系统、防火防爆、粉尘清理等四个方面10条问题和隐患开展重点整治。</w:t>
      </w:r>
    </w:p>
    <w:p w14:paraId="0104FDDB">
      <w:pPr>
        <w:spacing w:line="360" w:lineRule="auto"/>
        <w:ind w:firstLine="480" w:firstLineChars="200"/>
        <w:rPr>
          <w:sz w:val="24"/>
          <w:szCs w:val="24"/>
          <w:u w:color="FFFFFF"/>
        </w:rPr>
      </w:pPr>
      <w:r>
        <w:rPr>
          <w:sz w:val="24"/>
          <w:szCs w:val="24"/>
          <w:u w:color="FFFFFF"/>
        </w:rPr>
        <w:t>对照《化工和危险化学品生产经营单位重大生产安全事故隐患判定标准（试行）》（安监总管三〔2017〕121号）文件要求，对园区企业以下20条情形应当判定为重大事故隐患：</w:t>
      </w:r>
    </w:p>
    <w:p w14:paraId="64227398">
      <w:pPr>
        <w:spacing w:line="360" w:lineRule="auto"/>
        <w:ind w:firstLine="480" w:firstLineChars="200"/>
        <w:rPr>
          <w:sz w:val="24"/>
          <w:szCs w:val="24"/>
          <w:u w:color="FFFFFF"/>
        </w:rPr>
      </w:pPr>
      <w:r>
        <w:rPr>
          <w:sz w:val="24"/>
          <w:szCs w:val="24"/>
          <w:u w:color="FFFFFF"/>
        </w:rPr>
        <w:t>“一、危险化学品生产、经营单位主要负责人和安全生产管理人员未依法经考核合格。</w:t>
      </w:r>
    </w:p>
    <w:p w14:paraId="79E0815D">
      <w:pPr>
        <w:spacing w:line="360" w:lineRule="auto"/>
        <w:ind w:firstLine="480" w:firstLineChars="200"/>
        <w:rPr>
          <w:sz w:val="24"/>
          <w:szCs w:val="24"/>
          <w:u w:color="FFFFFF"/>
        </w:rPr>
      </w:pPr>
      <w:r>
        <w:rPr>
          <w:sz w:val="24"/>
          <w:szCs w:val="24"/>
          <w:u w:color="FFFFFF"/>
        </w:rPr>
        <w:t>二、特种作业人员未持证上岗。</w:t>
      </w:r>
    </w:p>
    <w:p w14:paraId="14C82799">
      <w:pPr>
        <w:spacing w:line="360" w:lineRule="auto"/>
        <w:ind w:firstLine="480" w:firstLineChars="200"/>
        <w:rPr>
          <w:sz w:val="24"/>
          <w:szCs w:val="24"/>
          <w:u w:color="FFFFFF"/>
        </w:rPr>
      </w:pPr>
      <w:r>
        <w:rPr>
          <w:sz w:val="24"/>
          <w:szCs w:val="24"/>
          <w:u w:color="FFFFFF"/>
        </w:rPr>
        <w:t>三、涉及“两重点一重大”的生产装置、储存设施外部安全防护距离不符合国家标准要求。</w:t>
      </w:r>
    </w:p>
    <w:p w14:paraId="15A771AD">
      <w:pPr>
        <w:spacing w:line="360" w:lineRule="auto"/>
        <w:ind w:firstLine="480" w:firstLineChars="200"/>
        <w:rPr>
          <w:sz w:val="24"/>
          <w:szCs w:val="24"/>
          <w:u w:color="FFFFFF"/>
        </w:rPr>
      </w:pPr>
      <w:r>
        <w:rPr>
          <w:sz w:val="24"/>
          <w:szCs w:val="24"/>
          <w:u w:color="FFFFFF"/>
        </w:rPr>
        <w:t>四、涉及重点监管危险化工工艺的装置未实现自动化控制，系统未实现紧急停车功能，装备的自动化控制系统、紧急停车系统未投入使用。</w:t>
      </w:r>
    </w:p>
    <w:p w14:paraId="69C3FAD5">
      <w:pPr>
        <w:spacing w:line="360" w:lineRule="auto"/>
        <w:ind w:firstLine="480" w:firstLineChars="200"/>
        <w:rPr>
          <w:sz w:val="24"/>
          <w:szCs w:val="24"/>
          <w:u w:color="FFFFFF"/>
        </w:rPr>
      </w:pPr>
      <w:r>
        <w:rPr>
          <w:sz w:val="24"/>
          <w:szCs w:val="24"/>
          <w:u w:color="FFFFFF"/>
        </w:rPr>
        <w:t>五、构成一级、二级重大危险源的危险化学品罐区未实现紧急切断功能；涉及毒性气体、液化气体、剧毒液体的一级、二级重大危险源的危险化学品罐区未配备独立的安全仪表系统。</w:t>
      </w:r>
    </w:p>
    <w:p w14:paraId="0C753BD7">
      <w:pPr>
        <w:spacing w:line="360" w:lineRule="auto"/>
        <w:ind w:firstLine="480" w:firstLineChars="200"/>
        <w:rPr>
          <w:sz w:val="24"/>
          <w:szCs w:val="24"/>
          <w:u w:color="FFFFFF"/>
        </w:rPr>
      </w:pPr>
      <w:r>
        <w:rPr>
          <w:sz w:val="24"/>
          <w:szCs w:val="24"/>
          <w:u w:color="FFFFFF"/>
        </w:rPr>
        <w:t>六、全压力式液化烃储罐未按国家标准设置注水措施。</w:t>
      </w:r>
    </w:p>
    <w:p w14:paraId="2CB7A6E0">
      <w:pPr>
        <w:spacing w:line="360" w:lineRule="auto"/>
        <w:ind w:firstLine="480" w:firstLineChars="200"/>
        <w:rPr>
          <w:sz w:val="24"/>
          <w:szCs w:val="24"/>
          <w:u w:color="FFFFFF"/>
        </w:rPr>
      </w:pPr>
      <w:r>
        <w:rPr>
          <w:sz w:val="24"/>
          <w:szCs w:val="24"/>
          <w:u w:color="FFFFFF"/>
        </w:rPr>
        <w:t>七、液化烃、液氨、液氯等易燃易爆、有毒有害液化气体的充装未使用万向管道充装系统。</w:t>
      </w:r>
    </w:p>
    <w:p w14:paraId="2F7745C8">
      <w:pPr>
        <w:spacing w:line="360" w:lineRule="auto"/>
        <w:ind w:firstLine="480" w:firstLineChars="200"/>
        <w:rPr>
          <w:sz w:val="24"/>
          <w:szCs w:val="24"/>
          <w:u w:color="FFFFFF"/>
        </w:rPr>
      </w:pPr>
      <w:r>
        <w:rPr>
          <w:sz w:val="24"/>
          <w:szCs w:val="24"/>
          <w:u w:color="FFFFFF"/>
        </w:rPr>
        <w:t>八、光气、氯气等剧毒气体及硫化氢气体管道穿越除厂区（包括化工园区、工业园区）外的公共区域。</w:t>
      </w:r>
    </w:p>
    <w:p w14:paraId="42F30D93">
      <w:pPr>
        <w:spacing w:line="360" w:lineRule="auto"/>
        <w:ind w:firstLine="480" w:firstLineChars="200"/>
        <w:rPr>
          <w:sz w:val="24"/>
          <w:szCs w:val="24"/>
          <w:u w:color="FFFFFF"/>
        </w:rPr>
      </w:pPr>
      <w:r>
        <w:rPr>
          <w:sz w:val="24"/>
          <w:szCs w:val="24"/>
          <w:u w:color="FFFFFF"/>
        </w:rPr>
        <w:t>九、地区架空电力线路穿越生产区且不符合国家标准要求。</w:t>
      </w:r>
    </w:p>
    <w:p w14:paraId="188326C7">
      <w:pPr>
        <w:spacing w:line="360" w:lineRule="auto"/>
        <w:ind w:firstLine="480" w:firstLineChars="200"/>
        <w:rPr>
          <w:sz w:val="24"/>
          <w:szCs w:val="24"/>
          <w:u w:color="FFFFFF"/>
        </w:rPr>
      </w:pPr>
      <w:r>
        <w:rPr>
          <w:sz w:val="24"/>
          <w:szCs w:val="24"/>
          <w:u w:color="FFFFFF"/>
        </w:rPr>
        <w:t>十、在役化工装置未经正规设计且未进行安全设计诊断。</w:t>
      </w:r>
    </w:p>
    <w:p w14:paraId="51E9939C">
      <w:pPr>
        <w:spacing w:line="360" w:lineRule="auto"/>
        <w:ind w:firstLine="480" w:firstLineChars="200"/>
        <w:rPr>
          <w:sz w:val="24"/>
          <w:szCs w:val="24"/>
          <w:u w:color="FFFFFF"/>
        </w:rPr>
      </w:pPr>
      <w:r>
        <w:rPr>
          <w:sz w:val="24"/>
          <w:szCs w:val="24"/>
          <w:u w:color="FFFFFF"/>
        </w:rPr>
        <w:t>十一、使用淘汰落后安全技术工艺、设备目录列出的工艺、设备。</w:t>
      </w:r>
    </w:p>
    <w:p w14:paraId="37DFBF7A">
      <w:pPr>
        <w:spacing w:line="360" w:lineRule="auto"/>
        <w:ind w:firstLine="480" w:firstLineChars="200"/>
        <w:rPr>
          <w:sz w:val="24"/>
          <w:szCs w:val="24"/>
          <w:u w:color="FFFFFF"/>
        </w:rPr>
      </w:pPr>
      <w:r>
        <w:rPr>
          <w:sz w:val="24"/>
          <w:szCs w:val="24"/>
          <w:u w:color="FFFFFF"/>
        </w:rPr>
        <w:t>十二、涉及可燃和有毒有害气体泄漏的场所未按国家标准设置检测报警装置，爆炸危险场所未按国家标准安装使用防爆电气设备。</w:t>
      </w:r>
    </w:p>
    <w:p w14:paraId="36C51107">
      <w:pPr>
        <w:spacing w:line="360" w:lineRule="auto"/>
        <w:ind w:firstLine="480" w:firstLineChars="200"/>
        <w:rPr>
          <w:sz w:val="24"/>
          <w:szCs w:val="24"/>
          <w:u w:color="FFFFFF"/>
        </w:rPr>
      </w:pPr>
      <w:r>
        <w:rPr>
          <w:sz w:val="24"/>
          <w:szCs w:val="24"/>
          <w:u w:color="FFFFFF"/>
        </w:rPr>
        <w:t>十三、控制室或机柜间面向具有火灾、爆炸危险性装置一侧不满足国家标准关于防火防爆的要求。</w:t>
      </w:r>
    </w:p>
    <w:p w14:paraId="6DB35AE2">
      <w:pPr>
        <w:spacing w:line="360" w:lineRule="auto"/>
        <w:ind w:firstLine="480" w:firstLineChars="200"/>
        <w:rPr>
          <w:sz w:val="24"/>
          <w:szCs w:val="24"/>
          <w:u w:color="FFFFFF"/>
        </w:rPr>
      </w:pPr>
      <w:r>
        <w:rPr>
          <w:sz w:val="24"/>
          <w:szCs w:val="24"/>
          <w:u w:color="FFFFFF"/>
        </w:rPr>
        <w:t>十四、化工生产装置未按国家标准要求设置双重电源供电，自动化控制系统未设置不间断电源。</w:t>
      </w:r>
    </w:p>
    <w:p w14:paraId="1A8EF93B">
      <w:pPr>
        <w:spacing w:line="360" w:lineRule="auto"/>
        <w:ind w:firstLine="480" w:firstLineChars="200"/>
        <w:rPr>
          <w:sz w:val="24"/>
          <w:szCs w:val="24"/>
          <w:u w:color="FFFFFF"/>
        </w:rPr>
      </w:pPr>
      <w:r>
        <w:rPr>
          <w:sz w:val="24"/>
          <w:szCs w:val="24"/>
          <w:u w:color="FFFFFF"/>
        </w:rPr>
        <w:t>十五、安全阀、爆破片等安全附件未正常投用。</w:t>
      </w:r>
    </w:p>
    <w:p w14:paraId="29A4426E">
      <w:pPr>
        <w:spacing w:line="360" w:lineRule="auto"/>
        <w:ind w:firstLine="480" w:firstLineChars="200"/>
        <w:rPr>
          <w:sz w:val="24"/>
          <w:szCs w:val="24"/>
          <w:u w:color="FFFFFF"/>
        </w:rPr>
      </w:pPr>
      <w:r>
        <w:rPr>
          <w:sz w:val="24"/>
          <w:szCs w:val="24"/>
          <w:u w:color="FFFFFF"/>
        </w:rPr>
        <w:t>十六、未建立与岗位相匹配的全员安全生产责任制或者未制定实施生产安全事故隐患排查治理制度。</w:t>
      </w:r>
    </w:p>
    <w:p w14:paraId="2332F894">
      <w:pPr>
        <w:spacing w:line="360" w:lineRule="auto"/>
        <w:ind w:firstLine="480" w:firstLineChars="200"/>
        <w:rPr>
          <w:sz w:val="24"/>
          <w:szCs w:val="24"/>
          <w:u w:color="FFFFFF"/>
        </w:rPr>
      </w:pPr>
      <w:r>
        <w:rPr>
          <w:sz w:val="24"/>
          <w:szCs w:val="24"/>
          <w:u w:color="FFFFFF"/>
        </w:rPr>
        <w:t>十七、未制定操作规程和工艺控制指标。</w:t>
      </w:r>
    </w:p>
    <w:p w14:paraId="6CAB9A2B">
      <w:pPr>
        <w:spacing w:line="360" w:lineRule="auto"/>
        <w:ind w:firstLine="480" w:firstLineChars="200"/>
        <w:rPr>
          <w:sz w:val="24"/>
          <w:szCs w:val="24"/>
          <w:u w:color="FFFFFF"/>
        </w:rPr>
      </w:pPr>
      <w:r>
        <w:rPr>
          <w:sz w:val="24"/>
          <w:szCs w:val="24"/>
          <w:u w:color="FFFFFF"/>
        </w:rPr>
        <w:t>十八、未按照国家标准制定动火、进入受限空间等特殊作业管理制度，或者制度未有效执行。</w:t>
      </w:r>
    </w:p>
    <w:p w14:paraId="3D9E14A1">
      <w:pPr>
        <w:spacing w:line="360" w:lineRule="auto"/>
        <w:ind w:firstLine="480" w:firstLineChars="200"/>
        <w:rPr>
          <w:sz w:val="24"/>
          <w:szCs w:val="24"/>
          <w:u w:color="FFFFFF"/>
        </w:rPr>
      </w:pPr>
      <w:r>
        <w:rPr>
          <w:sz w:val="24"/>
          <w:szCs w:val="24"/>
          <w:u w:color="FFFFFF"/>
        </w:rPr>
        <w:t>十九、新开发的危险化学品生产工艺未经小试、中试、工业化试验直接进行工业化生产；国内首次使用的化工工艺未经过省级人民政府有关部门组织的安全可靠性论证；新建装置未制定试生产方案投料开车；精细化工企业未按规范性文件要求开展反应安全风险评估。</w:t>
      </w:r>
    </w:p>
    <w:p w14:paraId="25A70B3E">
      <w:pPr>
        <w:spacing w:line="360" w:lineRule="auto"/>
        <w:ind w:firstLine="480" w:firstLineChars="200"/>
        <w:rPr>
          <w:sz w:val="24"/>
          <w:szCs w:val="24"/>
          <w:u w:color="FFFFFF"/>
        </w:rPr>
      </w:pPr>
      <w:r>
        <w:rPr>
          <w:sz w:val="24"/>
          <w:szCs w:val="24"/>
          <w:u w:color="FFFFFF"/>
        </w:rPr>
        <w:t>二十、未按国家标准分区分类储存危险化学品，超量、超品种储存危险化学品，相互禁配物质混放混存。”</w:t>
      </w:r>
    </w:p>
    <w:p w14:paraId="1093A5A4">
      <w:pPr>
        <w:spacing w:line="360" w:lineRule="auto"/>
        <w:ind w:firstLine="480" w:firstLineChars="200"/>
        <w:rPr>
          <w:sz w:val="24"/>
          <w:szCs w:val="24"/>
          <w:u w:color="FFFFFF"/>
        </w:rPr>
      </w:pPr>
      <w:r>
        <w:rPr>
          <w:sz w:val="24"/>
          <w:szCs w:val="24"/>
          <w:u w:color="FFFFFF"/>
        </w:rPr>
        <w:t>依据安徽省已经管理厅皖应急〔2021〕74号文件《关于聚焦“一防三提升”开展危险化学品安全生产集中治理整顿工作的通知》要求通过集中治理整顿，实现防范重大安全风险、提升本质安全水平、提升技能素质水平、提升智能化信息化水平的“一防三提升”工作目标，形成一批各具特色、实用管用的 长效工作机制，解决一批基础性、源头性、瓶颈性的安全生产重点难点问题，建设一批示范化工园区、标杆企业和样板工程，加快推进我省危险化学品安全生产治理体系和治理能力现代化。</w:t>
      </w:r>
    </w:p>
    <w:p w14:paraId="3788DE30">
      <w:pPr>
        <w:pStyle w:val="14"/>
        <w:ind w:firstLine="480"/>
      </w:pPr>
      <w:r>
        <w:t>《原国家安全监管总局 住房城乡建设部关于进一步加强危险化学品建设项目安全设计管理的通知》（安监总管三〔2013〕76号）提出，严格建设项目设计单位资质要求，危险化学品建设项目的设计单位必须取得工程设计综合资质，化工石化医药、石油天然气（海洋石油）行业专业资质。</w:t>
      </w:r>
    </w:p>
    <w:p w14:paraId="044084E7">
      <w:pPr>
        <w:pStyle w:val="14"/>
        <w:ind w:firstLine="480"/>
      </w:pPr>
      <w:r>
        <w:t>危险化学品建设项目应由具有相关工程设计资质的单位设计，是切实提升危险化学品企业本质安全水平，从设计源头遏制事故发生的必然要求。《两办意见》、《三年行动方案》均对危险化学品企业主要负责人、分管安全负责人、专职安全管理人员、重大危险源和重点监管化工工艺的生产装置、储存设施操作人员、新招一线岗位从业人员等在专业和学历上提出了具体要求。《导则》对专业管理人员、操作人员和企业特种作业人员的文化背景和资格提出相关要求，并建设身份识别系统</w:t>
      </w:r>
      <w:r>
        <w:rPr>
          <w:rFonts w:hint="eastAsia"/>
        </w:rPr>
        <w:t>。</w:t>
      </w:r>
    </w:p>
    <w:p w14:paraId="2B7EC1A1">
      <w:pPr>
        <w:pStyle w:val="4"/>
        <w:spacing w:before="156" w:after="156"/>
        <w:rPr>
          <w:rFonts w:ascii="Times New Roman" w:hAnsi="Times New Roman"/>
          <w:sz w:val="24"/>
          <w:szCs w:val="24"/>
        </w:rPr>
      </w:pPr>
      <w:bookmarkStart w:id="189" w:name="_Toc449277637"/>
      <w:bookmarkStart w:id="190" w:name="_Toc25218"/>
      <w:bookmarkStart w:id="191" w:name="_Toc1628656"/>
      <w:r>
        <w:rPr>
          <w:rFonts w:ascii="Times New Roman" w:hAnsi="Times New Roman"/>
          <w:sz w:val="24"/>
          <w:szCs w:val="24"/>
        </w:rPr>
        <w:t>7.9安全防护规划</w:t>
      </w:r>
      <w:bookmarkEnd w:id="189"/>
      <w:bookmarkEnd w:id="190"/>
      <w:bookmarkEnd w:id="191"/>
    </w:p>
    <w:p w14:paraId="4E6FA4FD">
      <w:pPr>
        <w:spacing w:line="360" w:lineRule="auto"/>
        <w:ind w:firstLine="480" w:firstLineChars="200"/>
        <w:rPr>
          <w:sz w:val="24"/>
          <w:szCs w:val="24"/>
          <w:u w:color="FFFFFF"/>
        </w:rPr>
      </w:pPr>
      <w:bookmarkStart w:id="192" w:name="_Toc1628657"/>
      <w:r>
        <w:rPr>
          <w:sz w:val="24"/>
          <w:szCs w:val="24"/>
          <w:u w:color="FFFFFF"/>
        </w:rPr>
        <w:t>依据《化工园区安全风险排查治理导则（试行）》第3.5条要求“化工园区安全生产管理机构应依据化工园区整体性安全风险评估结果和相关法规标准的要求，划定化工园区周边土地规划安全控制线，并报送化工园区所在地设区的市级和县级地方人民政府规划主管部门、应急管理部门”。</w:t>
      </w:r>
    </w:p>
    <w:p w14:paraId="7636B094">
      <w:pPr>
        <w:spacing w:line="360" w:lineRule="auto"/>
        <w:ind w:firstLine="480" w:firstLineChars="200"/>
        <w:rPr>
          <w:sz w:val="24"/>
          <w:szCs w:val="24"/>
          <w:u w:color="FFFFFF"/>
        </w:rPr>
      </w:pPr>
      <w:r>
        <w:rPr>
          <w:sz w:val="24"/>
          <w:szCs w:val="24"/>
          <w:u w:color="FFFFFF"/>
        </w:rPr>
        <w:t>第3.6条要求“化工园区所在地设区的市级和县级地方人民政府规划主管部门应严格控制化工园区周边土地开发利用，土地规划安全控制线范围内的开发建设项目应经过安全风险评估，满足安全风险控制要求”。</w:t>
      </w:r>
    </w:p>
    <w:p w14:paraId="0A207859">
      <w:pPr>
        <w:spacing w:line="360" w:lineRule="auto"/>
        <w:ind w:firstLine="482" w:firstLineChars="200"/>
        <w:rPr>
          <w:b/>
          <w:bCs/>
          <w:sz w:val="24"/>
          <w:szCs w:val="24"/>
          <w:u w:color="FFFFFF"/>
        </w:rPr>
      </w:pPr>
      <w:r>
        <w:rPr>
          <w:b/>
          <w:bCs/>
          <w:sz w:val="24"/>
          <w:szCs w:val="24"/>
          <w:u w:color="FFFFFF"/>
        </w:rPr>
        <w:t>划定目的</w:t>
      </w:r>
    </w:p>
    <w:p w14:paraId="4784FE95">
      <w:pPr>
        <w:spacing w:line="360" w:lineRule="auto"/>
        <w:ind w:firstLine="480" w:firstLineChars="200"/>
        <w:rPr>
          <w:sz w:val="24"/>
          <w:szCs w:val="24"/>
          <w:u w:color="FFFFFF"/>
        </w:rPr>
      </w:pPr>
      <w:r>
        <w:rPr>
          <w:sz w:val="24"/>
          <w:szCs w:val="24"/>
          <w:u w:color="FFFFFF"/>
        </w:rPr>
        <w:t>化工园区周边土地规划安全控制线是为进一步降低化工园区危险化学品潜在安全事故（火灾、爆炸、泄漏等）对化工园区外部防护目标的影响，保障化工园区安全发展，用于限制周边土地开发利用的控制线。安全控制线主要对控制线内的未来新建、改建或扩建项目进行安全管控，园区周边土地现有利用状况应满足相关法规标准要求。</w:t>
      </w:r>
    </w:p>
    <w:p w14:paraId="0C9D0B48">
      <w:pPr>
        <w:spacing w:line="360" w:lineRule="auto"/>
        <w:ind w:firstLine="482" w:firstLineChars="200"/>
        <w:rPr>
          <w:b/>
          <w:bCs/>
          <w:sz w:val="24"/>
          <w:szCs w:val="24"/>
          <w:u w:color="FFFFFF"/>
        </w:rPr>
      </w:pPr>
      <w:r>
        <w:rPr>
          <w:b/>
          <w:bCs/>
          <w:sz w:val="24"/>
          <w:szCs w:val="24"/>
          <w:u w:color="FFFFFF"/>
        </w:rPr>
        <w:t>划定原则</w:t>
      </w:r>
    </w:p>
    <w:p w14:paraId="09D9C75C">
      <w:pPr>
        <w:spacing w:line="360" w:lineRule="auto"/>
        <w:ind w:firstLine="480" w:firstLineChars="200"/>
        <w:rPr>
          <w:sz w:val="24"/>
          <w:szCs w:val="24"/>
          <w:u w:color="FFFFFF"/>
        </w:rPr>
      </w:pPr>
      <w:r>
        <w:rPr>
          <w:sz w:val="24"/>
          <w:szCs w:val="24"/>
          <w:u w:color="FFFFFF"/>
        </w:rPr>
        <w:t>安全控制线应从化工园区规划用地边界线外侧划定，对开发区内的化工区块、“一园多片”、“多区多片”等情况，应从化工区块（片区）规划用地边界线外侧划定。</w:t>
      </w:r>
    </w:p>
    <w:p w14:paraId="4E324F0B">
      <w:pPr>
        <w:spacing w:line="360" w:lineRule="auto"/>
        <w:ind w:firstLine="480" w:firstLineChars="200"/>
        <w:rPr>
          <w:sz w:val="24"/>
          <w:szCs w:val="24"/>
          <w:u w:color="FFFFFF"/>
        </w:rPr>
      </w:pPr>
      <w:r>
        <w:rPr>
          <w:sz w:val="24"/>
          <w:szCs w:val="24"/>
          <w:u w:color="FFFFFF"/>
        </w:rPr>
        <w:t>化工园区应对园区内现有、在建项目进行整体性安全风险评估，综合考虑以下原则后划定安全控制线：</w:t>
      </w:r>
    </w:p>
    <w:p w14:paraId="1DB69541">
      <w:pPr>
        <w:spacing w:line="360" w:lineRule="auto"/>
        <w:ind w:firstLine="480" w:firstLineChars="200"/>
        <w:rPr>
          <w:sz w:val="24"/>
          <w:szCs w:val="24"/>
          <w:u w:color="FFFFFF"/>
        </w:rPr>
      </w:pPr>
      <w:r>
        <w:rPr>
          <w:sz w:val="24"/>
          <w:szCs w:val="24"/>
          <w:u w:color="FFFFFF"/>
        </w:rPr>
        <w:t>（1）不小于相关标准规范规定的安全间距。</w:t>
      </w:r>
    </w:p>
    <w:p w14:paraId="79264CFB">
      <w:pPr>
        <w:spacing w:line="360" w:lineRule="auto"/>
        <w:ind w:firstLine="480" w:firstLineChars="200"/>
        <w:rPr>
          <w:sz w:val="24"/>
          <w:szCs w:val="24"/>
          <w:u w:color="FFFFFF"/>
        </w:rPr>
      </w:pPr>
      <w:r>
        <w:rPr>
          <w:sz w:val="24"/>
          <w:szCs w:val="24"/>
          <w:u w:color="FFFFFF"/>
        </w:rPr>
        <w:t>（2）不小于园区现有、在建项目3×10</w:t>
      </w:r>
      <w:r>
        <w:rPr>
          <w:sz w:val="24"/>
          <w:szCs w:val="24"/>
          <w:u w:color="FFFFFF"/>
          <w:vertAlign w:val="superscript"/>
        </w:rPr>
        <w:t>-7</w:t>
      </w:r>
      <w:r>
        <w:rPr>
          <w:sz w:val="24"/>
          <w:szCs w:val="24"/>
          <w:u w:color="FFFFFF"/>
        </w:rPr>
        <w:t>/年个人风险等值线的范围。</w:t>
      </w:r>
    </w:p>
    <w:p w14:paraId="5CB9F93B">
      <w:pPr>
        <w:spacing w:line="360" w:lineRule="auto"/>
        <w:ind w:firstLine="480" w:firstLineChars="200"/>
        <w:rPr>
          <w:sz w:val="24"/>
          <w:szCs w:val="24"/>
          <w:u w:color="FFFFFF"/>
        </w:rPr>
      </w:pPr>
      <w:r>
        <w:rPr>
          <w:sz w:val="24"/>
          <w:szCs w:val="24"/>
          <w:u w:color="FFFFFF"/>
        </w:rPr>
        <w:t>（3）综合考虑相关重大事故后果影响范围。</w:t>
      </w:r>
    </w:p>
    <w:p w14:paraId="76DAC629">
      <w:pPr>
        <w:spacing w:line="360" w:lineRule="auto"/>
        <w:ind w:firstLine="482" w:firstLineChars="200"/>
        <w:rPr>
          <w:b/>
          <w:bCs/>
          <w:sz w:val="24"/>
          <w:szCs w:val="24"/>
          <w:u w:color="FFFFFF"/>
        </w:rPr>
      </w:pPr>
      <w:r>
        <w:rPr>
          <w:b/>
          <w:bCs/>
          <w:sz w:val="24"/>
          <w:szCs w:val="24"/>
          <w:u w:color="FFFFFF"/>
        </w:rPr>
        <w:t>划定方式</w:t>
      </w:r>
    </w:p>
    <w:p w14:paraId="7A9CFC1E">
      <w:pPr>
        <w:spacing w:line="360" w:lineRule="auto"/>
        <w:ind w:firstLine="480" w:firstLineChars="200"/>
        <w:rPr>
          <w:sz w:val="24"/>
          <w:szCs w:val="24"/>
          <w:u w:color="FFFFFF"/>
        </w:rPr>
      </w:pPr>
      <w:r>
        <w:rPr>
          <w:sz w:val="24"/>
          <w:szCs w:val="24"/>
          <w:u w:color="FFFFFF"/>
        </w:rPr>
        <w:t>化工园区安全监管机构初步划定安全控制线，并报送给负责园区管理的当地人民政府应急管理部门。应急管理部门组织征求相关单位意见后，确定安全控制线，由化工园区报送给当地规划部门，纳入国土空间规划。</w:t>
      </w:r>
    </w:p>
    <w:p w14:paraId="179F198F">
      <w:pPr>
        <w:spacing w:line="360" w:lineRule="auto"/>
        <w:ind w:firstLine="482" w:firstLineChars="200"/>
        <w:rPr>
          <w:b/>
          <w:bCs/>
          <w:sz w:val="24"/>
          <w:szCs w:val="24"/>
          <w:u w:color="FFFFFF"/>
        </w:rPr>
      </w:pPr>
      <w:r>
        <w:rPr>
          <w:b/>
          <w:bCs/>
          <w:sz w:val="24"/>
          <w:szCs w:val="24"/>
          <w:u w:color="FFFFFF"/>
        </w:rPr>
        <w:t>动态控制</w:t>
      </w:r>
    </w:p>
    <w:p w14:paraId="4651EAC4">
      <w:pPr>
        <w:spacing w:line="360" w:lineRule="auto"/>
        <w:ind w:firstLine="480" w:firstLineChars="200"/>
        <w:rPr>
          <w:rFonts w:eastAsia="仿宋"/>
          <w:spacing w:val="-1"/>
          <w:sz w:val="32"/>
          <w:szCs w:val="32"/>
        </w:rPr>
      </w:pPr>
      <w:r>
        <w:rPr>
          <w:sz w:val="24"/>
          <w:szCs w:val="24"/>
          <w:u w:color="FFFFFF"/>
        </w:rPr>
        <w:t>化工园区应在开展整体性安全风险评估后及时更新化工园区周边土地规划安全控制线， 提出安全风险控制要求。</w:t>
      </w:r>
    </w:p>
    <w:p w14:paraId="047802A8">
      <w:pPr>
        <w:spacing w:line="360" w:lineRule="auto"/>
        <w:ind w:firstLine="480" w:firstLineChars="200"/>
        <w:rPr>
          <w:sz w:val="24"/>
          <w:szCs w:val="24"/>
        </w:rPr>
      </w:pPr>
      <w:r>
        <w:rPr>
          <w:sz w:val="24"/>
          <w:szCs w:val="24"/>
        </w:rPr>
        <w:t>化工园区内新建化工、医药等项目，属于具有爆炸危险性的建设项目，其防火间距至少满足《石油化工企业设计防火规范》（GB50160-2008）（2018年版）的要求。化工企业与相邻工厂或设施的防火间距至少应满足《石油化工企业设计防火规范》（GB50160-2008）（2018年版）第4.1.9条的相关规定要求。</w:t>
      </w:r>
    </w:p>
    <w:p w14:paraId="2F33CF71">
      <w:pPr>
        <w:spacing w:line="360" w:lineRule="auto"/>
        <w:ind w:firstLine="480" w:firstLineChars="200"/>
        <w:rPr>
          <w:sz w:val="24"/>
          <w:szCs w:val="24"/>
        </w:rPr>
      </w:pPr>
      <w:r>
        <w:rPr>
          <w:sz w:val="24"/>
          <w:szCs w:val="24"/>
        </w:rPr>
        <w:t>化工园区安全防护距离是为预防和减缓园区危险化学品事故对人口密集区、重要设施等防护目标造成影响而设定的距离。化工园区在满足《石油化工企业设计防火标准（2018年版）》等国家和行业标准规定有关防火间距规定的同时，要依据《危险化学品生产装置和储存设施外部安全防护距离确定方法》（GB/T 37243-2019）《危险化学品生产装置和储存设施风险基准》（GB 36894-2018）和《危险化学品重大危险源监督管理暂行规定》附件“可容许风险标准”按照定量计算的方法确定的安全防护距离。外部安全防护距离由园区安全生产管理机构委托具有相应资质的安全评价单位经过定量风险评估或事故后果计算确定。安全防护距离范围内不应有人员密集场所或敏感场所，包括居民区、村镇、商业中心、公园、学校、医院、影剧院、体育场（馆）、养老院、车站等。园区整体性安全风险评价工作应每5年开展一次。</w:t>
      </w:r>
    </w:p>
    <w:p w14:paraId="49245395">
      <w:pPr>
        <w:widowControl/>
        <w:spacing w:line="360" w:lineRule="auto"/>
        <w:ind w:firstLine="480" w:firstLineChars="200"/>
        <w:jc w:val="left"/>
        <w:rPr>
          <w:sz w:val="24"/>
          <w:szCs w:val="24"/>
        </w:rPr>
      </w:pPr>
      <w:r>
        <w:rPr>
          <w:sz w:val="24"/>
          <w:szCs w:val="24"/>
        </w:rPr>
        <w:t>根据《公路安全保护条例》，化工园区内生产、储存易燃、易爆、剧毒、放射性等危险物品的场所、设施，与公路的距离应满足以下要求：公路用地外缘起向外100米；公路渡口和中型以上公路桥梁周围200米；公路隧道上方和洞口外100米。</w:t>
      </w:r>
    </w:p>
    <w:p w14:paraId="48E53703">
      <w:pPr>
        <w:widowControl/>
        <w:spacing w:line="360" w:lineRule="auto"/>
        <w:ind w:firstLine="480" w:firstLineChars="200"/>
        <w:jc w:val="left"/>
        <w:rPr>
          <w:rFonts w:eastAsia="宋体"/>
          <w:sz w:val="24"/>
          <w:szCs w:val="24"/>
        </w:rPr>
      </w:pPr>
      <w:r>
        <w:rPr>
          <w:sz w:val="24"/>
          <w:szCs w:val="24"/>
        </w:rPr>
        <w:t>根据安全防护控制规划，其土地规划安全控制线区块一为</w:t>
      </w:r>
      <w:r>
        <w:rPr>
          <w:rFonts w:hint="eastAsia"/>
          <w:sz w:val="24"/>
          <w:szCs w:val="24"/>
        </w:rPr>
        <w:t>25</w:t>
      </w:r>
      <w:r>
        <w:rPr>
          <w:sz w:val="24"/>
          <w:szCs w:val="24"/>
        </w:rPr>
        <w:t>-1</w:t>
      </w:r>
      <w:r>
        <w:rPr>
          <w:rFonts w:hint="eastAsia"/>
          <w:sz w:val="24"/>
          <w:szCs w:val="24"/>
        </w:rPr>
        <w:t>00</w:t>
      </w:r>
      <w:r>
        <w:rPr>
          <w:sz w:val="24"/>
          <w:szCs w:val="24"/>
        </w:rPr>
        <w:t>m，区块二为</w:t>
      </w:r>
      <w:r>
        <w:rPr>
          <w:rFonts w:hint="eastAsia"/>
          <w:sz w:val="24"/>
          <w:szCs w:val="24"/>
        </w:rPr>
        <w:t>100-198</w:t>
      </w:r>
      <w:r>
        <w:rPr>
          <w:sz w:val="24"/>
          <w:szCs w:val="24"/>
        </w:rPr>
        <w:t>m</w:t>
      </w:r>
      <w:r>
        <w:rPr>
          <w:rFonts w:hint="eastAsia"/>
          <w:sz w:val="24"/>
          <w:szCs w:val="24"/>
        </w:rPr>
        <w:t>。</w:t>
      </w:r>
    </w:p>
    <w:p w14:paraId="1154BF4A">
      <w:pPr>
        <w:widowControl/>
        <w:spacing w:line="360" w:lineRule="auto"/>
        <w:ind w:firstLine="480" w:firstLineChars="200"/>
        <w:jc w:val="left"/>
        <w:rPr>
          <w:sz w:val="24"/>
          <w:szCs w:val="24"/>
        </w:rPr>
      </w:pPr>
      <w:r>
        <w:rPr>
          <w:sz w:val="24"/>
          <w:szCs w:val="24"/>
        </w:rPr>
        <w:t>详见附图8.区块一</w:t>
      </w:r>
      <w:r>
        <w:rPr>
          <w:rFonts w:hint="eastAsia"/>
          <w:sz w:val="24"/>
          <w:szCs w:val="24"/>
        </w:rPr>
        <w:t>周边土地安全控制规划图</w:t>
      </w:r>
      <w:r>
        <w:rPr>
          <w:sz w:val="24"/>
          <w:szCs w:val="24"/>
        </w:rPr>
        <w:t>（图号：</w:t>
      </w:r>
      <w:r>
        <w:rPr>
          <w:rFonts w:hint="eastAsia"/>
          <w:sz w:val="24"/>
          <w:szCs w:val="24"/>
        </w:rPr>
        <w:t>Z-28-</w:t>
      </w:r>
      <w:r>
        <w:rPr>
          <w:sz w:val="24"/>
          <w:szCs w:val="24"/>
        </w:rPr>
        <w:t>08）和附图21.区块二</w:t>
      </w:r>
      <w:r>
        <w:rPr>
          <w:rFonts w:hint="eastAsia"/>
          <w:sz w:val="24"/>
          <w:szCs w:val="24"/>
        </w:rPr>
        <w:t>周边土地安全控制规划图</w:t>
      </w:r>
      <w:r>
        <w:rPr>
          <w:sz w:val="24"/>
          <w:szCs w:val="24"/>
        </w:rPr>
        <w:t>（图号：</w:t>
      </w:r>
      <w:r>
        <w:rPr>
          <w:rFonts w:hint="eastAsia"/>
          <w:sz w:val="24"/>
          <w:szCs w:val="24"/>
        </w:rPr>
        <w:t>Z-28-20</w:t>
      </w:r>
      <w:r>
        <w:rPr>
          <w:sz w:val="24"/>
          <w:szCs w:val="24"/>
        </w:rPr>
        <w:t>）。</w:t>
      </w:r>
    </w:p>
    <w:p w14:paraId="7B5D1BB5">
      <w:pPr>
        <w:widowControl/>
        <w:overflowPunct/>
        <w:snapToGrid/>
        <w:spacing w:line="360" w:lineRule="auto"/>
        <w:ind w:firstLine="480" w:firstLineChars="200"/>
        <w:jc w:val="left"/>
        <w:rPr>
          <w:rFonts w:eastAsia="宋体"/>
          <w:sz w:val="24"/>
          <w:szCs w:val="24"/>
        </w:rPr>
      </w:pPr>
    </w:p>
    <w:p w14:paraId="4EDD8E0E">
      <w:pPr>
        <w:pStyle w:val="4"/>
        <w:spacing w:before="156" w:after="156"/>
        <w:rPr>
          <w:rFonts w:ascii="Times New Roman" w:hAnsi="Times New Roman"/>
          <w:sz w:val="24"/>
          <w:szCs w:val="24"/>
        </w:rPr>
      </w:pPr>
      <w:bookmarkStart w:id="193" w:name="_Toc27088"/>
      <w:r>
        <w:rPr>
          <w:rFonts w:ascii="Times New Roman" w:hAnsi="Times New Roman"/>
          <w:sz w:val="24"/>
          <w:szCs w:val="24"/>
        </w:rPr>
        <w:t>7.10职业卫生防护规划</w:t>
      </w:r>
      <w:bookmarkEnd w:id="192"/>
      <w:bookmarkEnd w:id="193"/>
    </w:p>
    <w:p w14:paraId="36571C30">
      <w:pPr>
        <w:spacing w:line="360" w:lineRule="auto"/>
        <w:ind w:firstLine="480" w:firstLineChars="200"/>
        <w:rPr>
          <w:sz w:val="24"/>
          <w:szCs w:val="24"/>
        </w:rPr>
      </w:pPr>
      <w:r>
        <w:rPr>
          <w:sz w:val="24"/>
          <w:szCs w:val="24"/>
        </w:rPr>
        <w:t>产生有毒有害物质的建设项目，其卫生防护距离应满足国家相关标准规范的要求。目前国家标准《工业企业设计卫生标准》（GBZ 1-2010）中对部分企业制订了卫生防护距离标准，《工业企业设计卫生标准》（GBZ 1-2010）中列入的企业其卫生防护距离应严格遵照该标准执行，本标准未明确的企业其具体控制卫生防护距离由环评文件确定，该区域内不应建设集中居民区、生活服务区等设施。</w:t>
      </w:r>
    </w:p>
    <w:p w14:paraId="4BE6ADD9">
      <w:pPr>
        <w:spacing w:line="360" w:lineRule="auto"/>
        <w:ind w:firstLine="480" w:firstLineChars="200"/>
        <w:rPr>
          <w:sz w:val="24"/>
          <w:szCs w:val="24"/>
        </w:rPr>
      </w:pPr>
    </w:p>
    <w:p w14:paraId="1B0B4A2D">
      <w:pPr>
        <w:spacing w:beforeLines="50" w:afterLines="50" w:line="360" w:lineRule="auto"/>
        <w:jc w:val="center"/>
        <w:outlineLvl w:val="0"/>
        <w:rPr>
          <w:b/>
          <w:sz w:val="32"/>
          <w:szCs w:val="32"/>
        </w:rPr>
      </w:pPr>
      <w:r>
        <w:rPr>
          <w:b/>
          <w:sz w:val="32"/>
          <w:szCs w:val="32"/>
        </w:rPr>
        <w:br w:type="page"/>
      </w:r>
      <w:bookmarkStart w:id="194" w:name="_Toc29413"/>
      <w:bookmarkStart w:id="195" w:name="_Toc3694"/>
      <w:bookmarkStart w:id="196" w:name="_Toc15086"/>
      <w:bookmarkStart w:id="197" w:name="_Toc10159"/>
      <w:bookmarkStart w:id="198" w:name="_Toc27011"/>
      <w:bookmarkStart w:id="199" w:name="_Toc29362"/>
      <w:bookmarkStart w:id="200" w:name="_Toc15619"/>
      <w:bookmarkStart w:id="201" w:name="_Toc1628658"/>
      <w:r>
        <w:rPr>
          <w:b/>
          <w:sz w:val="32"/>
          <w:szCs w:val="32"/>
        </w:rPr>
        <w:t>8 消防救援规划</w:t>
      </w:r>
      <w:bookmarkEnd w:id="194"/>
      <w:bookmarkEnd w:id="195"/>
      <w:bookmarkEnd w:id="196"/>
      <w:bookmarkEnd w:id="197"/>
      <w:bookmarkEnd w:id="198"/>
      <w:bookmarkEnd w:id="199"/>
      <w:bookmarkEnd w:id="200"/>
    </w:p>
    <w:p w14:paraId="259780A8">
      <w:pPr>
        <w:widowControl/>
        <w:spacing w:line="360" w:lineRule="auto"/>
        <w:ind w:firstLine="561"/>
        <w:jc w:val="left"/>
        <w:rPr>
          <w:rFonts w:eastAsiaTheme="minorEastAsia"/>
          <w:snapToGrid w:val="0"/>
          <w:sz w:val="24"/>
          <w:szCs w:val="24"/>
        </w:rPr>
      </w:pPr>
      <w:r>
        <w:rPr>
          <w:rFonts w:eastAsiaTheme="minorEastAsia"/>
          <w:snapToGrid w:val="0"/>
          <w:sz w:val="24"/>
          <w:szCs w:val="24"/>
        </w:rPr>
        <w:t>依据《化工园区安全风险排查治理导则（试行）》第7.6章节：化工园区应编制化工园区消防规划，消防站布点应根据化工园区面积、危险性、平面布局等因素综合考虑，参照不低于《城市消防站建设标准》中</w:t>
      </w:r>
      <w:r>
        <w:rPr>
          <w:rFonts w:hint="eastAsia" w:eastAsiaTheme="minorEastAsia"/>
          <w:snapToGrid w:val="0"/>
          <w:sz w:val="24"/>
          <w:szCs w:val="24"/>
        </w:rPr>
        <w:t>一级</w:t>
      </w:r>
      <w:r>
        <w:rPr>
          <w:rFonts w:eastAsiaTheme="minorEastAsia"/>
          <w:snapToGrid w:val="0"/>
          <w:sz w:val="24"/>
          <w:szCs w:val="24"/>
        </w:rPr>
        <w:t>消防站的标准进行建设，消防车种类、数量、结构以及车载灭火药剂数量、装备器材、防护装具等应满足安全事故处置需要。化工园区应建设危险化学品专业应急救援队伍；根据自身安全风险类型和实际需求，配套建设医疗急救场所和气防站。</w:t>
      </w:r>
    </w:p>
    <w:p w14:paraId="4DD153FB">
      <w:pPr>
        <w:widowControl/>
        <w:spacing w:line="360" w:lineRule="auto"/>
        <w:ind w:firstLine="561"/>
        <w:jc w:val="left"/>
        <w:rPr>
          <w:rFonts w:eastAsiaTheme="minorEastAsia"/>
          <w:snapToGrid w:val="0"/>
          <w:sz w:val="24"/>
          <w:szCs w:val="24"/>
        </w:rPr>
      </w:pPr>
      <w:r>
        <w:rPr>
          <w:rFonts w:eastAsiaTheme="minorEastAsia"/>
          <w:snapToGrid w:val="0"/>
          <w:sz w:val="24"/>
          <w:szCs w:val="24"/>
        </w:rPr>
        <w:t>消防规划：化工园区应在开展整体性安全风险评估的基础上，编制化工园区消防救援规划，内容应包括园区的消防安全布局、消防站、消防供水、消防通信、消防车通道、 消防装备等内容。</w:t>
      </w:r>
    </w:p>
    <w:p w14:paraId="79E0D98A">
      <w:pPr>
        <w:widowControl/>
        <w:spacing w:line="360" w:lineRule="auto"/>
        <w:ind w:firstLine="561"/>
        <w:jc w:val="left"/>
        <w:rPr>
          <w:rFonts w:eastAsiaTheme="minorEastAsia"/>
          <w:snapToGrid w:val="0"/>
          <w:sz w:val="24"/>
          <w:szCs w:val="24"/>
        </w:rPr>
      </w:pPr>
      <w:r>
        <w:rPr>
          <w:rFonts w:eastAsiaTheme="minorEastAsia"/>
          <w:snapToGrid w:val="0"/>
          <w:sz w:val="24"/>
          <w:szCs w:val="24"/>
        </w:rPr>
        <w:t>消防救援力量：化工园区应根据产业分类、产能规模、仓储总量、工艺危险特性、消防设施、应急物资储备、企业布局等情况，建设园区消防救援力量。</w:t>
      </w:r>
    </w:p>
    <w:p w14:paraId="7880C396">
      <w:pPr>
        <w:widowControl/>
        <w:spacing w:line="360" w:lineRule="auto"/>
        <w:ind w:firstLine="561"/>
        <w:jc w:val="left"/>
        <w:rPr>
          <w:rFonts w:eastAsiaTheme="minorEastAsia"/>
          <w:snapToGrid w:val="0"/>
          <w:sz w:val="24"/>
          <w:szCs w:val="24"/>
        </w:rPr>
      </w:pPr>
      <w:r>
        <w:rPr>
          <w:rFonts w:eastAsiaTheme="minorEastAsia"/>
          <w:snapToGrid w:val="0"/>
          <w:sz w:val="24"/>
          <w:szCs w:val="24"/>
        </w:rPr>
        <w:t>医药化工等为主导产业的化工园区，应与消防部门充分沟通，根据园区产业分类、产能规模、仓储总量、工艺危险特性、消防设施、应急物资储备、单位毗邻等情况，提出园区内消防站的布点、消防装备、侦检设备、泡沫储备、堵漏抢险及消防人员能力和工艺处置的相关要求并实施。</w:t>
      </w:r>
    </w:p>
    <w:p w14:paraId="6660A4DC">
      <w:pPr>
        <w:widowControl/>
        <w:spacing w:line="360" w:lineRule="auto"/>
        <w:ind w:firstLine="561"/>
        <w:jc w:val="left"/>
        <w:rPr>
          <w:rFonts w:eastAsia="仿宋"/>
        </w:rPr>
      </w:pPr>
      <w:r>
        <w:rPr>
          <w:rFonts w:eastAsiaTheme="minorEastAsia"/>
          <w:snapToGrid w:val="0"/>
          <w:sz w:val="24"/>
          <w:szCs w:val="24"/>
        </w:rPr>
        <w:t>企业消防站园区内企业消防站（专职队）装备及救援能力相对较强、且消防站等级和保护距离满足要求时，可以在布局上作为园区消防站考虑。对可以承担园区服务的企业消防站，应明确与园区及其周边各级消防站的职责、权限和响应级别， 提升园区整体事故状态下应急处置能力，保证救援力量及时到场。园区消防站要加强与企业消防力量联勤联训联战。</w:t>
      </w:r>
    </w:p>
    <w:p w14:paraId="5DC3E935">
      <w:pPr>
        <w:outlineLvl w:val="1"/>
        <w:rPr>
          <w:b/>
          <w:szCs w:val="28"/>
        </w:rPr>
      </w:pPr>
      <w:bookmarkStart w:id="202" w:name="_Toc12427"/>
      <w:bookmarkStart w:id="203" w:name="_Toc11573"/>
      <w:bookmarkStart w:id="204" w:name="_Toc6419"/>
      <w:bookmarkStart w:id="205" w:name="_Toc8146"/>
      <w:bookmarkStart w:id="206" w:name="_Toc31218"/>
      <w:bookmarkStart w:id="207" w:name="_Toc32256"/>
      <w:bookmarkStart w:id="208" w:name="_Toc3988"/>
      <w:r>
        <w:rPr>
          <w:b/>
          <w:szCs w:val="28"/>
        </w:rPr>
        <w:t>8.1主要危险有害因素分析</w:t>
      </w:r>
      <w:bookmarkEnd w:id="202"/>
      <w:bookmarkEnd w:id="203"/>
      <w:bookmarkEnd w:id="204"/>
      <w:bookmarkEnd w:id="205"/>
      <w:bookmarkEnd w:id="206"/>
      <w:bookmarkEnd w:id="207"/>
      <w:bookmarkEnd w:id="208"/>
      <w:r>
        <w:rPr>
          <w:b/>
          <w:szCs w:val="28"/>
        </w:rPr>
        <w:tab/>
      </w:r>
    </w:p>
    <w:p w14:paraId="6B1D14EE">
      <w:pPr>
        <w:spacing w:line="360" w:lineRule="auto"/>
        <w:rPr>
          <w:b/>
          <w:kern w:val="0"/>
          <w:sz w:val="24"/>
        </w:rPr>
      </w:pPr>
      <w:r>
        <w:rPr>
          <w:b/>
          <w:kern w:val="0"/>
          <w:sz w:val="24"/>
        </w:rPr>
        <w:t>8.1.1危险化学品的分布</w:t>
      </w:r>
      <w:r>
        <w:rPr>
          <w:b/>
          <w:kern w:val="0"/>
          <w:sz w:val="24"/>
        </w:rPr>
        <w:tab/>
      </w:r>
    </w:p>
    <w:p w14:paraId="07D5CB21">
      <w:pPr>
        <w:widowControl/>
        <w:spacing w:line="360" w:lineRule="auto"/>
        <w:ind w:firstLine="480" w:firstLineChars="200"/>
        <w:jc w:val="left"/>
        <w:rPr>
          <w:rFonts w:eastAsia="宋体"/>
          <w:sz w:val="24"/>
        </w:rPr>
      </w:pPr>
      <w:r>
        <w:rPr>
          <w:rFonts w:eastAsiaTheme="minorEastAsia"/>
          <w:snapToGrid w:val="0"/>
          <w:sz w:val="24"/>
          <w:szCs w:val="24"/>
        </w:rPr>
        <w:t>通过对园区各企业调研，并对生产、储存、使用的主要危险化学品种类和数量统计，该园区涉及《危险化学品目录》（2015版）规定的危险化学品，园区企业主要涉及的危险化学品情况见</w:t>
      </w:r>
      <w:r>
        <w:rPr>
          <w:sz w:val="24"/>
        </w:rPr>
        <w:t>表7.1-1、化工园区主要危险化学品分布表</w:t>
      </w:r>
      <w:r>
        <w:rPr>
          <w:rFonts w:hint="eastAsia"/>
          <w:sz w:val="24"/>
        </w:rPr>
        <w:t>。</w:t>
      </w:r>
    </w:p>
    <w:p w14:paraId="30022102">
      <w:pPr>
        <w:spacing w:line="360" w:lineRule="auto"/>
        <w:ind w:firstLine="480" w:firstLineChars="200"/>
        <w:rPr>
          <w:rFonts w:eastAsiaTheme="minorEastAsia"/>
          <w:snapToGrid w:val="0"/>
          <w:sz w:val="24"/>
          <w:szCs w:val="24"/>
        </w:rPr>
      </w:pPr>
    </w:p>
    <w:p w14:paraId="39ACECBF">
      <w:pPr>
        <w:pStyle w:val="61"/>
        <w:outlineLvl w:val="9"/>
        <w:rPr>
          <w:rFonts w:ascii="Times New Roman" w:hAnsi="Times New Roman" w:eastAsiaTheme="minorEastAsia"/>
          <w:snapToGrid w:val="0"/>
          <w:kern w:val="0"/>
          <w:sz w:val="24"/>
          <w:szCs w:val="24"/>
        </w:rPr>
      </w:pPr>
      <w:bookmarkStart w:id="209" w:name="_Toc4674"/>
      <w:bookmarkStart w:id="210" w:name="_Toc22008"/>
      <w:bookmarkStart w:id="211" w:name="_Toc23513"/>
      <w:bookmarkStart w:id="212" w:name="_Toc10000"/>
      <w:bookmarkStart w:id="213" w:name="_Toc12489"/>
      <w:bookmarkStart w:id="214" w:name="_Toc4844"/>
      <w:bookmarkStart w:id="215" w:name="_Toc1667"/>
      <w:bookmarkStart w:id="216" w:name="_Toc24481"/>
      <w:bookmarkStart w:id="217" w:name="_Toc16200"/>
      <w:bookmarkStart w:id="218" w:name="_Toc20369"/>
      <w:r>
        <w:rPr>
          <w:rFonts w:ascii="Times New Roman" w:hAnsi="Times New Roman" w:eastAsiaTheme="minorEastAsia"/>
          <w:snapToGrid w:val="0"/>
          <w:kern w:val="0"/>
          <w:sz w:val="24"/>
          <w:szCs w:val="24"/>
        </w:rPr>
        <w:t>8.1.2主要危险目标确定</w:t>
      </w:r>
      <w:bookmarkEnd w:id="209"/>
      <w:bookmarkEnd w:id="210"/>
      <w:bookmarkEnd w:id="211"/>
      <w:bookmarkEnd w:id="212"/>
      <w:bookmarkEnd w:id="213"/>
      <w:bookmarkEnd w:id="214"/>
      <w:bookmarkEnd w:id="215"/>
      <w:bookmarkEnd w:id="216"/>
      <w:bookmarkEnd w:id="217"/>
      <w:bookmarkEnd w:id="218"/>
    </w:p>
    <w:p w14:paraId="18ECB9E8">
      <w:pPr>
        <w:widowControl/>
        <w:spacing w:line="360" w:lineRule="auto"/>
        <w:ind w:firstLine="480" w:firstLineChars="200"/>
        <w:jc w:val="left"/>
        <w:rPr>
          <w:rFonts w:eastAsia="宋体"/>
          <w:sz w:val="24"/>
          <w:szCs w:val="24"/>
        </w:rPr>
      </w:pPr>
      <w:r>
        <w:rPr>
          <w:rFonts w:eastAsiaTheme="minorEastAsia"/>
          <w:snapToGrid w:val="0"/>
          <w:kern w:val="0"/>
          <w:sz w:val="24"/>
          <w:szCs w:val="24"/>
        </w:rPr>
        <w:t>消防救援重点目标主要考虑发生事故的严重程度及波及面的大小等因素，鉴于现有重大危险源分级标准已经考虑了社会风险值、个人风险情值，及事故频率统计结果等因素，因此以危险化学品重大危险源分级的标准作为确定消防救援主要危险目标的主要依椐，另外将其它企业较为危险的重点装置或设施也作为消防救援危险目标来考虑。园区重大危险源见</w:t>
      </w:r>
      <w:r>
        <w:rPr>
          <w:spacing w:val="-1"/>
          <w:sz w:val="24"/>
          <w:szCs w:val="24"/>
        </w:rPr>
        <w:t>表7.1-10、化工园区</w:t>
      </w:r>
      <w:r>
        <w:rPr>
          <w:sz w:val="24"/>
          <w:szCs w:val="24"/>
        </w:rPr>
        <w:t>危险化学品重大危险源辨识结果汇总表</w:t>
      </w:r>
      <w:r>
        <w:rPr>
          <w:rFonts w:hint="eastAsia"/>
          <w:sz w:val="24"/>
          <w:szCs w:val="24"/>
        </w:rPr>
        <w:t>。</w:t>
      </w:r>
    </w:p>
    <w:p w14:paraId="279C060C">
      <w:pPr>
        <w:spacing w:line="360" w:lineRule="auto"/>
        <w:ind w:firstLine="480" w:firstLineChars="200"/>
        <w:rPr>
          <w:rFonts w:eastAsiaTheme="minorEastAsia"/>
          <w:snapToGrid w:val="0"/>
          <w:sz w:val="24"/>
          <w:szCs w:val="24"/>
        </w:rPr>
      </w:pPr>
      <w:r>
        <w:rPr>
          <w:rFonts w:eastAsiaTheme="minorEastAsia"/>
          <w:snapToGrid w:val="0"/>
          <w:sz w:val="24"/>
          <w:szCs w:val="24"/>
        </w:rPr>
        <w:t>根据对园区各企业的调查情况，对园区内存在的危险目标进行分析汇总，列出可能对周边环境、企业造成严重影响的危险目标（主要为危险化学品重大危险源企业及其它重点装置企业），在日常的监管中应引起重视。</w:t>
      </w:r>
    </w:p>
    <w:p w14:paraId="2A5E9D23">
      <w:pPr>
        <w:outlineLvl w:val="1"/>
        <w:rPr>
          <w:b/>
          <w:szCs w:val="28"/>
        </w:rPr>
      </w:pPr>
      <w:bookmarkStart w:id="219" w:name="_Toc8560"/>
      <w:bookmarkStart w:id="220" w:name="_Toc12047"/>
      <w:bookmarkStart w:id="221" w:name="_Toc14632"/>
      <w:bookmarkStart w:id="222" w:name="_Toc18081"/>
      <w:bookmarkStart w:id="223" w:name="_Toc8512"/>
      <w:bookmarkStart w:id="224" w:name="_Toc18570"/>
      <w:bookmarkStart w:id="225" w:name="_Toc19135"/>
      <w:r>
        <w:rPr>
          <w:b/>
          <w:szCs w:val="28"/>
        </w:rPr>
        <w:t>8.2消防救援规划的目的</w:t>
      </w:r>
      <w:bookmarkEnd w:id="219"/>
      <w:bookmarkEnd w:id="220"/>
      <w:bookmarkEnd w:id="221"/>
      <w:bookmarkEnd w:id="222"/>
      <w:bookmarkEnd w:id="223"/>
      <w:bookmarkEnd w:id="224"/>
      <w:bookmarkEnd w:id="225"/>
      <w:r>
        <w:rPr>
          <w:b/>
          <w:szCs w:val="28"/>
        </w:rPr>
        <w:tab/>
      </w:r>
    </w:p>
    <w:p w14:paraId="4DF1722E">
      <w:pPr>
        <w:spacing w:line="360" w:lineRule="auto"/>
        <w:ind w:firstLine="480" w:firstLineChars="200"/>
        <w:rPr>
          <w:sz w:val="24"/>
        </w:rPr>
      </w:pPr>
      <w:r>
        <w:rPr>
          <w:sz w:val="24"/>
        </w:rPr>
        <w:t>消防救援</w:t>
      </w:r>
      <w:r>
        <w:rPr>
          <w:kern w:val="0"/>
          <w:sz w:val="24"/>
        </w:rPr>
        <w:t>设施的设计贯彻“预防为主，防消结合”，执行有关防火设计规范和标准，根据项目的规模、火灾危险类别和现有企业消防力量，合理地设置消防设施。</w:t>
      </w:r>
    </w:p>
    <w:p w14:paraId="5857C7F4">
      <w:pPr>
        <w:widowControl/>
        <w:spacing w:line="360" w:lineRule="auto"/>
        <w:ind w:firstLine="561"/>
        <w:jc w:val="left"/>
        <w:rPr>
          <w:sz w:val="24"/>
        </w:rPr>
      </w:pPr>
      <w:r>
        <w:rPr>
          <w:rFonts w:eastAsiaTheme="minorEastAsia"/>
          <w:snapToGrid w:val="0"/>
          <w:sz w:val="24"/>
          <w:szCs w:val="24"/>
        </w:rPr>
        <w:t>依据《化工园区安全风险排查治理导则（试行）》第7.6章节：化工园区应编制化工园区消防规划，消防站布点应根据化工园区面积、危险性、平面布局等因素综合考虑，参照不低于《城市消防站建设标准》</w:t>
      </w:r>
      <w:r>
        <w:rPr>
          <w:rFonts w:hint="eastAsia" w:eastAsiaTheme="minorEastAsia"/>
          <w:snapToGrid w:val="0"/>
          <w:sz w:val="24"/>
          <w:szCs w:val="24"/>
        </w:rPr>
        <w:t>一级</w:t>
      </w:r>
      <w:r>
        <w:rPr>
          <w:rFonts w:eastAsiaTheme="minorEastAsia"/>
          <w:snapToGrid w:val="0"/>
          <w:sz w:val="24"/>
          <w:szCs w:val="24"/>
        </w:rPr>
        <w:t>消防站的标准进行建设，消防车种类、数量、结构以及车载灭火药剂数量、装备器材、防护装具等应满足安全事故处置需要。化工园区应建设危险化学品专业应急救援队伍；根据自身安全风险类型和实际需求，配套建设医疗急救场所和气防站。</w:t>
      </w:r>
    </w:p>
    <w:p w14:paraId="1BFA6347">
      <w:pPr>
        <w:outlineLvl w:val="1"/>
        <w:rPr>
          <w:b/>
          <w:szCs w:val="28"/>
        </w:rPr>
      </w:pPr>
      <w:bookmarkStart w:id="226" w:name="_Toc25211"/>
      <w:bookmarkStart w:id="227" w:name="_Toc16474"/>
      <w:bookmarkStart w:id="228" w:name="_Toc19369"/>
      <w:bookmarkStart w:id="229" w:name="_Toc11310"/>
      <w:bookmarkStart w:id="230" w:name="_Toc14133"/>
      <w:bookmarkStart w:id="231" w:name="_Toc10712"/>
      <w:bookmarkStart w:id="232" w:name="_Toc17620"/>
      <w:r>
        <w:rPr>
          <w:b/>
          <w:szCs w:val="28"/>
        </w:rPr>
        <w:t>8.3消防救援规划的依据</w:t>
      </w:r>
      <w:bookmarkEnd w:id="226"/>
      <w:bookmarkEnd w:id="227"/>
      <w:bookmarkEnd w:id="228"/>
      <w:bookmarkEnd w:id="229"/>
      <w:bookmarkEnd w:id="230"/>
      <w:bookmarkEnd w:id="231"/>
      <w:bookmarkEnd w:id="232"/>
    </w:p>
    <w:p w14:paraId="027E0180">
      <w:pPr>
        <w:spacing w:line="360" w:lineRule="auto"/>
        <w:ind w:firstLine="480" w:firstLineChars="200"/>
        <w:contextualSpacing/>
        <w:jc w:val="left"/>
        <w:rPr>
          <w:kern w:val="24"/>
          <w:sz w:val="24"/>
        </w:rPr>
      </w:pPr>
      <w:r>
        <w:rPr>
          <w:kern w:val="10"/>
          <w:sz w:val="24"/>
          <w:szCs w:val="24"/>
          <w:lang w:val="zh-CN"/>
        </w:rPr>
        <w:t>（</w:t>
      </w:r>
      <w:r>
        <w:rPr>
          <w:kern w:val="10"/>
          <w:sz w:val="24"/>
          <w:szCs w:val="24"/>
        </w:rPr>
        <w:t>1</w:t>
      </w:r>
      <w:r>
        <w:rPr>
          <w:kern w:val="10"/>
          <w:sz w:val="24"/>
          <w:szCs w:val="24"/>
          <w:lang w:val="zh-CN"/>
        </w:rPr>
        <w:t>）</w:t>
      </w:r>
      <w:r>
        <w:rPr>
          <w:kern w:val="24"/>
          <w:sz w:val="24"/>
        </w:rPr>
        <w:t>《中华人民共和国消防法》（主席令第29号，2019年修订）</w:t>
      </w:r>
    </w:p>
    <w:p w14:paraId="3095D345">
      <w:pPr>
        <w:spacing w:line="360" w:lineRule="auto"/>
        <w:ind w:firstLine="480" w:firstLineChars="200"/>
        <w:contextualSpacing/>
        <w:jc w:val="left"/>
        <w:rPr>
          <w:kern w:val="24"/>
          <w:sz w:val="24"/>
        </w:rPr>
      </w:pPr>
      <w:r>
        <w:rPr>
          <w:kern w:val="10"/>
          <w:sz w:val="24"/>
          <w:szCs w:val="24"/>
          <w:lang w:val="zh-CN"/>
        </w:rPr>
        <w:t>（</w:t>
      </w:r>
      <w:r>
        <w:rPr>
          <w:kern w:val="10"/>
          <w:sz w:val="24"/>
          <w:szCs w:val="24"/>
        </w:rPr>
        <w:t>2</w:t>
      </w:r>
      <w:r>
        <w:rPr>
          <w:kern w:val="10"/>
          <w:sz w:val="24"/>
          <w:szCs w:val="24"/>
          <w:lang w:val="zh-CN"/>
        </w:rPr>
        <w:t>）</w:t>
      </w:r>
      <w:r>
        <w:rPr>
          <w:kern w:val="24"/>
          <w:sz w:val="24"/>
        </w:rPr>
        <w:t>《安徽省消防条例》（安徽省人民代表大会常务委员会公告第23号）</w:t>
      </w:r>
    </w:p>
    <w:p w14:paraId="3476FF84">
      <w:pPr>
        <w:spacing w:line="360" w:lineRule="auto"/>
        <w:ind w:firstLine="480" w:firstLineChars="200"/>
        <w:contextualSpacing/>
        <w:jc w:val="left"/>
        <w:rPr>
          <w:kern w:val="24"/>
          <w:sz w:val="24"/>
        </w:rPr>
      </w:pPr>
      <w:r>
        <w:rPr>
          <w:kern w:val="10"/>
          <w:sz w:val="24"/>
          <w:szCs w:val="24"/>
          <w:lang w:val="zh-CN"/>
        </w:rPr>
        <w:t>（</w:t>
      </w:r>
      <w:r>
        <w:rPr>
          <w:kern w:val="10"/>
          <w:sz w:val="24"/>
          <w:szCs w:val="24"/>
        </w:rPr>
        <w:t>3</w:t>
      </w:r>
      <w:r>
        <w:rPr>
          <w:kern w:val="10"/>
          <w:sz w:val="24"/>
          <w:szCs w:val="24"/>
          <w:lang w:val="zh-CN"/>
        </w:rPr>
        <w:t>）</w:t>
      </w:r>
      <w:r>
        <w:rPr>
          <w:kern w:val="24"/>
          <w:sz w:val="24"/>
        </w:rPr>
        <w:t>《建筑设计防火规范》（GB50016-2014）（2018年版）</w:t>
      </w:r>
    </w:p>
    <w:p w14:paraId="021E4AEB">
      <w:pPr>
        <w:spacing w:line="360" w:lineRule="auto"/>
        <w:ind w:firstLine="480" w:firstLineChars="200"/>
        <w:contextualSpacing/>
        <w:jc w:val="left"/>
        <w:rPr>
          <w:kern w:val="24"/>
          <w:sz w:val="24"/>
        </w:rPr>
      </w:pPr>
      <w:r>
        <w:rPr>
          <w:kern w:val="10"/>
          <w:sz w:val="24"/>
          <w:szCs w:val="24"/>
          <w:lang w:val="zh-CN"/>
        </w:rPr>
        <w:t>（</w:t>
      </w:r>
      <w:r>
        <w:rPr>
          <w:kern w:val="10"/>
          <w:sz w:val="24"/>
          <w:szCs w:val="24"/>
        </w:rPr>
        <w:t>4</w:t>
      </w:r>
      <w:r>
        <w:rPr>
          <w:kern w:val="10"/>
          <w:sz w:val="24"/>
          <w:szCs w:val="24"/>
          <w:lang w:val="zh-CN"/>
        </w:rPr>
        <w:t>）</w:t>
      </w:r>
      <w:r>
        <w:rPr>
          <w:kern w:val="24"/>
          <w:sz w:val="24"/>
        </w:rPr>
        <w:t>《石油化工企业设计防火标准》（GB50160-2008，2018年版）</w:t>
      </w:r>
    </w:p>
    <w:p w14:paraId="35EF4820">
      <w:pPr>
        <w:spacing w:line="360" w:lineRule="auto"/>
        <w:ind w:firstLine="480" w:firstLineChars="200"/>
        <w:contextualSpacing/>
        <w:jc w:val="left"/>
        <w:rPr>
          <w:kern w:val="24"/>
          <w:sz w:val="24"/>
        </w:rPr>
      </w:pPr>
      <w:r>
        <w:rPr>
          <w:kern w:val="10"/>
          <w:sz w:val="24"/>
          <w:szCs w:val="24"/>
          <w:lang w:val="zh-CN"/>
        </w:rPr>
        <w:t>（</w:t>
      </w:r>
      <w:r>
        <w:rPr>
          <w:kern w:val="10"/>
          <w:sz w:val="24"/>
          <w:szCs w:val="24"/>
        </w:rPr>
        <w:t>5</w:t>
      </w:r>
      <w:r>
        <w:rPr>
          <w:kern w:val="10"/>
          <w:sz w:val="24"/>
          <w:szCs w:val="24"/>
          <w:lang w:val="zh-CN"/>
        </w:rPr>
        <w:t>）</w:t>
      </w:r>
      <w:r>
        <w:rPr>
          <w:kern w:val="24"/>
          <w:sz w:val="24"/>
        </w:rPr>
        <w:t>《建筑物防雷设计规范》（GB50057-2010）</w:t>
      </w:r>
    </w:p>
    <w:p w14:paraId="7E1BBB87">
      <w:pPr>
        <w:spacing w:line="360" w:lineRule="auto"/>
        <w:ind w:firstLine="480" w:firstLineChars="200"/>
        <w:contextualSpacing/>
        <w:jc w:val="left"/>
        <w:rPr>
          <w:kern w:val="24"/>
          <w:sz w:val="24"/>
        </w:rPr>
      </w:pPr>
      <w:r>
        <w:rPr>
          <w:kern w:val="10"/>
          <w:sz w:val="24"/>
          <w:szCs w:val="24"/>
          <w:lang w:val="zh-CN"/>
        </w:rPr>
        <w:t>（</w:t>
      </w:r>
      <w:r>
        <w:rPr>
          <w:kern w:val="10"/>
          <w:sz w:val="24"/>
          <w:szCs w:val="24"/>
        </w:rPr>
        <w:t>6</w:t>
      </w:r>
      <w:r>
        <w:rPr>
          <w:kern w:val="10"/>
          <w:sz w:val="24"/>
          <w:szCs w:val="24"/>
          <w:lang w:val="zh-CN"/>
        </w:rPr>
        <w:t>）</w:t>
      </w:r>
      <w:r>
        <w:rPr>
          <w:kern w:val="24"/>
          <w:sz w:val="24"/>
        </w:rPr>
        <w:t>《建筑灭火器配置设计规范》（GB50140-2005）</w:t>
      </w:r>
    </w:p>
    <w:p w14:paraId="1C646EB8">
      <w:pPr>
        <w:spacing w:line="360" w:lineRule="auto"/>
        <w:ind w:firstLine="480" w:firstLineChars="200"/>
        <w:contextualSpacing/>
        <w:jc w:val="left"/>
        <w:rPr>
          <w:kern w:val="24"/>
          <w:sz w:val="24"/>
        </w:rPr>
      </w:pPr>
      <w:r>
        <w:rPr>
          <w:kern w:val="10"/>
          <w:sz w:val="24"/>
          <w:szCs w:val="24"/>
          <w:lang w:val="zh-CN"/>
        </w:rPr>
        <w:t>（</w:t>
      </w:r>
      <w:r>
        <w:rPr>
          <w:kern w:val="10"/>
          <w:sz w:val="24"/>
          <w:szCs w:val="24"/>
        </w:rPr>
        <w:t>7</w:t>
      </w:r>
      <w:r>
        <w:rPr>
          <w:kern w:val="10"/>
          <w:sz w:val="24"/>
          <w:szCs w:val="24"/>
          <w:lang w:val="zh-CN"/>
        </w:rPr>
        <w:t>）</w:t>
      </w:r>
      <w:r>
        <w:rPr>
          <w:kern w:val="24"/>
          <w:sz w:val="24"/>
        </w:rPr>
        <w:t xml:space="preserve">《建筑给水排水设计规范》GB50015-2003（2009年版） </w:t>
      </w:r>
    </w:p>
    <w:p w14:paraId="52429425">
      <w:pPr>
        <w:spacing w:line="360" w:lineRule="auto"/>
        <w:ind w:firstLine="480" w:firstLineChars="200"/>
        <w:contextualSpacing/>
        <w:jc w:val="left"/>
        <w:rPr>
          <w:kern w:val="24"/>
          <w:sz w:val="24"/>
        </w:rPr>
      </w:pPr>
      <w:r>
        <w:rPr>
          <w:kern w:val="10"/>
          <w:sz w:val="24"/>
          <w:szCs w:val="24"/>
          <w:lang w:val="zh-CN"/>
        </w:rPr>
        <w:t>（</w:t>
      </w:r>
      <w:r>
        <w:rPr>
          <w:kern w:val="10"/>
          <w:sz w:val="24"/>
          <w:szCs w:val="24"/>
        </w:rPr>
        <w:t>8</w:t>
      </w:r>
      <w:r>
        <w:rPr>
          <w:kern w:val="10"/>
          <w:sz w:val="24"/>
          <w:szCs w:val="24"/>
          <w:lang w:val="zh-CN"/>
        </w:rPr>
        <w:t>）</w:t>
      </w:r>
      <w:r>
        <w:rPr>
          <w:kern w:val="24"/>
          <w:sz w:val="24"/>
        </w:rPr>
        <w:t>《化工企业总图运输设计规范》（GB50489-2009）</w:t>
      </w:r>
    </w:p>
    <w:p w14:paraId="0DF717D2">
      <w:pPr>
        <w:spacing w:line="360" w:lineRule="auto"/>
        <w:ind w:firstLine="480" w:firstLineChars="200"/>
        <w:rPr>
          <w:kern w:val="0"/>
          <w:sz w:val="24"/>
        </w:rPr>
      </w:pPr>
      <w:r>
        <w:rPr>
          <w:kern w:val="10"/>
          <w:sz w:val="24"/>
          <w:szCs w:val="24"/>
          <w:lang w:val="zh-CN"/>
        </w:rPr>
        <w:t>（</w:t>
      </w:r>
      <w:r>
        <w:rPr>
          <w:kern w:val="10"/>
          <w:sz w:val="24"/>
          <w:szCs w:val="24"/>
        </w:rPr>
        <w:t>9</w:t>
      </w:r>
      <w:r>
        <w:rPr>
          <w:kern w:val="10"/>
          <w:sz w:val="24"/>
          <w:szCs w:val="24"/>
          <w:lang w:val="zh-CN"/>
        </w:rPr>
        <w:t>）</w:t>
      </w:r>
      <w:r>
        <w:rPr>
          <w:kern w:val="0"/>
          <w:sz w:val="24"/>
        </w:rPr>
        <w:t>《消防给水及消火栓系统技术规范》GB50974-2014</w:t>
      </w:r>
    </w:p>
    <w:p w14:paraId="695EE506">
      <w:pPr>
        <w:spacing w:line="360" w:lineRule="auto"/>
        <w:ind w:firstLine="480" w:firstLineChars="200"/>
        <w:contextualSpacing/>
        <w:jc w:val="left"/>
        <w:rPr>
          <w:kern w:val="10"/>
          <w:sz w:val="24"/>
          <w:szCs w:val="24"/>
          <w:lang w:val="zh-CN"/>
        </w:rPr>
      </w:pPr>
      <w:r>
        <w:rPr>
          <w:kern w:val="10"/>
          <w:sz w:val="24"/>
          <w:szCs w:val="24"/>
          <w:lang w:val="zh-CN"/>
        </w:rPr>
        <w:t>（</w:t>
      </w:r>
      <w:r>
        <w:rPr>
          <w:kern w:val="10"/>
          <w:sz w:val="24"/>
          <w:szCs w:val="24"/>
        </w:rPr>
        <w:t>10</w:t>
      </w:r>
      <w:r>
        <w:rPr>
          <w:kern w:val="10"/>
          <w:sz w:val="24"/>
          <w:szCs w:val="24"/>
          <w:lang w:val="zh-CN"/>
        </w:rPr>
        <w:t>）</w:t>
      </w:r>
      <w:r>
        <w:rPr>
          <w:kern w:val="24"/>
          <w:sz w:val="24"/>
        </w:rPr>
        <w:t>《泡沫灭火系统技术标准》（GB50151-2021）</w:t>
      </w:r>
    </w:p>
    <w:p w14:paraId="36DE10AF">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11</w:t>
      </w:r>
      <w:r>
        <w:rPr>
          <w:kern w:val="10"/>
          <w:sz w:val="24"/>
          <w:szCs w:val="24"/>
          <w:lang w:val="zh-CN"/>
        </w:rPr>
        <w:t>）《城市工程管线综合规划规范》（GB50289-2016）；</w:t>
      </w:r>
    </w:p>
    <w:p w14:paraId="12432973">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12</w:t>
      </w:r>
      <w:r>
        <w:rPr>
          <w:kern w:val="10"/>
          <w:sz w:val="24"/>
          <w:szCs w:val="24"/>
          <w:lang w:val="zh-CN"/>
        </w:rPr>
        <w:t>）《城乡建设用地竖向规划规范》（CJJ83-2016）；</w:t>
      </w:r>
    </w:p>
    <w:p w14:paraId="1F910D7D">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13</w:t>
      </w:r>
      <w:r>
        <w:rPr>
          <w:kern w:val="10"/>
          <w:sz w:val="24"/>
          <w:szCs w:val="24"/>
          <w:lang w:val="zh-CN"/>
        </w:rPr>
        <w:t>）《无障碍设计规范》（GB50763-2012）</w:t>
      </w:r>
    </w:p>
    <w:p w14:paraId="57D76584">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14</w:t>
      </w:r>
      <w:r>
        <w:rPr>
          <w:kern w:val="10"/>
          <w:sz w:val="24"/>
          <w:szCs w:val="24"/>
          <w:lang w:val="zh-CN"/>
        </w:rPr>
        <w:t>）《绿色建筑评价标准》(GB/T50378-2014)</w:t>
      </w:r>
    </w:p>
    <w:p w14:paraId="5BCF3EDE">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15</w:t>
      </w:r>
      <w:r>
        <w:rPr>
          <w:kern w:val="10"/>
          <w:sz w:val="24"/>
          <w:szCs w:val="24"/>
          <w:lang w:val="zh-CN"/>
        </w:rPr>
        <w:t>）《城市消防站设计标准》建标（152-2017）;</w:t>
      </w:r>
    </w:p>
    <w:p w14:paraId="0581386A">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16</w:t>
      </w:r>
      <w:r>
        <w:rPr>
          <w:kern w:val="10"/>
          <w:sz w:val="24"/>
          <w:szCs w:val="24"/>
          <w:lang w:val="zh-CN"/>
        </w:rPr>
        <w:t>）《办公建筑设计标准》（JGJ/T 67-2019）;</w:t>
      </w:r>
    </w:p>
    <w:p w14:paraId="4CBC86E1">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17</w:t>
      </w:r>
      <w:r>
        <w:rPr>
          <w:kern w:val="10"/>
          <w:sz w:val="24"/>
          <w:szCs w:val="24"/>
          <w:lang w:val="zh-CN"/>
        </w:rPr>
        <w:t>）《城市道路交通规划设计规范》（GBJ50220-95）;</w:t>
      </w:r>
    </w:p>
    <w:p w14:paraId="0815DBD1">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18</w:t>
      </w:r>
      <w:r>
        <w:rPr>
          <w:kern w:val="10"/>
          <w:sz w:val="24"/>
          <w:szCs w:val="24"/>
          <w:lang w:val="zh-CN"/>
        </w:rPr>
        <w:t>）《民用建筑设计统一标准》（GB 50352-2019）;</w:t>
      </w:r>
    </w:p>
    <w:p w14:paraId="12A62DDD">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19</w:t>
      </w:r>
      <w:r>
        <w:rPr>
          <w:kern w:val="10"/>
          <w:sz w:val="24"/>
          <w:szCs w:val="24"/>
          <w:lang w:val="zh-CN"/>
        </w:rPr>
        <w:t>）《安徽省公共建筑节能设计标准》（DB34/5076-2017）;</w:t>
      </w:r>
    </w:p>
    <w:p w14:paraId="4D5A6097">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20</w:t>
      </w:r>
      <w:r>
        <w:rPr>
          <w:kern w:val="10"/>
          <w:sz w:val="24"/>
          <w:szCs w:val="24"/>
          <w:lang w:val="zh-CN"/>
        </w:rPr>
        <w:t>）《智能建筑设计标准》（GB/t50314-2000）;</w:t>
      </w:r>
    </w:p>
    <w:p w14:paraId="6FCD216A">
      <w:pPr>
        <w:autoSpaceDE w:val="0"/>
        <w:autoSpaceDN w:val="0"/>
        <w:adjustRightInd w:val="0"/>
        <w:spacing w:line="360" w:lineRule="auto"/>
        <w:ind w:firstLine="480" w:firstLineChars="200"/>
        <w:rPr>
          <w:kern w:val="10"/>
          <w:sz w:val="24"/>
          <w:szCs w:val="24"/>
        </w:rPr>
      </w:pPr>
      <w:r>
        <w:rPr>
          <w:kern w:val="10"/>
          <w:sz w:val="24"/>
          <w:szCs w:val="24"/>
          <w:lang w:val="zh-CN"/>
        </w:rPr>
        <w:t>（</w:t>
      </w:r>
      <w:r>
        <w:rPr>
          <w:kern w:val="10"/>
          <w:sz w:val="24"/>
          <w:szCs w:val="24"/>
        </w:rPr>
        <w:t>21</w:t>
      </w:r>
      <w:r>
        <w:rPr>
          <w:kern w:val="10"/>
          <w:sz w:val="24"/>
          <w:szCs w:val="24"/>
          <w:lang w:val="zh-CN"/>
        </w:rPr>
        <w:t>）</w:t>
      </w:r>
      <w:r>
        <w:rPr>
          <w:kern w:val="10"/>
          <w:sz w:val="24"/>
          <w:szCs w:val="24"/>
        </w:rPr>
        <w:t>《建筑防烟排烟系统技术标准》（GB 51251-2017）</w:t>
      </w:r>
    </w:p>
    <w:p w14:paraId="0F2ED28C">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22</w:t>
      </w:r>
      <w:r>
        <w:rPr>
          <w:kern w:val="10"/>
          <w:sz w:val="24"/>
          <w:szCs w:val="24"/>
          <w:lang w:val="zh-CN"/>
        </w:rPr>
        <w:t>）建设单位提供的规划设计条件和规划地块地形图；</w:t>
      </w:r>
    </w:p>
    <w:p w14:paraId="3A9EF38C">
      <w:pPr>
        <w:autoSpaceDE w:val="0"/>
        <w:autoSpaceDN w:val="0"/>
        <w:adjustRightInd w:val="0"/>
        <w:spacing w:line="360" w:lineRule="auto"/>
        <w:ind w:firstLine="480" w:firstLineChars="200"/>
        <w:rPr>
          <w:kern w:val="10"/>
          <w:sz w:val="24"/>
          <w:szCs w:val="24"/>
          <w:lang w:val="zh-CN"/>
        </w:rPr>
      </w:pPr>
      <w:r>
        <w:rPr>
          <w:kern w:val="10"/>
          <w:sz w:val="24"/>
          <w:szCs w:val="24"/>
          <w:lang w:val="zh-CN"/>
        </w:rPr>
        <w:t>（</w:t>
      </w:r>
      <w:r>
        <w:rPr>
          <w:kern w:val="10"/>
          <w:sz w:val="24"/>
          <w:szCs w:val="24"/>
        </w:rPr>
        <w:t>23</w:t>
      </w:r>
      <w:r>
        <w:rPr>
          <w:kern w:val="10"/>
          <w:sz w:val="24"/>
          <w:szCs w:val="24"/>
          <w:lang w:val="zh-CN"/>
        </w:rPr>
        <w:t>）工程建设标准强制性条文（房屋建筑部分）</w:t>
      </w:r>
    </w:p>
    <w:p w14:paraId="7BFBCF2C">
      <w:pPr>
        <w:autoSpaceDE w:val="0"/>
        <w:autoSpaceDN w:val="0"/>
        <w:adjustRightInd w:val="0"/>
        <w:spacing w:line="360" w:lineRule="auto"/>
        <w:ind w:firstLine="480" w:firstLineChars="200"/>
      </w:pPr>
      <w:r>
        <w:rPr>
          <w:kern w:val="10"/>
          <w:sz w:val="24"/>
          <w:szCs w:val="24"/>
          <w:lang w:val="zh-CN"/>
        </w:rPr>
        <w:t>（</w:t>
      </w:r>
      <w:r>
        <w:rPr>
          <w:kern w:val="10"/>
          <w:sz w:val="24"/>
          <w:szCs w:val="24"/>
        </w:rPr>
        <w:t>24</w:t>
      </w:r>
      <w:r>
        <w:rPr>
          <w:kern w:val="10"/>
          <w:sz w:val="24"/>
          <w:szCs w:val="24"/>
          <w:lang w:val="zh-CN"/>
        </w:rPr>
        <w:t>）国家和地方颁布的其它现行的有关建筑设计的规范标准。</w:t>
      </w:r>
    </w:p>
    <w:p w14:paraId="52EA94E9">
      <w:pPr>
        <w:outlineLvl w:val="1"/>
        <w:rPr>
          <w:kern w:val="0"/>
          <w:sz w:val="24"/>
          <w:szCs w:val="24"/>
        </w:rPr>
      </w:pPr>
      <w:bookmarkStart w:id="233" w:name="_Toc22130"/>
      <w:bookmarkStart w:id="234" w:name="_Toc23851"/>
      <w:bookmarkStart w:id="235" w:name="_Toc31862"/>
      <w:bookmarkStart w:id="236" w:name="_Toc1055"/>
      <w:bookmarkStart w:id="237" w:name="_Toc20088"/>
      <w:bookmarkStart w:id="238" w:name="_Toc23674"/>
      <w:bookmarkStart w:id="239" w:name="_Toc23807"/>
      <w:r>
        <w:rPr>
          <w:b/>
          <w:szCs w:val="28"/>
        </w:rPr>
        <w:t>8.4消防救援规划</w:t>
      </w:r>
      <w:r>
        <w:rPr>
          <w:b/>
          <w:szCs w:val="28"/>
          <w:lang w:val="zh-CN"/>
        </w:rPr>
        <w:t>主要建设内容</w:t>
      </w:r>
      <w:bookmarkEnd w:id="233"/>
      <w:bookmarkEnd w:id="234"/>
      <w:bookmarkEnd w:id="235"/>
      <w:bookmarkEnd w:id="236"/>
      <w:bookmarkEnd w:id="237"/>
      <w:bookmarkEnd w:id="238"/>
      <w:bookmarkEnd w:id="239"/>
    </w:p>
    <w:p w14:paraId="2C84E76A">
      <w:pPr>
        <w:widowControl/>
        <w:spacing w:line="360" w:lineRule="auto"/>
        <w:ind w:firstLine="482" w:firstLineChars="200"/>
        <w:jc w:val="left"/>
        <w:rPr>
          <w:b/>
          <w:bCs/>
          <w:kern w:val="0"/>
          <w:sz w:val="24"/>
          <w:szCs w:val="24"/>
        </w:rPr>
      </w:pPr>
      <w:r>
        <w:rPr>
          <w:b/>
          <w:bCs/>
          <w:kern w:val="0"/>
          <w:sz w:val="24"/>
          <w:szCs w:val="24"/>
        </w:rPr>
        <w:t xml:space="preserve">8.4.1.消防站点的布局与分工 </w:t>
      </w:r>
    </w:p>
    <w:p w14:paraId="547D0487">
      <w:pPr>
        <w:widowControl/>
        <w:numPr>
          <w:ilvl w:val="0"/>
          <w:numId w:val="20"/>
        </w:numPr>
        <w:spacing w:line="360" w:lineRule="auto"/>
        <w:ind w:firstLine="480" w:firstLineChars="200"/>
        <w:jc w:val="left"/>
        <w:rPr>
          <w:kern w:val="0"/>
          <w:sz w:val="24"/>
          <w:szCs w:val="24"/>
        </w:rPr>
      </w:pPr>
      <w:r>
        <w:rPr>
          <w:kern w:val="0"/>
          <w:sz w:val="24"/>
          <w:szCs w:val="24"/>
        </w:rPr>
        <w:t>、消防责任分区的划定。</w:t>
      </w:r>
    </w:p>
    <w:p w14:paraId="1CFB8EFF">
      <w:pPr>
        <w:widowControl/>
        <w:spacing w:line="360" w:lineRule="auto"/>
        <w:ind w:firstLine="480" w:firstLineChars="200"/>
        <w:jc w:val="left"/>
        <w:rPr>
          <w:kern w:val="0"/>
          <w:sz w:val="24"/>
          <w:szCs w:val="24"/>
        </w:rPr>
      </w:pPr>
      <w:r>
        <w:rPr>
          <w:kern w:val="0"/>
          <w:sz w:val="24"/>
          <w:szCs w:val="24"/>
        </w:rPr>
        <w:t>化工园区消防规划在编制时还应重点强化消防站点的布局工作，通过划定合理的责任分区，保证消防系统的性能和绩效，以提升自身的防火灭火能力。园区消防站责任区面积的确定，通常是按照《石油化工企业设计防火标准》（GB50160-2008，2018年版）中的规定，采用如下计算公式：</w:t>
      </w:r>
    </w:p>
    <w:p w14:paraId="7295AF0C">
      <w:pPr>
        <w:widowControl/>
        <w:spacing w:line="360" w:lineRule="auto"/>
        <w:ind w:firstLine="480" w:firstLineChars="200"/>
        <w:jc w:val="left"/>
        <w:rPr>
          <w:kern w:val="0"/>
          <w:sz w:val="24"/>
          <w:szCs w:val="24"/>
        </w:rPr>
      </w:pPr>
      <w:r>
        <w:rPr>
          <w:kern w:val="0"/>
          <w:sz w:val="24"/>
          <w:szCs w:val="24"/>
        </w:rPr>
        <w:t>A=2P</w:t>
      </w:r>
      <w:r>
        <w:rPr>
          <w:kern w:val="0"/>
          <w:sz w:val="24"/>
          <w:szCs w:val="24"/>
          <w:vertAlign w:val="superscript"/>
        </w:rPr>
        <w:t>2</w:t>
      </w:r>
      <w:r>
        <w:rPr>
          <w:kern w:val="0"/>
          <w:sz w:val="24"/>
          <w:szCs w:val="24"/>
        </w:rPr>
        <w:t>=2(S/λ)</w:t>
      </w:r>
      <w:r>
        <w:rPr>
          <w:kern w:val="0"/>
          <w:sz w:val="24"/>
          <w:szCs w:val="24"/>
          <w:vertAlign w:val="superscript"/>
        </w:rPr>
        <w:t>2</w:t>
      </w:r>
      <w:r>
        <w:rPr>
          <w:kern w:val="0"/>
          <w:sz w:val="24"/>
          <w:szCs w:val="24"/>
        </w:rPr>
        <w:t>=2x{(4V)/λ}</w:t>
      </w:r>
      <w:r>
        <w:rPr>
          <w:kern w:val="0"/>
          <w:sz w:val="24"/>
          <w:szCs w:val="24"/>
          <w:vertAlign w:val="superscript"/>
        </w:rPr>
        <w:t>2</w:t>
      </w:r>
    </w:p>
    <w:p w14:paraId="6093305C">
      <w:pPr>
        <w:widowControl/>
        <w:spacing w:line="360" w:lineRule="auto"/>
        <w:ind w:firstLine="480" w:firstLineChars="200"/>
        <w:jc w:val="left"/>
        <w:rPr>
          <w:kern w:val="0"/>
          <w:sz w:val="24"/>
          <w:szCs w:val="24"/>
        </w:rPr>
      </w:pPr>
      <w:r>
        <w:rPr>
          <w:kern w:val="0"/>
          <w:sz w:val="24"/>
          <w:szCs w:val="24"/>
        </w:rPr>
        <w:t>式中:A为消防站辖区面积(平方公里）；</w:t>
      </w:r>
    </w:p>
    <w:p w14:paraId="16922599">
      <w:pPr>
        <w:widowControl/>
        <w:spacing w:line="360" w:lineRule="auto"/>
        <w:ind w:firstLine="480" w:firstLineChars="200"/>
        <w:jc w:val="left"/>
        <w:rPr>
          <w:kern w:val="0"/>
          <w:sz w:val="24"/>
          <w:szCs w:val="24"/>
        </w:rPr>
      </w:pPr>
      <w:r>
        <w:rPr>
          <w:kern w:val="0"/>
          <w:sz w:val="24"/>
          <w:szCs w:val="24"/>
        </w:rPr>
        <w:t>P为消防站至辖区最远点的直线距离，即消防站保护半径（公里）；</w:t>
      </w:r>
    </w:p>
    <w:p w14:paraId="12D1A196">
      <w:pPr>
        <w:widowControl/>
        <w:spacing w:line="360" w:lineRule="auto"/>
        <w:ind w:firstLine="480" w:firstLineChars="200"/>
        <w:jc w:val="left"/>
        <w:rPr>
          <w:kern w:val="0"/>
          <w:sz w:val="24"/>
          <w:szCs w:val="24"/>
        </w:rPr>
      </w:pPr>
      <w:r>
        <w:rPr>
          <w:kern w:val="0"/>
          <w:sz w:val="24"/>
          <w:szCs w:val="24"/>
        </w:rPr>
        <w:t>S为消防站至辖区边缘最远点的实际距离，按照消防车接警出动后4分钟的最远行驶路程（公里）计；</w:t>
      </w:r>
    </w:p>
    <w:p w14:paraId="53C46651">
      <w:pPr>
        <w:widowControl/>
        <w:spacing w:line="360" w:lineRule="auto"/>
        <w:ind w:firstLine="482" w:firstLineChars="200"/>
        <w:jc w:val="left"/>
        <w:rPr>
          <w:kern w:val="0"/>
          <w:sz w:val="24"/>
          <w:szCs w:val="24"/>
        </w:rPr>
      </w:pPr>
      <w:r>
        <w:rPr>
          <w:b/>
          <w:bCs/>
          <w:kern w:val="0"/>
          <w:sz w:val="24"/>
          <w:szCs w:val="24"/>
        </w:rPr>
        <w:t>V</w:t>
      </w:r>
      <w:r>
        <w:rPr>
          <w:kern w:val="0"/>
          <w:sz w:val="24"/>
          <w:szCs w:val="24"/>
        </w:rPr>
        <w:t>为消防车辆行驶的平均速度；</w:t>
      </w:r>
    </w:p>
    <w:p w14:paraId="2B529708">
      <w:pPr>
        <w:widowControl/>
        <w:spacing w:line="360" w:lineRule="auto"/>
        <w:ind w:firstLine="482" w:firstLineChars="200"/>
        <w:jc w:val="left"/>
        <w:rPr>
          <w:sz w:val="24"/>
          <w:szCs w:val="24"/>
        </w:rPr>
      </w:pPr>
      <w:r>
        <w:rPr>
          <w:b/>
          <w:bCs/>
          <w:kern w:val="0"/>
          <w:sz w:val="24"/>
          <w:szCs w:val="24"/>
        </w:rPr>
        <w:t>λ</w:t>
      </w:r>
      <w:r>
        <w:rPr>
          <w:kern w:val="0"/>
          <w:sz w:val="24"/>
          <w:szCs w:val="24"/>
        </w:rPr>
        <w:t>为道路曲度系数，即两点间实际交通距离与直线距离之比。</w:t>
      </w:r>
    </w:p>
    <w:p w14:paraId="71D2E42F">
      <w:pPr>
        <w:widowControl/>
        <w:spacing w:line="360" w:lineRule="auto"/>
        <w:ind w:firstLine="720" w:firstLineChars="300"/>
        <w:jc w:val="left"/>
        <w:rPr>
          <w:b/>
          <w:sz w:val="24"/>
          <w:szCs w:val="24"/>
        </w:rPr>
      </w:pPr>
      <w:r>
        <w:rPr>
          <w:kern w:val="0"/>
          <w:sz w:val="24"/>
          <w:szCs w:val="24"/>
        </w:rPr>
        <w:t>在淮南经开化工园区消防责任分区面积的计算中，考虑到园区的封闭管理方式、内部规划道路相对平直等特点，消防车辆的行驶速度</w:t>
      </w:r>
      <w:r>
        <w:rPr>
          <w:b/>
          <w:bCs/>
          <w:kern w:val="0"/>
          <w:sz w:val="24"/>
          <w:szCs w:val="24"/>
        </w:rPr>
        <w:t>V</w:t>
      </w:r>
      <w:r>
        <w:rPr>
          <w:kern w:val="0"/>
          <w:sz w:val="24"/>
          <w:szCs w:val="24"/>
        </w:rPr>
        <w:t>取30〜40公里/小时，道路曲度系数</w:t>
      </w:r>
      <w:r>
        <w:rPr>
          <w:b/>
          <w:bCs/>
          <w:kern w:val="0"/>
          <w:sz w:val="24"/>
          <w:szCs w:val="24"/>
        </w:rPr>
        <w:t>λ</w:t>
      </w:r>
      <w:r>
        <w:rPr>
          <w:kern w:val="0"/>
          <w:sz w:val="24"/>
          <w:szCs w:val="24"/>
        </w:rPr>
        <w:t>取1.3〜1.5。因此，理论状况下消防站的保护半径</w:t>
      </w:r>
      <w:r>
        <w:rPr>
          <w:b/>
          <w:bCs/>
          <w:kern w:val="0"/>
          <w:sz w:val="24"/>
          <w:szCs w:val="24"/>
        </w:rPr>
        <w:t>P</w:t>
      </w:r>
      <w:r>
        <w:rPr>
          <w:kern w:val="0"/>
          <w:sz w:val="24"/>
          <w:szCs w:val="24"/>
        </w:rPr>
        <w:t>为1.6〜1.9公里，消防责任区面积A为5.1〜7.2km</w:t>
      </w:r>
      <w:r>
        <w:rPr>
          <w:kern w:val="0"/>
          <w:sz w:val="24"/>
          <w:szCs w:val="24"/>
          <w:vertAlign w:val="superscript"/>
        </w:rPr>
        <w:t>2</w:t>
      </w:r>
      <w:r>
        <w:rPr>
          <w:kern w:val="0"/>
          <w:sz w:val="24"/>
          <w:szCs w:val="24"/>
        </w:rPr>
        <w:t>。在划定淮南经开化工园区责任区的具体范围时，充分考虑淮南经开化工园区火灾风险等级的分布特征，控制以甲类火灾风险区为主片区的面积，并尽量保证其构成相对独立的责任分区；危险性较低的乙类火灾风险区一般会与面积较小的甲类火灾风险区划为同一责任片区。最终，结合淮南经开化工园区的内部道路、绿带，规划园区将形成消防责任分区。</w:t>
      </w:r>
    </w:p>
    <w:p w14:paraId="035AD5F8">
      <w:pPr>
        <w:widowControl/>
        <w:spacing w:line="360" w:lineRule="auto"/>
        <w:ind w:firstLine="480" w:firstLineChars="200"/>
        <w:jc w:val="left"/>
        <w:rPr>
          <w:sz w:val="24"/>
          <w:szCs w:val="24"/>
        </w:rPr>
      </w:pPr>
      <w:r>
        <w:rPr>
          <w:kern w:val="0"/>
          <w:sz w:val="24"/>
          <w:szCs w:val="24"/>
        </w:rPr>
        <w:t>至于各片区消防站点的选址，本消防规划要求需遵循以下几项主要原则：</w:t>
      </w:r>
    </w:p>
    <w:p w14:paraId="39E2FF1D">
      <w:pPr>
        <w:widowControl/>
        <w:numPr>
          <w:ilvl w:val="0"/>
          <w:numId w:val="21"/>
        </w:numPr>
        <w:spacing w:line="360" w:lineRule="auto"/>
        <w:ind w:firstLine="480" w:firstLineChars="200"/>
        <w:jc w:val="left"/>
        <w:rPr>
          <w:kern w:val="0"/>
          <w:sz w:val="24"/>
          <w:szCs w:val="24"/>
        </w:rPr>
      </w:pPr>
      <w:r>
        <w:rPr>
          <w:kern w:val="0"/>
          <w:sz w:val="24"/>
          <w:szCs w:val="24"/>
        </w:rPr>
        <w:t>站点应选址于常年主导风向的上风或侧风向，且距离附近的危险单位在200米以上，以保障自身的安全；</w:t>
      </w:r>
    </w:p>
    <w:p w14:paraId="57CB86FA">
      <w:pPr>
        <w:widowControl/>
        <w:numPr>
          <w:ilvl w:val="0"/>
          <w:numId w:val="21"/>
        </w:numPr>
        <w:spacing w:line="360" w:lineRule="auto"/>
        <w:ind w:firstLine="480" w:firstLineChars="200"/>
        <w:jc w:val="left"/>
        <w:rPr>
          <w:sz w:val="24"/>
          <w:szCs w:val="24"/>
        </w:rPr>
      </w:pPr>
      <w:r>
        <w:rPr>
          <w:kern w:val="0"/>
          <w:sz w:val="24"/>
          <w:szCs w:val="24"/>
        </w:rPr>
        <w:t>站点应尽量位于责任区的中心位置，保证消防车辆能够准时到达责任区最远点；</w:t>
      </w:r>
    </w:p>
    <w:p w14:paraId="3710F7AF">
      <w:pPr>
        <w:widowControl/>
        <w:numPr>
          <w:ilvl w:val="0"/>
          <w:numId w:val="21"/>
        </w:numPr>
        <w:spacing w:line="360" w:lineRule="auto"/>
        <w:ind w:firstLine="480" w:firstLineChars="200"/>
        <w:jc w:val="left"/>
        <w:rPr>
          <w:kern w:val="0"/>
          <w:sz w:val="24"/>
          <w:szCs w:val="24"/>
        </w:rPr>
      </w:pPr>
      <w:r>
        <w:rPr>
          <w:kern w:val="0"/>
          <w:sz w:val="24"/>
          <w:szCs w:val="24"/>
        </w:rPr>
        <w:t xml:space="preserve">站点应布置在主、次干道的临街地段，便于车辆的迅速出动。 </w:t>
      </w:r>
    </w:p>
    <w:p w14:paraId="31A51D52">
      <w:pPr>
        <w:widowControl/>
        <w:numPr>
          <w:ilvl w:val="0"/>
          <w:numId w:val="20"/>
        </w:numPr>
        <w:spacing w:line="360" w:lineRule="auto"/>
        <w:ind w:firstLine="480" w:firstLineChars="200"/>
        <w:jc w:val="left"/>
        <w:rPr>
          <w:kern w:val="0"/>
          <w:sz w:val="24"/>
          <w:szCs w:val="24"/>
        </w:rPr>
      </w:pPr>
      <w:r>
        <w:rPr>
          <w:kern w:val="0"/>
          <w:sz w:val="24"/>
          <w:szCs w:val="24"/>
        </w:rPr>
        <w:t>、消防站点类型的分工。</w:t>
      </w:r>
    </w:p>
    <w:p w14:paraId="1FD69E35">
      <w:pPr>
        <w:widowControl/>
        <w:spacing w:line="360" w:lineRule="auto"/>
        <w:ind w:firstLine="480" w:firstLineChars="200"/>
        <w:jc w:val="left"/>
        <w:rPr>
          <w:kern w:val="0"/>
          <w:sz w:val="24"/>
          <w:szCs w:val="24"/>
        </w:rPr>
      </w:pPr>
      <w:r>
        <w:rPr>
          <w:kern w:val="0"/>
          <w:sz w:val="24"/>
          <w:szCs w:val="24"/>
        </w:rPr>
        <w:t>消防站的建设在满足基本消防作业的基础之上，还应结合自身所在责任区的消防等级与火灾特征，施行差异化的发展方式，从而在园区内部形成良好的分工协作关系。具体而言，如规划的消防指挥中心，当灾情出现时需发挥调度指挥的作用，并作为其它站点消防物资补给的基地，配套建设消防物资仓库、消防车辆维修养护中心和集中泡沫站等设施；在甲类火灾项目集中的重点消防分区，应规划消防站，建议配备泡沫消防车等以应对中小型火灾的灭火任务；依据企业的用地规模与产品的危险性，企业自建了消防站。</w:t>
      </w:r>
    </w:p>
    <w:p w14:paraId="11F07AA0">
      <w:pPr>
        <w:widowControl/>
        <w:numPr>
          <w:ilvl w:val="0"/>
          <w:numId w:val="20"/>
        </w:numPr>
        <w:spacing w:line="360" w:lineRule="auto"/>
        <w:ind w:firstLine="480" w:firstLineChars="200"/>
        <w:jc w:val="left"/>
        <w:rPr>
          <w:kern w:val="0"/>
          <w:sz w:val="24"/>
          <w:szCs w:val="24"/>
        </w:rPr>
      </w:pPr>
      <w:r>
        <w:rPr>
          <w:kern w:val="0"/>
          <w:sz w:val="24"/>
          <w:szCs w:val="24"/>
        </w:rPr>
        <w:t>消防保障补给系统的整备</w:t>
      </w:r>
    </w:p>
    <w:p w14:paraId="701E22EA">
      <w:pPr>
        <w:widowControl/>
        <w:numPr>
          <w:ilvl w:val="0"/>
          <w:numId w:val="22"/>
        </w:numPr>
        <w:spacing w:line="360" w:lineRule="auto"/>
        <w:ind w:firstLine="480" w:firstLineChars="200"/>
        <w:jc w:val="left"/>
        <w:rPr>
          <w:kern w:val="0"/>
          <w:sz w:val="24"/>
          <w:szCs w:val="24"/>
        </w:rPr>
      </w:pPr>
      <w:r>
        <w:rPr>
          <w:kern w:val="0"/>
          <w:sz w:val="24"/>
          <w:szCs w:val="24"/>
        </w:rPr>
        <w:t>消防通道。消防通道是保证园区消防功能正常运转的重要支撑体系，主要负责灾害出现时救援力量的快速进驻和受灾人员的顺利撤离。利用城市现有的交通基础设施及园区内部的新建道路，建构“区域——区间——区内”的三级消防通道体系。</w:t>
      </w:r>
    </w:p>
    <w:p w14:paraId="20A63C16">
      <w:pPr>
        <w:widowControl/>
        <w:spacing w:line="360" w:lineRule="auto"/>
        <w:ind w:firstLine="480" w:firstLineChars="200"/>
        <w:jc w:val="left"/>
        <w:rPr>
          <w:sz w:val="24"/>
          <w:szCs w:val="24"/>
        </w:rPr>
      </w:pPr>
      <w:r>
        <w:rPr>
          <w:kern w:val="0"/>
          <w:sz w:val="24"/>
          <w:szCs w:val="24"/>
        </w:rPr>
        <w:t>区域消防通道为具有一定封闭性，且不易被城市交通流阻断的高速公路和快速路，在园区遭遇极端火灾时承担外部救灾物资及人员的大规模调动任务。区间消防通道是各消防责任区之间的联系通道，考虑到化工类项目对用地完整性与规模化的需求，规划采用规整的“方格”路网结构，不仅提升了该层级消防通道在园区内的路网密度，还保证了系统整体运转的畅通。</w:t>
      </w:r>
    </w:p>
    <w:p w14:paraId="78463A72">
      <w:pPr>
        <w:widowControl/>
        <w:spacing w:line="360" w:lineRule="auto"/>
        <w:ind w:firstLine="480" w:firstLineChars="200"/>
        <w:jc w:val="left"/>
        <w:rPr>
          <w:kern w:val="0"/>
          <w:sz w:val="24"/>
          <w:szCs w:val="24"/>
        </w:rPr>
      </w:pPr>
      <w:r>
        <w:rPr>
          <w:kern w:val="0"/>
          <w:sz w:val="24"/>
          <w:szCs w:val="24"/>
        </w:rPr>
        <w:t>区内消防通道则构成了体系的最基本部分，主要由园区的次干道、支路及企业内部道路组成。此外，消防规划参照相关规范，就园区内部道路的宽度、路距、转弯半径、回车场面积、路面净空高度等内容提出了详细要求，实现了救灾车辆顺利进驻火场。</w:t>
      </w:r>
    </w:p>
    <w:p w14:paraId="4DF373BC">
      <w:pPr>
        <w:widowControl/>
        <w:numPr>
          <w:ilvl w:val="0"/>
          <w:numId w:val="22"/>
        </w:numPr>
        <w:spacing w:line="360" w:lineRule="auto"/>
        <w:ind w:firstLine="480" w:firstLineChars="200"/>
        <w:jc w:val="left"/>
        <w:rPr>
          <w:sz w:val="24"/>
          <w:szCs w:val="24"/>
        </w:rPr>
      </w:pPr>
      <w:r>
        <w:rPr>
          <w:kern w:val="0"/>
          <w:sz w:val="24"/>
          <w:szCs w:val="24"/>
        </w:rPr>
        <w:t>消防供水。水是最主要的灭火剂，所以消防规划包括消防水源、消防给水和消防废水在内的相关供水设施的建设。其中，为满足救灾时消防用水量的要求，</w:t>
      </w:r>
      <w:r>
        <w:rPr>
          <w:szCs w:val="21"/>
        </w:rPr>
        <w:t>淮南经开化工园区</w:t>
      </w:r>
      <w:r>
        <w:rPr>
          <w:kern w:val="0"/>
          <w:sz w:val="24"/>
          <w:szCs w:val="24"/>
        </w:rPr>
        <w:t>消防水源将以市政供水为主，以防市政管网出现供水不足问题。而且考虑到部分化学品性质特殊，还在消防指挥中心规划有泡沫站1座，用以扩大泡沫液的储量，满足特殊扑救的需求。给水管网的布置在依托环状市政管网的基础之上，需主要满足以下条件：1)环状管道的进水管，不应少于2条；2)环状管道应用阀门分成若干独立管段，且每段消火栓的数量不宜超过5个；3)生产、生活、消防三者共用的给水管道，应能满足100%的消防用水和70%的生产、生活用水的总量要求；4)即使个别环段管道发生事故，独立消防给水管道的其余环段仍需满足100%的消防用水量。此外，在扑救化工火灾时，泄露的化学物质会与消防用水混合产生消防废水，若不及时采取措施处理，易造成大面积的污染问题。园区企业及污水处理厂都建设事故水池，将废水全部收集并进行无害化处理，达标后方可排放。园区也建设了应急消防池。</w:t>
      </w:r>
    </w:p>
    <w:p w14:paraId="560B455C">
      <w:pPr>
        <w:widowControl/>
        <w:numPr>
          <w:ilvl w:val="0"/>
          <w:numId w:val="22"/>
        </w:numPr>
        <w:spacing w:line="360" w:lineRule="auto"/>
        <w:ind w:firstLine="480" w:firstLineChars="200"/>
        <w:jc w:val="left"/>
        <w:rPr>
          <w:sz w:val="24"/>
          <w:szCs w:val="24"/>
        </w:rPr>
      </w:pPr>
      <w:r>
        <w:rPr>
          <w:kern w:val="0"/>
          <w:sz w:val="24"/>
          <w:szCs w:val="24"/>
        </w:rPr>
        <w:t>消防通信。消防通信指挥系统是现代城市消防不可缺少的重要技术装备，其核心在于建立一套集信息收集传输与反馈、区域安全监控、事故灾害预警与处置于一体的综合管理体系。规划淮南经开化工园区消防通信指挥系统将利用光纤网络、</w:t>
      </w:r>
      <w:r>
        <w:rPr>
          <w:b/>
          <w:bCs/>
          <w:kern w:val="0"/>
          <w:sz w:val="24"/>
          <w:szCs w:val="24"/>
        </w:rPr>
        <w:t>GPS</w:t>
      </w:r>
      <w:r>
        <w:rPr>
          <w:kern w:val="0"/>
          <w:sz w:val="24"/>
          <w:szCs w:val="24"/>
        </w:rPr>
        <w:t>定位、</w:t>
      </w:r>
      <w:r>
        <w:rPr>
          <w:b/>
          <w:bCs/>
          <w:kern w:val="0"/>
          <w:sz w:val="24"/>
          <w:szCs w:val="24"/>
        </w:rPr>
        <w:t>GIS</w:t>
      </w:r>
      <w:r>
        <w:rPr>
          <w:kern w:val="0"/>
          <w:sz w:val="24"/>
          <w:szCs w:val="24"/>
        </w:rPr>
        <w:t xml:space="preserve">系统等先进设备与手段，搭建信息化防灾救援指挥平台，统筹负责火灾报警、火警受理、消防通信、火场指挥、训练模拟和消防信息综合管理等基本功能。 </w:t>
      </w:r>
    </w:p>
    <w:p w14:paraId="4489E25A">
      <w:pPr>
        <w:widowControl/>
        <w:spacing w:line="360" w:lineRule="auto"/>
        <w:ind w:firstLine="482" w:firstLineChars="200"/>
        <w:jc w:val="left"/>
        <w:rPr>
          <w:kern w:val="0"/>
          <w:sz w:val="24"/>
          <w:szCs w:val="24"/>
        </w:rPr>
      </w:pPr>
      <w:r>
        <w:rPr>
          <w:b/>
          <w:bCs/>
          <w:kern w:val="0"/>
          <w:sz w:val="24"/>
          <w:szCs w:val="24"/>
        </w:rPr>
        <w:t>8.4.2.消防</w:t>
      </w:r>
      <w:r>
        <w:rPr>
          <w:b/>
          <w:bCs/>
          <w:kern w:val="0"/>
          <w:sz w:val="24"/>
          <w:szCs w:val="24"/>
          <w:lang w:val="zh-CN"/>
        </w:rPr>
        <w:t>站建设内容</w:t>
      </w:r>
    </w:p>
    <w:p w14:paraId="04AC81D8">
      <w:pPr>
        <w:spacing w:line="360" w:lineRule="auto"/>
        <w:ind w:firstLine="480" w:firstLineChars="200"/>
        <w:rPr>
          <w:kern w:val="10"/>
          <w:sz w:val="24"/>
          <w:szCs w:val="24"/>
          <w:lang w:val="zh-CN"/>
        </w:rPr>
      </w:pPr>
      <w:r>
        <w:rPr>
          <w:sz w:val="24"/>
          <w:szCs w:val="24"/>
          <w:u w:color="FFFFFF"/>
        </w:rPr>
        <w:t>依据《化工园区安全风险排查治理导则（试行）》第7.6条要求“化工园区应编制化工园区消防规划，消防站布点应根据化工园区面积、危险性、平面布局等因素综合考虑，参照不低于《城市消防站建设标准》中</w:t>
      </w:r>
      <w:r>
        <w:rPr>
          <w:rFonts w:hint="eastAsia"/>
          <w:sz w:val="24"/>
          <w:szCs w:val="24"/>
          <w:u w:color="FFFFFF"/>
        </w:rPr>
        <w:t>一级</w:t>
      </w:r>
      <w:r>
        <w:rPr>
          <w:sz w:val="24"/>
          <w:szCs w:val="24"/>
          <w:u w:color="FFFFFF"/>
        </w:rPr>
        <w:t>消防站的标准进行建设，消防车种类、数量、结构以及车载灭火药剂数量、装备器材、防护装具等应满足安全事故处置需要。化工园区应建设危险化学品专业应急救援队伍；根据自身安全风险类型和实际需求，配套建设医疗急救场所和气防站”。园区应依托</w:t>
      </w:r>
      <w:r>
        <w:rPr>
          <w:rFonts w:hint="eastAsia"/>
          <w:sz w:val="24"/>
          <w:szCs w:val="24"/>
        </w:rPr>
        <w:t>淮南济民医院急救中心</w:t>
      </w:r>
      <w:r>
        <w:rPr>
          <w:sz w:val="24"/>
          <w:szCs w:val="24"/>
        </w:rPr>
        <w:t>（</w:t>
      </w:r>
      <w:r>
        <w:rPr>
          <w:rFonts w:hint="eastAsia"/>
          <w:sz w:val="24"/>
          <w:szCs w:val="24"/>
        </w:rPr>
        <w:t>淮南经开化工园区应急救援医疗救护协议单位</w:t>
      </w:r>
      <w:r>
        <w:rPr>
          <w:sz w:val="24"/>
          <w:szCs w:val="24"/>
        </w:rPr>
        <w:t>）</w:t>
      </w:r>
      <w:r>
        <w:rPr>
          <w:sz w:val="24"/>
          <w:szCs w:val="24"/>
          <w:u w:color="FFFFFF"/>
        </w:rPr>
        <w:t>建立园区化学医疗救护中心。</w:t>
      </w:r>
    </w:p>
    <w:p w14:paraId="53B3BBEE">
      <w:pPr>
        <w:spacing w:line="360" w:lineRule="auto"/>
        <w:ind w:firstLine="480" w:firstLineChars="200"/>
        <w:jc w:val="left"/>
        <w:rPr>
          <w:rFonts w:eastAsia="宋体"/>
          <w:sz w:val="24"/>
          <w:szCs w:val="24"/>
        </w:rPr>
      </w:pPr>
      <w:r>
        <w:rPr>
          <w:sz w:val="24"/>
          <w:szCs w:val="24"/>
          <w:u w:color="FFFFFF"/>
        </w:rPr>
        <w:t>原淮南经济技术开发区</w:t>
      </w:r>
      <w:r>
        <w:rPr>
          <w:rFonts w:hint="eastAsia"/>
          <w:sz w:val="24"/>
          <w:szCs w:val="24"/>
          <w:u w:color="FFFFFF"/>
        </w:rPr>
        <w:t>设置有</w:t>
      </w:r>
      <w:r>
        <w:rPr>
          <w:sz w:val="24"/>
          <w:szCs w:val="24"/>
          <w:u w:color="FFFFFF"/>
        </w:rPr>
        <w:t>一级消防站</w:t>
      </w:r>
      <w:r>
        <w:rPr>
          <w:rFonts w:hint="eastAsia"/>
          <w:sz w:val="24"/>
          <w:szCs w:val="24"/>
        </w:rPr>
        <w:t>，以及在长宁路与安兴路交叉口西北角规划建设一座微型消防站。规划后期扩区规划时规划特勤</w:t>
      </w:r>
      <w:r>
        <w:rPr>
          <w:sz w:val="24"/>
          <w:szCs w:val="24"/>
          <w:u w:color="FFFFFF"/>
        </w:rPr>
        <w:t>消防站</w:t>
      </w:r>
      <w:r>
        <w:rPr>
          <w:rFonts w:hint="eastAsia"/>
          <w:sz w:val="24"/>
          <w:szCs w:val="24"/>
          <w:u w:color="FFFFFF"/>
        </w:rPr>
        <w:t>。</w:t>
      </w:r>
    </w:p>
    <w:p w14:paraId="733A9785">
      <w:pPr>
        <w:spacing w:line="360" w:lineRule="auto"/>
        <w:ind w:firstLine="480" w:firstLineChars="200"/>
        <w:jc w:val="left"/>
        <w:rPr>
          <w:sz w:val="24"/>
          <w:szCs w:val="24"/>
        </w:rPr>
      </w:pPr>
      <w:r>
        <w:rPr>
          <w:rFonts w:hint="eastAsia"/>
          <w:sz w:val="24"/>
          <w:szCs w:val="24"/>
        </w:rPr>
        <w:t>经开区消防站主要负责淮南经开区辖区44平方公里范围内的灭火救援工作。经开消防站位于振兴南路与农科路口以西，占地近15亩,总建筑面积达5480平米，办公楼1栋，训练塔1栋，室内训练1栋</w:t>
      </w:r>
      <w:r>
        <w:rPr>
          <w:rFonts w:hint="eastAsia"/>
          <w:sz w:val="24"/>
          <w:szCs w:val="24"/>
          <w:lang w:eastAsia="zh-CN"/>
        </w:rPr>
        <w:t>及</w:t>
      </w:r>
      <w:r>
        <w:rPr>
          <w:rFonts w:hint="eastAsia"/>
          <w:sz w:val="24"/>
          <w:szCs w:val="24"/>
        </w:rPr>
        <w:t>其他附属设施；经开站营房设施总投资1600余万元于2018年2月份开工建设，2019年9月底投入使用。</w:t>
      </w:r>
    </w:p>
    <w:p w14:paraId="5C90EF41">
      <w:pPr>
        <w:spacing w:line="360" w:lineRule="auto"/>
        <w:ind w:firstLine="480" w:firstLineChars="200"/>
        <w:jc w:val="left"/>
        <w:rPr>
          <w:sz w:val="24"/>
          <w:szCs w:val="24"/>
        </w:rPr>
      </w:pPr>
      <w:r>
        <w:rPr>
          <w:rFonts w:hint="eastAsia"/>
          <w:sz w:val="24"/>
          <w:szCs w:val="24"/>
        </w:rPr>
        <w:t>按照一级城市消防站建设标准配置结合辖区实际购置了总计1727万元消防车辆和装备；目前有消防车辆5辆、生活物资保障车1辆、无人机1台、水域救援皮划艇一艘；后期配备3辆消防车和一级站专业灭火救援装备。</w:t>
      </w:r>
    </w:p>
    <w:p w14:paraId="58D0E99A">
      <w:pPr>
        <w:spacing w:line="360" w:lineRule="auto"/>
        <w:ind w:firstLine="480" w:firstLineChars="200"/>
        <w:jc w:val="left"/>
        <w:rPr>
          <w:sz w:val="24"/>
          <w:szCs w:val="24"/>
        </w:rPr>
      </w:pPr>
      <w:r>
        <w:rPr>
          <w:rFonts w:hint="eastAsia"/>
          <w:sz w:val="24"/>
          <w:szCs w:val="24"/>
        </w:rPr>
        <w:t>针对辖区具体情况有针对性配齐车辆装备及专业队建设。高效推动，提升战勤保障水平。经开区贯彻落实《城市消防站建设标准》文件精神，立足实际。（1）在车辆配置上有针对性的配备了适合高层建筑和大跨度厂房的35米举高喷射消防车、应对大型化工企业突发情况的压缩空气泡沫车和18吨泡沫水罐车、针对辖区水网分布不均配备了25吨重型水罐车和乡村城乡结合部道路狭窄不方便大型车辆进入而配置的3.5吨小型水罐车。（2）立足辖区实际，开展装备评估，优化装备配备结构，大力倡导和实施器材装备革新。2020年、2021、2022连续三年大队采购了无人机、重型支撑套装、电动破拆工具组等3200余件套各型车辆装备。</w:t>
      </w:r>
    </w:p>
    <w:p w14:paraId="63181F2E">
      <w:pPr>
        <w:spacing w:line="360" w:lineRule="auto"/>
        <w:ind w:firstLine="480" w:firstLineChars="200"/>
        <w:jc w:val="left"/>
      </w:pPr>
      <w:r>
        <w:rPr>
          <w:rFonts w:hint="eastAsia"/>
          <w:sz w:val="24"/>
          <w:szCs w:val="24"/>
        </w:rPr>
        <w:t>市政消火栓44个，主要分布在第一期建设区划内；消防水鹤四座位于德邦化工园区。</w:t>
      </w:r>
    </w:p>
    <w:p w14:paraId="34E3B87C">
      <w:pPr>
        <w:spacing w:line="360" w:lineRule="auto"/>
        <w:ind w:firstLine="480" w:firstLineChars="200"/>
        <w:jc w:val="left"/>
        <w:rPr>
          <w:sz w:val="24"/>
          <w:szCs w:val="24"/>
        </w:rPr>
      </w:pPr>
      <w:r>
        <w:rPr>
          <w:rFonts w:hint="eastAsia"/>
          <w:sz w:val="24"/>
          <w:szCs w:val="24"/>
        </w:rPr>
        <w:t>具体建设标准见附件7：</w:t>
      </w:r>
      <w:r>
        <w:rPr>
          <w:sz w:val="24"/>
          <w:szCs w:val="24"/>
        </w:rPr>
        <w:t>消防站建设标准</w:t>
      </w:r>
      <w:r>
        <w:rPr>
          <w:rFonts w:hint="eastAsia"/>
          <w:sz w:val="24"/>
          <w:szCs w:val="24"/>
        </w:rPr>
        <w:t>。</w:t>
      </w:r>
    </w:p>
    <w:p w14:paraId="1B83F89C">
      <w:pPr>
        <w:widowControl/>
        <w:spacing w:line="360" w:lineRule="auto"/>
        <w:ind w:firstLine="482" w:firstLineChars="200"/>
        <w:jc w:val="left"/>
        <w:rPr>
          <w:b/>
          <w:bCs/>
          <w:sz w:val="24"/>
          <w:szCs w:val="24"/>
        </w:rPr>
      </w:pPr>
      <w:r>
        <w:rPr>
          <w:b/>
          <w:bCs/>
          <w:sz w:val="24"/>
          <w:szCs w:val="24"/>
        </w:rPr>
        <w:t>8.4.3、事故应急池</w:t>
      </w:r>
    </w:p>
    <w:p w14:paraId="40267AEC">
      <w:pPr>
        <w:pStyle w:val="14"/>
        <w:ind w:firstLine="480"/>
      </w:pPr>
      <w:r>
        <w:t>工业和信息化部、应急管理部等6部委《关于印发〈化工园区建设标准和认定管理办法（试行）〉的通知》(工信部联原〔2021〕220号)中第十二条明确了化工园区废水处置原则、设施相关要求。化工园区应按照有关规定建设园区事故废水防控系统，做好事故废水的收集、暂存和处理，确保在事故发生时能满足事故废水处置要求。</w:t>
      </w:r>
    </w:p>
    <w:p w14:paraId="3DE75C73">
      <w:pPr>
        <w:pStyle w:val="14"/>
        <w:ind w:firstLine="480"/>
      </w:pPr>
      <w:r>
        <w:t>吉化“11·13”和大连“7·16”等特别重大事故表明，园区内危险化学品企业一旦发生事故，泄漏物质、消防水、污染雨水等可能流入水体环境造成重大污染事件。园区建设项目应按照《建设项目环境风险评价技术导则》（HJ69-2018）等标准要求，设置事故废水收集（尽可能以非动力自流方式）和应急储存设施，明确并图示防止事故废水进入外环境的控制、封堵系统。应急储存设施应根据发生事故的设备容量、事故时消防用水量及可能进入应急储存设施的雨水量等因素综合确定。化工园区应当根据园区现有企业和规划的项目，进行事故废水量的分析与估算，规划建设公共的事故废水应急池及收集、处置系统。</w:t>
      </w:r>
    </w:p>
    <w:p w14:paraId="1587061F">
      <w:pPr>
        <w:spacing w:line="360" w:lineRule="auto"/>
        <w:ind w:firstLine="480" w:firstLineChars="200"/>
      </w:pPr>
      <w:r>
        <w:rPr>
          <w:sz w:val="24"/>
          <w:szCs w:val="24"/>
          <w:u w:color="FFFFFF"/>
        </w:rPr>
        <w:t>（1）、化工园区企业事故废水分析</w:t>
      </w:r>
    </w:p>
    <w:p w14:paraId="6EBB6332">
      <w:pPr>
        <w:spacing w:line="360" w:lineRule="auto"/>
        <w:ind w:firstLine="480" w:firstLineChars="200"/>
        <w:rPr>
          <w:sz w:val="24"/>
          <w:szCs w:val="24"/>
          <w:u w:color="FFFFFF"/>
        </w:rPr>
      </w:pPr>
      <w:r>
        <w:rPr>
          <w:sz w:val="24"/>
          <w:szCs w:val="24"/>
          <w:u w:color="FFFFFF"/>
        </w:rPr>
        <w:t>依据淮南经济技术开发区生态环境分局2022年4月编制的《淮南经开化工园区安全事故废水分析报告》。</w:t>
      </w:r>
    </w:p>
    <w:p w14:paraId="19B035E6">
      <w:pPr>
        <w:spacing w:line="360" w:lineRule="auto"/>
        <w:ind w:firstLine="480" w:firstLineChars="200"/>
        <w:rPr>
          <w:sz w:val="24"/>
          <w:szCs w:val="24"/>
        </w:rPr>
      </w:pPr>
      <w:r>
        <w:rPr>
          <w:sz w:val="24"/>
          <w:szCs w:val="24"/>
        </w:rPr>
        <w:t>根据中国石化《水体污染防控紧急措施设计导则》， 应设置能够储存事故排水的储存设施，储存设施包括事故池、事故罐、防火堤内或围堰内区域 等。</w:t>
      </w:r>
    </w:p>
    <w:p w14:paraId="1D76065A">
      <w:pPr>
        <w:spacing w:line="360" w:lineRule="auto"/>
        <w:ind w:firstLine="480" w:firstLineChars="200"/>
        <w:rPr>
          <w:rFonts w:eastAsia="Times New Roman"/>
          <w:sz w:val="24"/>
          <w:szCs w:val="24"/>
        </w:rPr>
      </w:pPr>
      <w:r>
        <w:rPr>
          <w:sz w:val="24"/>
          <w:szCs w:val="24"/>
        </w:rPr>
        <w:t>根据计算公式，</w:t>
      </w:r>
      <w:r>
        <w:rPr>
          <w:rFonts w:eastAsia="Times New Roman"/>
          <w:sz w:val="24"/>
          <w:szCs w:val="24"/>
        </w:rPr>
        <w:t>V</w:t>
      </w:r>
      <w:r>
        <w:rPr>
          <w:sz w:val="24"/>
          <w:szCs w:val="24"/>
          <w:vertAlign w:val="subscript"/>
        </w:rPr>
        <w:t>总</w:t>
      </w:r>
      <w:r>
        <w:rPr>
          <w:rFonts w:eastAsia="Times New Roman"/>
          <w:sz w:val="24"/>
          <w:szCs w:val="24"/>
        </w:rPr>
        <w:t>=</w:t>
      </w:r>
      <w:r>
        <w:rPr>
          <w:sz w:val="24"/>
          <w:szCs w:val="24"/>
        </w:rPr>
        <w:t>(</w:t>
      </w:r>
      <w:r>
        <w:rPr>
          <w:rFonts w:eastAsia="Times New Roman"/>
          <w:sz w:val="24"/>
          <w:szCs w:val="24"/>
        </w:rPr>
        <w:t>V1+V2-V3</w:t>
      </w:r>
      <w:r>
        <w:rPr>
          <w:sz w:val="24"/>
          <w:szCs w:val="24"/>
        </w:rPr>
        <w:t>)</w:t>
      </w:r>
      <w:r>
        <w:rPr>
          <w:rFonts w:eastAsia="Times New Roman"/>
          <w:sz w:val="24"/>
          <w:szCs w:val="24"/>
          <w:vertAlign w:val="subscript"/>
        </w:rPr>
        <w:t>max</w:t>
      </w:r>
      <w:r>
        <w:rPr>
          <w:rFonts w:eastAsia="Times New Roman"/>
          <w:sz w:val="24"/>
          <w:szCs w:val="24"/>
        </w:rPr>
        <w:t>+V4+V5</w:t>
      </w:r>
    </w:p>
    <w:p w14:paraId="7A795D6B">
      <w:pPr>
        <w:spacing w:line="360" w:lineRule="auto"/>
        <w:ind w:firstLine="480" w:firstLineChars="200"/>
        <w:rPr>
          <w:sz w:val="24"/>
          <w:szCs w:val="24"/>
        </w:rPr>
      </w:pPr>
      <w:r>
        <w:rPr>
          <w:sz w:val="24"/>
          <w:szCs w:val="24"/>
        </w:rPr>
        <w:t>其中：</w:t>
      </w:r>
      <w:r>
        <w:rPr>
          <w:rFonts w:eastAsia="Times New Roman"/>
          <w:sz w:val="24"/>
          <w:szCs w:val="24"/>
        </w:rPr>
        <w:t>V</w:t>
      </w:r>
      <w:r>
        <w:rPr>
          <w:sz w:val="24"/>
          <w:szCs w:val="24"/>
          <w:vertAlign w:val="subscript"/>
        </w:rPr>
        <w:t>总</w:t>
      </w:r>
      <w:r>
        <w:rPr>
          <w:rFonts w:eastAsia="Times New Roman"/>
          <w:sz w:val="24"/>
          <w:szCs w:val="24"/>
        </w:rPr>
        <w:t>—</w:t>
      </w:r>
      <w:r>
        <w:rPr>
          <w:sz w:val="24"/>
          <w:szCs w:val="24"/>
        </w:rPr>
        <w:t>事故储存设施总有效容积；</w:t>
      </w:r>
    </w:p>
    <w:p w14:paraId="61C920A4">
      <w:pPr>
        <w:spacing w:line="360" w:lineRule="auto"/>
        <w:ind w:firstLine="480" w:firstLineChars="200"/>
        <w:rPr>
          <w:sz w:val="24"/>
          <w:szCs w:val="24"/>
        </w:rPr>
      </w:pPr>
      <w:r>
        <w:rPr>
          <w:sz w:val="24"/>
          <w:szCs w:val="24"/>
        </w:rPr>
        <w:t>(</w:t>
      </w:r>
      <w:r>
        <w:rPr>
          <w:rFonts w:eastAsia="Times New Roman"/>
          <w:sz w:val="24"/>
          <w:szCs w:val="24"/>
        </w:rPr>
        <w:t>V1+V2-V3</w:t>
      </w:r>
      <w:r>
        <w:rPr>
          <w:sz w:val="24"/>
          <w:szCs w:val="24"/>
        </w:rPr>
        <w:t>)</w:t>
      </w:r>
      <w:r>
        <w:rPr>
          <w:rFonts w:eastAsia="Times New Roman"/>
          <w:sz w:val="24"/>
          <w:szCs w:val="24"/>
          <w:vertAlign w:val="subscript"/>
        </w:rPr>
        <w:t>max</w:t>
      </w:r>
      <w:r>
        <w:rPr>
          <w:rFonts w:eastAsia="Times New Roman"/>
          <w:sz w:val="24"/>
          <w:szCs w:val="24"/>
        </w:rPr>
        <w:t>—</w:t>
      </w:r>
      <w:r>
        <w:rPr>
          <w:sz w:val="24"/>
          <w:szCs w:val="24"/>
        </w:rPr>
        <w:t>是指对收集系统范围内不同罐组或装置分别计算</w:t>
      </w:r>
      <w:r>
        <w:rPr>
          <w:rFonts w:eastAsia="Times New Roman"/>
          <w:sz w:val="24"/>
          <w:szCs w:val="24"/>
        </w:rPr>
        <w:t>V1+V2-V3</w:t>
      </w:r>
      <w:r>
        <w:rPr>
          <w:sz w:val="24"/>
          <w:szCs w:val="24"/>
        </w:rPr>
        <w:t>，取其中最大值；</w:t>
      </w:r>
    </w:p>
    <w:p w14:paraId="1D5C85E4">
      <w:pPr>
        <w:spacing w:line="360" w:lineRule="auto"/>
        <w:ind w:firstLine="480" w:firstLineChars="200"/>
        <w:rPr>
          <w:sz w:val="24"/>
          <w:szCs w:val="24"/>
        </w:rPr>
      </w:pPr>
      <w:r>
        <w:rPr>
          <w:rFonts w:eastAsia="Times New Roman"/>
          <w:sz w:val="24"/>
          <w:szCs w:val="24"/>
        </w:rPr>
        <w:t>V1—</w:t>
      </w:r>
      <w:r>
        <w:rPr>
          <w:sz w:val="24"/>
          <w:szCs w:val="24"/>
        </w:rPr>
        <w:t>收集系统范围内发生事故的一个罐组或一套装置的物料量(注：储存相同物料的罐组按一个最大储罐计，装置物料量按存留最大物料量的一台反应器或中间储罐计)；</w:t>
      </w:r>
    </w:p>
    <w:p w14:paraId="0F7774FF">
      <w:pPr>
        <w:spacing w:line="360" w:lineRule="auto"/>
        <w:ind w:firstLine="480" w:firstLineChars="200"/>
        <w:rPr>
          <w:sz w:val="24"/>
          <w:szCs w:val="24"/>
        </w:rPr>
      </w:pPr>
      <w:r>
        <w:rPr>
          <w:rFonts w:eastAsia="Times New Roman"/>
          <w:sz w:val="24"/>
          <w:szCs w:val="24"/>
        </w:rPr>
        <w:t>V2—</w:t>
      </w:r>
      <w:r>
        <w:rPr>
          <w:sz w:val="24"/>
          <w:szCs w:val="24"/>
        </w:rPr>
        <w:t>发生事故的储罐或装置的消防水量，</w:t>
      </w:r>
      <w:r>
        <w:rPr>
          <w:rFonts w:eastAsia="Times New Roman"/>
          <w:sz w:val="24"/>
          <w:szCs w:val="24"/>
        </w:rPr>
        <w:t>m</w:t>
      </w:r>
      <w:r>
        <w:rPr>
          <w:rFonts w:eastAsia="Times New Roman"/>
          <w:sz w:val="24"/>
          <w:szCs w:val="24"/>
          <w:vertAlign w:val="superscript"/>
        </w:rPr>
        <w:t>3</w:t>
      </w:r>
      <w:r>
        <w:rPr>
          <w:sz w:val="24"/>
          <w:szCs w:val="24"/>
        </w:rPr>
        <w:t>；</w:t>
      </w:r>
    </w:p>
    <w:p w14:paraId="637BB1F7">
      <w:pPr>
        <w:spacing w:line="360" w:lineRule="auto"/>
        <w:ind w:firstLine="480" w:firstLineChars="200"/>
        <w:rPr>
          <w:sz w:val="24"/>
          <w:szCs w:val="24"/>
        </w:rPr>
      </w:pPr>
      <w:r>
        <w:rPr>
          <w:rFonts w:eastAsia="Times New Roman"/>
          <w:sz w:val="24"/>
          <w:szCs w:val="24"/>
        </w:rPr>
        <w:t>V3—</w:t>
      </w:r>
      <w:r>
        <w:rPr>
          <w:sz w:val="24"/>
          <w:szCs w:val="24"/>
        </w:rPr>
        <w:t>发生事故时可以转输到其他储存或处理设施的物料量，</w:t>
      </w:r>
      <w:r>
        <w:rPr>
          <w:rFonts w:eastAsia="Times New Roman"/>
          <w:sz w:val="24"/>
          <w:szCs w:val="24"/>
        </w:rPr>
        <w:t>m</w:t>
      </w:r>
      <w:r>
        <w:rPr>
          <w:rFonts w:eastAsia="Times New Roman"/>
          <w:sz w:val="24"/>
          <w:szCs w:val="24"/>
          <w:vertAlign w:val="superscript"/>
        </w:rPr>
        <w:t>3</w:t>
      </w:r>
      <w:r>
        <w:rPr>
          <w:sz w:val="24"/>
          <w:szCs w:val="24"/>
        </w:rPr>
        <w:t>；</w:t>
      </w:r>
    </w:p>
    <w:p w14:paraId="1AC0FC33">
      <w:pPr>
        <w:spacing w:line="360" w:lineRule="auto"/>
        <w:ind w:firstLine="480" w:firstLineChars="200"/>
        <w:rPr>
          <w:sz w:val="24"/>
          <w:szCs w:val="24"/>
        </w:rPr>
      </w:pPr>
      <w:r>
        <w:rPr>
          <w:rFonts w:eastAsia="Times New Roman"/>
          <w:sz w:val="24"/>
          <w:szCs w:val="24"/>
        </w:rPr>
        <w:t>V4—</w:t>
      </w:r>
      <w:r>
        <w:rPr>
          <w:sz w:val="24"/>
          <w:szCs w:val="24"/>
        </w:rPr>
        <w:t>发生事故时仍必须进入该收集系统的生产废水量，</w:t>
      </w:r>
      <w:r>
        <w:rPr>
          <w:rFonts w:eastAsia="Times New Roman"/>
          <w:sz w:val="24"/>
          <w:szCs w:val="24"/>
        </w:rPr>
        <w:t>m</w:t>
      </w:r>
      <w:r>
        <w:rPr>
          <w:rFonts w:eastAsia="Times New Roman"/>
          <w:sz w:val="24"/>
          <w:szCs w:val="24"/>
          <w:vertAlign w:val="superscript"/>
        </w:rPr>
        <w:t>3</w:t>
      </w:r>
      <w:r>
        <w:rPr>
          <w:sz w:val="24"/>
          <w:szCs w:val="24"/>
        </w:rPr>
        <w:t>；</w:t>
      </w:r>
    </w:p>
    <w:p w14:paraId="5BAED48A">
      <w:pPr>
        <w:spacing w:line="360" w:lineRule="auto"/>
        <w:ind w:firstLine="480" w:firstLineChars="200"/>
        <w:rPr>
          <w:sz w:val="24"/>
          <w:szCs w:val="24"/>
        </w:rPr>
      </w:pPr>
      <w:r>
        <w:rPr>
          <w:rFonts w:eastAsia="Times New Roman"/>
          <w:sz w:val="24"/>
          <w:szCs w:val="24"/>
        </w:rPr>
        <w:t>V5—</w:t>
      </w:r>
      <w:r>
        <w:rPr>
          <w:sz w:val="24"/>
          <w:szCs w:val="24"/>
        </w:rPr>
        <w:t>发生事故时可能进入该收集系统的降雨量，</w:t>
      </w:r>
      <w:r>
        <w:rPr>
          <w:rFonts w:eastAsia="Times New Roman"/>
          <w:sz w:val="24"/>
          <w:szCs w:val="24"/>
        </w:rPr>
        <w:t>m</w:t>
      </w:r>
      <w:r>
        <w:rPr>
          <w:rFonts w:eastAsia="Times New Roman"/>
          <w:sz w:val="24"/>
          <w:szCs w:val="24"/>
          <w:vertAlign w:val="superscript"/>
        </w:rPr>
        <w:t>3</w:t>
      </w:r>
      <w:r>
        <w:rPr>
          <w:sz w:val="24"/>
          <w:szCs w:val="24"/>
        </w:rPr>
        <w:t>。</w:t>
      </w:r>
    </w:p>
    <w:p w14:paraId="298C20FD">
      <w:pPr>
        <w:spacing w:line="360" w:lineRule="auto"/>
        <w:ind w:firstLine="480" w:firstLineChars="200"/>
        <w:rPr>
          <w:sz w:val="24"/>
          <w:szCs w:val="24"/>
        </w:rPr>
      </w:pPr>
      <w:r>
        <w:rPr>
          <w:sz w:val="24"/>
          <w:szCs w:val="24"/>
        </w:rPr>
        <w:t>园区各企业已根据上述公式计算出安全事故废水量，即事故池理论最小容积，根据资料统计，园区目前各企业安全事故废水量及事故池实际容积见表8.4</w:t>
      </w:r>
      <w:r>
        <w:rPr>
          <w:rFonts w:eastAsia="Times New Roman"/>
          <w:sz w:val="24"/>
          <w:szCs w:val="24"/>
        </w:rPr>
        <w:t>-</w:t>
      </w:r>
      <w:r>
        <w:rPr>
          <w:sz w:val="24"/>
          <w:szCs w:val="24"/>
        </w:rPr>
        <w:t>2。其中安徽德邦化工有限公司事故废水量计算过程如下：</w:t>
      </w:r>
    </w:p>
    <w:p w14:paraId="20CC0F0F">
      <w:pPr>
        <w:spacing w:line="360" w:lineRule="auto"/>
        <w:ind w:firstLine="480" w:firstLineChars="200"/>
        <w:rPr>
          <w:sz w:val="24"/>
          <w:szCs w:val="24"/>
        </w:rPr>
      </w:pPr>
      <w:r>
        <w:rPr>
          <w:sz w:val="24"/>
          <w:szCs w:val="24"/>
        </w:rPr>
        <w:t>(</w:t>
      </w:r>
      <w:r>
        <w:rPr>
          <w:rFonts w:eastAsia="Times New Roman"/>
          <w:sz w:val="24"/>
          <w:szCs w:val="24"/>
        </w:rPr>
        <w:t>1</w:t>
      </w:r>
      <w:r>
        <w:rPr>
          <w:sz w:val="24"/>
          <w:szCs w:val="24"/>
        </w:rPr>
        <w:t>)泄漏物料(</w:t>
      </w:r>
      <w:r>
        <w:rPr>
          <w:rFonts w:eastAsia="Times New Roman"/>
          <w:sz w:val="24"/>
          <w:szCs w:val="24"/>
        </w:rPr>
        <w:t>V1</w:t>
      </w:r>
      <w:r>
        <w:rPr>
          <w:sz w:val="24"/>
          <w:szCs w:val="24"/>
        </w:rPr>
        <w:t>)</w:t>
      </w:r>
    </w:p>
    <w:p w14:paraId="0530B3DC">
      <w:pPr>
        <w:spacing w:line="360" w:lineRule="auto"/>
        <w:ind w:firstLine="480" w:firstLineChars="200"/>
        <w:rPr>
          <w:sz w:val="24"/>
          <w:szCs w:val="24"/>
        </w:rPr>
      </w:pPr>
      <w:r>
        <w:rPr>
          <w:sz w:val="24"/>
          <w:szCs w:val="24"/>
        </w:rPr>
        <w:t>根据调查，德邦化工厂内最大一个储罐为甲醇储罐，储罐容积为</w:t>
      </w:r>
      <w:r>
        <w:rPr>
          <w:rFonts w:eastAsia="Times New Roman"/>
          <w:sz w:val="24"/>
          <w:szCs w:val="24"/>
        </w:rPr>
        <w:t>300m</w:t>
      </w:r>
      <w:r>
        <w:rPr>
          <w:rFonts w:eastAsia="Times New Roman"/>
          <w:sz w:val="24"/>
          <w:szCs w:val="24"/>
          <w:vertAlign w:val="superscript"/>
        </w:rPr>
        <w:t>3</w:t>
      </w:r>
      <w:r>
        <w:rPr>
          <w:sz w:val="24"/>
          <w:szCs w:val="24"/>
        </w:rPr>
        <w:t>，储存系数</w:t>
      </w:r>
      <w:r>
        <w:rPr>
          <w:rFonts w:eastAsia="Times New Roman"/>
          <w:sz w:val="24"/>
          <w:szCs w:val="24"/>
        </w:rPr>
        <w:t>0.8</w:t>
      </w:r>
      <w:r>
        <w:rPr>
          <w:sz w:val="24"/>
          <w:szCs w:val="24"/>
        </w:rPr>
        <w:t>，因此</w:t>
      </w:r>
      <w:r>
        <w:rPr>
          <w:rFonts w:eastAsia="Times New Roman"/>
          <w:sz w:val="24"/>
          <w:szCs w:val="24"/>
        </w:rPr>
        <w:t>V1</w:t>
      </w:r>
      <w:r>
        <w:rPr>
          <w:sz w:val="24"/>
          <w:szCs w:val="24"/>
        </w:rPr>
        <w:t>取值为</w:t>
      </w:r>
      <w:r>
        <w:rPr>
          <w:rFonts w:eastAsia="Times New Roman"/>
          <w:sz w:val="24"/>
          <w:szCs w:val="24"/>
        </w:rPr>
        <w:t>240m</w:t>
      </w:r>
      <w:r>
        <w:rPr>
          <w:rFonts w:eastAsia="Times New Roman"/>
          <w:sz w:val="24"/>
          <w:szCs w:val="24"/>
          <w:vertAlign w:val="superscript"/>
        </w:rPr>
        <w:t>3</w:t>
      </w:r>
      <w:r>
        <w:rPr>
          <w:sz w:val="24"/>
          <w:szCs w:val="24"/>
        </w:rPr>
        <w:t>。甲醇储罐即对应围堰容积见表8.4</w:t>
      </w:r>
      <w:r>
        <w:rPr>
          <w:rFonts w:eastAsia="Times New Roman"/>
          <w:sz w:val="24"/>
          <w:szCs w:val="24"/>
        </w:rPr>
        <w:t>-1</w:t>
      </w:r>
      <w:r>
        <w:rPr>
          <w:sz w:val="24"/>
          <w:szCs w:val="24"/>
        </w:rPr>
        <w:t>。</w:t>
      </w:r>
    </w:p>
    <w:p w14:paraId="2DE8922B">
      <w:pPr>
        <w:spacing w:before="91" w:line="220" w:lineRule="auto"/>
        <w:ind w:left="1494"/>
        <w:rPr>
          <w:sz w:val="24"/>
          <w:szCs w:val="24"/>
        </w:rPr>
      </w:pPr>
      <w:r>
        <w:rPr>
          <w:sz w:val="24"/>
          <w:szCs w:val="24"/>
        </w:rPr>
        <w:t>表8.4</w:t>
      </w:r>
      <w:r>
        <w:rPr>
          <w:rFonts w:eastAsia="Times New Roman"/>
          <w:sz w:val="24"/>
          <w:szCs w:val="24"/>
        </w:rPr>
        <w:t>-1</w:t>
      </w:r>
      <w:r>
        <w:rPr>
          <w:sz w:val="24"/>
          <w:szCs w:val="24"/>
        </w:rPr>
        <w:t>、安徽德邦化工有限公司厂区最大储罐及围堰情况一览表</w:t>
      </w:r>
    </w:p>
    <w:p w14:paraId="1EBBC7D4">
      <w:pPr>
        <w:rPr>
          <w:sz w:val="24"/>
          <w:szCs w:val="24"/>
        </w:rPr>
      </w:pPr>
    </w:p>
    <w:p w14:paraId="56DA2F62">
      <w:pPr>
        <w:spacing w:line="29" w:lineRule="exact"/>
        <w:rPr>
          <w:sz w:val="24"/>
          <w:szCs w:val="24"/>
        </w:rPr>
      </w:pPr>
    </w:p>
    <w:tbl>
      <w:tblPr>
        <w:tblStyle w:val="58"/>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2"/>
        <w:gridCol w:w="1327"/>
        <w:gridCol w:w="1323"/>
        <w:gridCol w:w="1656"/>
        <w:gridCol w:w="1560"/>
        <w:gridCol w:w="1276"/>
        <w:gridCol w:w="820"/>
      </w:tblGrid>
      <w:tr w14:paraId="60DD0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332" w:type="dxa"/>
            <w:vMerge w:val="restart"/>
            <w:tcBorders>
              <w:bottom w:val="nil"/>
            </w:tcBorders>
          </w:tcPr>
          <w:p w14:paraId="33245A98">
            <w:pPr>
              <w:rPr>
                <w:szCs w:val="21"/>
              </w:rPr>
            </w:pPr>
            <w:r>
              <w:rPr>
                <w:spacing w:val="-2"/>
                <w:szCs w:val="21"/>
              </w:rPr>
              <w:t>单元名称</w:t>
            </w:r>
          </w:p>
        </w:tc>
        <w:tc>
          <w:tcPr>
            <w:tcW w:w="4306" w:type="dxa"/>
            <w:gridSpan w:val="3"/>
          </w:tcPr>
          <w:p w14:paraId="19995901">
            <w:pPr>
              <w:spacing w:before="177" w:line="220" w:lineRule="auto"/>
              <w:ind w:left="1881"/>
              <w:rPr>
                <w:szCs w:val="21"/>
              </w:rPr>
            </w:pPr>
            <w:r>
              <w:rPr>
                <w:spacing w:val="-4"/>
                <w:szCs w:val="21"/>
              </w:rPr>
              <w:t>罐</w:t>
            </w:r>
            <w:r>
              <w:rPr>
                <w:spacing w:val="-3"/>
                <w:szCs w:val="21"/>
              </w:rPr>
              <w:t>型</w:t>
            </w:r>
          </w:p>
        </w:tc>
        <w:tc>
          <w:tcPr>
            <w:tcW w:w="2836" w:type="dxa"/>
            <w:gridSpan w:val="2"/>
          </w:tcPr>
          <w:p w14:paraId="77F5A5DE">
            <w:pPr>
              <w:spacing w:before="178" w:line="220" w:lineRule="auto"/>
              <w:ind w:left="891"/>
              <w:rPr>
                <w:szCs w:val="21"/>
              </w:rPr>
            </w:pPr>
            <w:r>
              <w:rPr>
                <w:spacing w:val="-10"/>
                <w:szCs w:val="21"/>
              </w:rPr>
              <w:t>围</w:t>
            </w:r>
            <w:r>
              <w:rPr>
                <w:spacing w:val="-6"/>
                <w:szCs w:val="21"/>
              </w:rPr>
              <w:t>堰设置</w:t>
            </w:r>
          </w:p>
        </w:tc>
        <w:tc>
          <w:tcPr>
            <w:tcW w:w="820" w:type="dxa"/>
            <w:vMerge w:val="restart"/>
            <w:tcBorders>
              <w:bottom w:val="nil"/>
            </w:tcBorders>
          </w:tcPr>
          <w:p w14:paraId="0CD047C9">
            <w:pPr>
              <w:spacing w:line="289" w:lineRule="auto"/>
              <w:rPr>
                <w:szCs w:val="21"/>
              </w:rPr>
            </w:pPr>
          </w:p>
          <w:p w14:paraId="6BD276C0">
            <w:pPr>
              <w:spacing w:before="91" w:line="221" w:lineRule="auto"/>
              <w:ind w:left="145"/>
              <w:rPr>
                <w:szCs w:val="21"/>
              </w:rPr>
            </w:pPr>
            <w:r>
              <w:rPr>
                <w:spacing w:val="-5"/>
                <w:szCs w:val="21"/>
              </w:rPr>
              <w:t>备</w:t>
            </w:r>
            <w:r>
              <w:rPr>
                <w:spacing w:val="-3"/>
                <w:szCs w:val="21"/>
              </w:rPr>
              <w:t>注</w:t>
            </w:r>
          </w:p>
        </w:tc>
      </w:tr>
      <w:tr w14:paraId="0E77C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332" w:type="dxa"/>
            <w:vMerge w:val="continue"/>
            <w:tcBorders>
              <w:top w:val="nil"/>
            </w:tcBorders>
          </w:tcPr>
          <w:p w14:paraId="0DF35026">
            <w:pPr>
              <w:rPr>
                <w:szCs w:val="21"/>
              </w:rPr>
            </w:pPr>
          </w:p>
        </w:tc>
        <w:tc>
          <w:tcPr>
            <w:tcW w:w="1327" w:type="dxa"/>
          </w:tcPr>
          <w:p w14:paraId="271BF67A">
            <w:pPr>
              <w:spacing w:before="84" w:line="220" w:lineRule="auto"/>
              <w:ind w:left="227"/>
              <w:rPr>
                <w:szCs w:val="21"/>
              </w:rPr>
            </w:pPr>
            <w:r>
              <w:rPr>
                <w:spacing w:val="-2"/>
                <w:szCs w:val="21"/>
              </w:rPr>
              <w:t>储罐</w:t>
            </w:r>
            <w:r>
              <w:rPr>
                <w:spacing w:val="-1"/>
                <w:szCs w:val="21"/>
              </w:rPr>
              <w:t>名称</w:t>
            </w:r>
          </w:p>
        </w:tc>
        <w:tc>
          <w:tcPr>
            <w:tcW w:w="1323" w:type="dxa"/>
          </w:tcPr>
          <w:p w14:paraId="4A958BD0">
            <w:pPr>
              <w:spacing w:before="84" w:line="220" w:lineRule="auto"/>
              <w:ind w:left="449"/>
              <w:rPr>
                <w:szCs w:val="21"/>
              </w:rPr>
            </w:pPr>
            <w:r>
              <w:rPr>
                <w:spacing w:val="-3"/>
                <w:szCs w:val="21"/>
              </w:rPr>
              <w:t>类</w:t>
            </w:r>
            <w:r>
              <w:rPr>
                <w:spacing w:val="-2"/>
                <w:szCs w:val="21"/>
              </w:rPr>
              <w:t>型</w:t>
            </w:r>
          </w:p>
        </w:tc>
        <w:tc>
          <w:tcPr>
            <w:tcW w:w="1656" w:type="dxa"/>
          </w:tcPr>
          <w:p w14:paraId="2279B69B">
            <w:pPr>
              <w:spacing w:before="85" w:line="234" w:lineRule="auto"/>
              <w:ind w:left="277"/>
              <w:rPr>
                <w:szCs w:val="21"/>
              </w:rPr>
            </w:pPr>
            <w:r>
              <w:rPr>
                <w:spacing w:val="18"/>
                <w:szCs w:val="21"/>
              </w:rPr>
              <w:t>容</w:t>
            </w:r>
            <w:r>
              <w:rPr>
                <w:spacing w:val="16"/>
                <w:szCs w:val="21"/>
              </w:rPr>
              <w:t>积(</w:t>
            </w:r>
            <w:r>
              <w:rPr>
                <w:rFonts w:eastAsia="Times New Roman"/>
                <w:szCs w:val="21"/>
              </w:rPr>
              <w:t>m</w:t>
            </w:r>
            <w:r>
              <w:rPr>
                <w:rFonts w:eastAsia="Times New Roman"/>
                <w:spacing w:val="16"/>
                <w:position w:val="6"/>
                <w:szCs w:val="21"/>
              </w:rPr>
              <w:t>3</w:t>
            </w:r>
            <w:r>
              <w:rPr>
                <w:spacing w:val="16"/>
                <w:szCs w:val="21"/>
              </w:rPr>
              <w:t>)</w:t>
            </w:r>
          </w:p>
        </w:tc>
        <w:tc>
          <w:tcPr>
            <w:tcW w:w="1560" w:type="dxa"/>
          </w:tcPr>
          <w:p w14:paraId="6D9E6C76">
            <w:pPr>
              <w:spacing w:before="84" w:line="233" w:lineRule="auto"/>
              <w:ind w:left="258"/>
              <w:rPr>
                <w:szCs w:val="21"/>
              </w:rPr>
            </w:pPr>
            <w:r>
              <w:rPr>
                <w:spacing w:val="27"/>
                <w:szCs w:val="21"/>
              </w:rPr>
              <w:t>尺</w:t>
            </w:r>
            <w:r>
              <w:rPr>
                <w:spacing w:val="25"/>
                <w:szCs w:val="21"/>
              </w:rPr>
              <w:t>寸(</w:t>
            </w:r>
            <w:r>
              <w:rPr>
                <w:rFonts w:eastAsia="Times New Roman"/>
                <w:szCs w:val="21"/>
              </w:rPr>
              <w:t>m</w:t>
            </w:r>
            <w:r>
              <w:rPr>
                <w:spacing w:val="25"/>
                <w:szCs w:val="21"/>
              </w:rPr>
              <w:t>)</w:t>
            </w:r>
          </w:p>
        </w:tc>
        <w:tc>
          <w:tcPr>
            <w:tcW w:w="1276" w:type="dxa"/>
          </w:tcPr>
          <w:p w14:paraId="2B60F93B">
            <w:pPr>
              <w:spacing w:before="85" w:line="234" w:lineRule="auto"/>
              <w:ind w:left="118"/>
              <w:rPr>
                <w:szCs w:val="21"/>
              </w:rPr>
            </w:pPr>
            <w:r>
              <w:rPr>
                <w:spacing w:val="18"/>
                <w:szCs w:val="21"/>
              </w:rPr>
              <w:t>容</w:t>
            </w:r>
            <w:r>
              <w:rPr>
                <w:spacing w:val="16"/>
                <w:szCs w:val="21"/>
              </w:rPr>
              <w:t>积(</w:t>
            </w:r>
            <w:r>
              <w:rPr>
                <w:rFonts w:eastAsia="Times New Roman"/>
                <w:szCs w:val="21"/>
              </w:rPr>
              <w:t>m</w:t>
            </w:r>
            <w:r>
              <w:rPr>
                <w:rFonts w:eastAsia="Times New Roman"/>
                <w:spacing w:val="16"/>
                <w:position w:val="6"/>
                <w:szCs w:val="21"/>
              </w:rPr>
              <w:t>3</w:t>
            </w:r>
            <w:r>
              <w:rPr>
                <w:spacing w:val="16"/>
                <w:szCs w:val="21"/>
              </w:rPr>
              <w:t>)</w:t>
            </w:r>
          </w:p>
        </w:tc>
        <w:tc>
          <w:tcPr>
            <w:tcW w:w="820" w:type="dxa"/>
            <w:vMerge w:val="continue"/>
            <w:tcBorders>
              <w:top w:val="nil"/>
            </w:tcBorders>
          </w:tcPr>
          <w:p w14:paraId="39BF0E0A">
            <w:pPr>
              <w:rPr>
                <w:szCs w:val="21"/>
              </w:rPr>
            </w:pPr>
          </w:p>
        </w:tc>
      </w:tr>
      <w:tr w14:paraId="12426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1332" w:type="dxa"/>
          </w:tcPr>
          <w:p w14:paraId="1479EABF">
            <w:pPr>
              <w:spacing w:before="121" w:line="262" w:lineRule="auto"/>
              <w:ind w:left="557" w:right="116" w:hanging="435"/>
              <w:rPr>
                <w:szCs w:val="21"/>
              </w:rPr>
            </w:pPr>
            <w:r>
              <w:rPr>
                <w:spacing w:val="-4"/>
                <w:szCs w:val="21"/>
              </w:rPr>
              <w:t>溶</w:t>
            </w:r>
            <w:r>
              <w:rPr>
                <w:spacing w:val="-2"/>
                <w:szCs w:val="21"/>
              </w:rPr>
              <w:t>糖车间西</w:t>
            </w:r>
            <w:r>
              <w:rPr>
                <w:szCs w:val="21"/>
              </w:rPr>
              <w:t xml:space="preserve"> 侧</w:t>
            </w:r>
          </w:p>
        </w:tc>
        <w:tc>
          <w:tcPr>
            <w:tcW w:w="1327" w:type="dxa"/>
          </w:tcPr>
          <w:p w14:paraId="3D806DA7">
            <w:pPr>
              <w:spacing w:before="300" w:line="220" w:lineRule="auto"/>
              <w:ind w:left="256"/>
              <w:rPr>
                <w:szCs w:val="21"/>
              </w:rPr>
            </w:pPr>
            <w:r>
              <w:rPr>
                <w:spacing w:val="-7"/>
                <w:szCs w:val="21"/>
              </w:rPr>
              <w:t>甲醇储罐</w:t>
            </w:r>
          </w:p>
        </w:tc>
        <w:tc>
          <w:tcPr>
            <w:tcW w:w="1323" w:type="dxa"/>
          </w:tcPr>
          <w:p w14:paraId="3FEDB24A">
            <w:pPr>
              <w:spacing w:before="300" w:line="220" w:lineRule="auto"/>
              <w:ind w:left="117"/>
              <w:rPr>
                <w:szCs w:val="21"/>
              </w:rPr>
            </w:pPr>
            <w:r>
              <w:rPr>
                <w:spacing w:val="-2"/>
                <w:szCs w:val="21"/>
              </w:rPr>
              <w:t>立式</w:t>
            </w:r>
            <w:r>
              <w:rPr>
                <w:spacing w:val="-1"/>
                <w:szCs w:val="21"/>
              </w:rPr>
              <w:t>浮顶罐</w:t>
            </w:r>
          </w:p>
        </w:tc>
        <w:tc>
          <w:tcPr>
            <w:tcW w:w="1656" w:type="dxa"/>
          </w:tcPr>
          <w:p w14:paraId="1DF52518">
            <w:pPr>
              <w:rPr>
                <w:rFonts w:eastAsia="Times New Roman"/>
                <w:spacing w:val="-4"/>
                <w:szCs w:val="21"/>
              </w:rPr>
            </w:pPr>
            <w:r>
              <w:rPr>
                <w:rFonts w:eastAsia="Times New Roman"/>
                <w:spacing w:val="-8"/>
                <w:szCs w:val="21"/>
              </w:rPr>
              <w:t>1</w:t>
            </w:r>
            <w:r>
              <w:rPr>
                <w:rFonts w:eastAsia="Times New Roman"/>
                <w:spacing w:val="-4"/>
                <w:szCs w:val="21"/>
              </w:rPr>
              <w:t>×300</w:t>
            </w:r>
          </w:p>
          <w:p w14:paraId="47225C7C">
            <w:pPr>
              <w:rPr>
                <w:rFonts w:eastAsia="Times New Roman"/>
                <w:szCs w:val="21"/>
              </w:rPr>
            </w:pPr>
            <w:r>
              <w:rPr>
                <w:spacing w:val="-10"/>
                <w:szCs w:val="21"/>
              </w:rPr>
              <w:t>储</w:t>
            </w:r>
            <w:r>
              <w:rPr>
                <w:spacing w:val="-7"/>
                <w:szCs w:val="21"/>
              </w:rPr>
              <w:t>存系数</w:t>
            </w:r>
            <w:r>
              <w:rPr>
                <w:rFonts w:eastAsia="Times New Roman"/>
                <w:spacing w:val="-7"/>
                <w:szCs w:val="21"/>
              </w:rPr>
              <w:t>0.8</w:t>
            </w:r>
          </w:p>
        </w:tc>
        <w:tc>
          <w:tcPr>
            <w:tcW w:w="1560" w:type="dxa"/>
          </w:tcPr>
          <w:p w14:paraId="50E2D0FB">
            <w:pPr>
              <w:spacing w:line="360" w:lineRule="auto"/>
              <w:rPr>
                <w:rFonts w:eastAsia="Times New Roman"/>
                <w:szCs w:val="21"/>
              </w:rPr>
            </w:pPr>
            <w:r>
              <w:rPr>
                <w:rFonts w:eastAsia="Times New Roman"/>
                <w:spacing w:val="-1"/>
                <w:szCs w:val="21"/>
              </w:rPr>
              <w:t>4</w:t>
            </w:r>
            <w:r>
              <w:rPr>
                <w:rFonts w:eastAsia="Times New Roman"/>
                <w:szCs w:val="21"/>
              </w:rPr>
              <w:t>2×16×0.9</w:t>
            </w:r>
          </w:p>
        </w:tc>
        <w:tc>
          <w:tcPr>
            <w:tcW w:w="1276" w:type="dxa"/>
          </w:tcPr>
          <w:p w14:paraId="66132A8C">
            <w:pPr>
              <w:rPr>
                <w:rFonts w:eastAsia="Times New Roman"/>
                <w:szCs w:val="21"/>
              </w:rPr>
            </w:pPr>
            <w:r>
              <w:rPr>
                <w:rFonts w:eastAsia="Times New Roman"/>
                <w:spacing w:val="-2"/>
                <w:szCs w:val="21"/>
              </w:rPr>
              <w:t>604</w:t>
            </w:r>
            <w:r>
              <w:rPr>
                <w:rFonts w:eastAsia="Times New Roman"/>
                <w:spacing w:val="-1"/>
                <w:szCs w:val="21"/>
              </w:rPr>
              <w:t>.8</w:t>
            </w:r>
          </w:p>
        </w:tc>
        <w:tc>
          <w:tcPr>
            <w:tcW w:w="820" w:type="dxa"/>
          </w:tcPr>
          <w:p w14:paraId="0BF2DFB5">
            <w:pPr>
              <w:spacing w:line="272" w:lineRule="auto"/>
              <w:rPr>
                <w:szCs w:val="21"/>
              </w:rPr>
            </w:pPr>
          </w:p>
          <w:p w14:paraId="2BEFD32C">
            <w:pPr>
              <w:spacing w:before="63" w:line="232" w:lineRule="auto"/>
              <w:ind w:left="379"/>
              <w:rPr>
                <w:rFonts w:eastAsia="Times New Roman"/>
                <w:szCs w:val="21"/>
              </w:rPr>
            </w:pPr>
            <w:r>
              <w:rPr>
                <w:rFonts w:eastAsia="Times New Roman"/>
                <w:szCs w:val="21"/>
              </w:rPr>
              <w:t>/</w:t>
            </w:r>
          </w:p>
        </w:tc>
      </w:tr>
    </w:tbl>
    <w:p w14:paraId="150AB001">
      <w:pPr>
        <w:spacing w:line="360" w:lineRule="auto"/>
        <w:ind w:firstLine="612" w:firstLineChars="200"/>
        <w:rPr>
          <w:sz w:val="24"/>
          <w:szCs w:val="24"/>
        </w:rPr>
      </w:pPr>
      <w:r>
        <w:rPr>
          <w:spacing w:val="33"/>
          <w:sz w:val="24"/>
          <w:szCs w:val="24"/>
        </w:rPr>
        <w:t>(</w:t>
      </w:r>
      <w:r>
        <w:rPr>
          <w:rFonts w:eastAsia="Times New Roman"/>
          <w:spacing w:val="30"/>
          <w:sz w:val="24"/>
          <w:szCs w:val="24"/>
        </w:rPr>
        <w:t>2</w:t>
      </w:r>
      <w:r>
        <w:rPr>
          <w:spacing w:val="30"/>
          <w:sz w:val="24"/>
          <w:szCs w:val="24"/>
        </w:rPr>
        <w:t>)消防废水(</w:t>
      </w:r>
      <w:r>
        <w:rPr>
          <w:rFonts w:eastAsia="Times New Roman"/>
          <w:sz w:val="24"/>
          <w:szCs w:val="24"/>
        </w:rPr>
        <w:t>V</w:t>
      </w:r>
      <w:r>
        <w:rPr>
          <w:rFonts w:eastAsia="Times New Roman"/>
          <w:spacing w:val="30"/>
          <w:position w:val="-3"/>
          <w:sz w:val="24"/>
          <w:szCs w:val="24"/>
        </w:rPr>
        <w:t>2</w:t>
      </w:r>
      <w:r>
        <w:rPr>
          <w:spacing w:val="30"/>
          <w:sz w:val="24"/>
          <w:szCs w:val="24"/>
        </w:rPr>
        <w:t>)</w:t>
      </w:r>
    </w:p>
    <w:p w14:paraId="2DEDC32B">
      <w:pPr>
        <w:spacing w:line="360" w:lineRule="auto"/>
        <w:ind w:firstLine="432" w:firstLineChars="200"/>
        <w:rPr>
          <w:sz w:val="24"/>
          <w:szCs w:val="24"/>
        </w:rPr>
      </w:pPr>
      <w:r>
        <w:rPr>
          <w:spacing w:val="-12"/>
          <w:sz w:val="24"/>
          <w:szCs w:val="24"/>
        </w:rPr>
        <w:t>安徽</w:t>
      </w:r>
      <w:r>
        <w:rPr>
          <w:spacing w:val="-11"/>
          <w:sz w:val="24"/>
          <w:szCs w:val="24"/>
        </w:rPr>
        <w:t>德</w:t>
      </w:r>
      <w:r>
        <w:rPr>
          <w:spacing w:val="-6"/>
          <w:sz w:val="24"/>
          <w:szCs w:val="24"/>
        </w:rPr>
        <w:t>邦化工有限公司占地面积总计约为</w:t>
      </w:r>
      <w:r>
        <w:rPr>
          <w:rFonts w:eastAsia="Times New Roman"/>
          <w:spacing w:val="-6"/>
          <w:sz w:val="24"/>
          <w:szCs w:val="24"/>
        </w:rPr>
        <w:t>13hm</w:t>
      </w:r>
      <w:r>
        <w:rPr>
          <w:spacing w:val="-6"/>
          <w:sz w:val="24"/>
          <w:szCs w:val="24"/>
          <w:vertAlign w:val="superscript"/>
        </w:rPr>
        <w:t>2</w:t>
      </w:r>
      <w:r>
        <w:rPr>
          <w:spacing w:val="-6"/>
          <w:sz w:val="24"/>
          <w:szCs w:val="24"/>
        </w:rPr>
        <w:t>。根据《石油化工企业</w:t>
      </w:r>
      <w:r>
        <w:rPr>
          <w:spacing w:val="16"/>
          <w:sz w:val="24"/>
          <w:szCs w:val="24"/>
        </w:rPr>
        <w:t>设计防</w:t>
      </w:r>
      <w:r>
        <w:rPr>
          <w:spacing w:val="9"/>
          <w:sz w:val="24"/>
          <w:szCs w:val="24"/>
        </w:rPr>
        <w:t>火</w:t>
      </w:r>
      <w:r>
        <w:rPr>
          <w:spacing w:val="8"/>
          <w:sz w:val="24"/>
          <w:szCs w:val="24"/>
        </w:rPr>
        <w:t>规范》(</w:t>
      </w:r>
      <w:r>
        <w:rPr>
          <w:rFonts w:eastAsia="Times New Roman"/>
          <w:sz w:val="24"/>
          <w:szCs w:val="24"/>
        </w:rPr>
        <w:t>GB</w:t>
      </w:r>
      <w:r>
        <w:rPr>
          <w:rFonts w:eastAsia="Times New Roman"/>
          <w:spacing w:val="8"/>
          <w:sz w:val="24"/>
          <w:szCs w:val="24"/>
        </w:rPr>
        <w:t>50160-2008</w:t>
      </w:r>
      <w:r>
        <w:rPr>
          <w:spacing w:val="8"/>
          <w:sz w:val="24"/>
          <w:szCs w:val="24"/>
        </w:rPr>
        <w:t>)中的相关要求，本项目消防废水产生量</w:t>
      </w:r>
      <w:r>
        <w:rPr>
          <w:spacing w:val="-11"/>
          <w:sz w:val="24"/>
          <w:szCs w:val="24"/>
        </w:rPr>
        <w:t>估</w:t>
      </w:r>
      <w:r>
        <w:rPr>
          <w:spacing w:val="-9"/>
          <w:sz w:val="24"/>
          <w:szCs w:val="24"/>
        </w:rPr>
        <w:t>算原则如下：</w:t>
      </w:r>
    </w:p>
    <w:p w14:paraId="5263DA17">
      <w:pPr>
        <w:spacing w:line="360" w:lineRule="auto"/>
        <w:ind w:firstLine="416" w:firstLineChars="200"/>
        <w:rPr>
          <w:sz w:val="24"/>
          <w:szCs w:val="24"/>
        </w:rPr>
      </w:pPr>
      <w:r>
        <w:rPr>
          <w:spacing w:val="-16"/>
          <w:sz w:val="24"/>
          <w:szCs w:val="24"/>
        </w:rPr>
        <w:t>厂内</w:t>
      </w:r>
      <w:r>
        <w:rPr>
          <w:spacing w:val="-11"/>
          <w:sz w:val="24"/>
          <w:szCs w:val="24"/>
        </w:rPr>
        <w:t>同</w:t>
      </w:r>
      <w:r>
        <w:rPr>
          <w:spacing w:val="-8"/>
          <w:sz w:val="24"/>
          <w:szCs w:val="24"/>
        </w:rPr>
        <w:t>一时间内的火灾次数按</w:t>
      </w:r>
      <w:r>
        <w:rPr>
          <w:rFonts w:eastAsia="Times New Roman"/>
          <w:spacing w:val="-8"/>
          <w:sz w:val="24"/>
          <w:szCs w:val="24"/>
        </w:rPr>
        <w:t>1</w:t>
      </w:r>
      <w:r>
        <w:rPr>
          <w:spacing w:val="-8"/>
          <w:sz w:val="24"/>
          <w:szCs w:val="24"/>
        </w:rPr>
        <w:t>次考虑，考虑厂区消防用水量最大处。</w:t>
      </w:r>
      <w:r>
        <w:rPr>
          <w:spacing w:val="-12"/>
          <w:sz w:val="24"/>
          <w:szCs w:val="24"/>
        </w:rPr>
        <w:t>根据</w:t>
      </w:r>
      <w:r>
        <w:rPr>
          <w:spacing w:val="-6"/>
          <w:sz w:val="24"/>
          <w:szCs w:val="24"/>
        </w:rPr>
        <w:t>设计方案，安徽德邦化工有限公司厂区消防用水最大量考虑甲醇罐区。</w:t>
      </w:r>
      <w:r>
        <w:rPr>
          <w:spacing w:val="-20"/>
          <w:sz w:val="24"/>
          <w:szCs w:val="24"/>
        </w:rPr>
        <w:t>根</w:t>
      </w:r>
      <w:r>
        <w:rPr>
          <w:spacing w:val="-15"/>
          <w:sz w:val="24"/>
          <w:szCs w:val="24"/>
        </w:rPr>
        <w:t>据</w:t>
      </w:r>
      <w:r>
        <w:rPr>
          <w:spacing w:val="-10"/>
          <w:sz w:val="24"/>
          <w:szCs w:val="24"/>
        </w:rPr>
        <w:t>设计方案，事故状况下，发生火灾消防冷却水量为</w:t>
      </w:r>
      <w:r>
        <w:rPr>
          <w:rFonts w:eastAsia="Times New Roman"/>
          <w:spacing w:val="-10"/>
          <w:sz w:val="24"/>
          <w:szCs w:val="24"/>
        </w:rPr>
        <w:t>30L/s</w:t>
      </w:r>
      <w:r>
        <w:rPr>
          <w:spacing w:val="-10"/>
          <w:sz w:val="24"/>
          <w:szCs w:val="24"/>
        </w:rPr>
        <w:t>，火灾延续时</w:t>
      </w:r>
      <w:r>
        <w:rPr>
          <w:spacing w:val="-5"/>
          <w:sz w:val="24"/>
          <w:szCs w:val="24"/>
        </w:rPr>
        <w:t>间按</w:t>
      </w:r>
      <w:r>
        <w:rPr>
          <w:rFonts w:eastAsia="Times New Roman"/>
          <w:spacing w:val="-5"/>
          <w:sz w:val="24"/>
          <w:szCs w:val="24"/>
        </w:rPr>
        <w:t>3h</w:t>
      </w:r>
      <w:r>
        <w:rPr>
          <w:spacing w:val="-5"/>
          <w:sz w:val="24"/>
          <w:szCs w:val="24"/>
        </w:rPr>
        <w:t>考虑，厂内合计一次最大消防用水量为</w:t>
      </w:r>
      <w:r>
        <w:rPr>
          <w:rFonts w:eastAsia="Times New Roman"/>
          <w:spacing w:val="-5"/>
          <w:sz w:val="24"/>
          <w:szCs w:val="24"/>
        </w:rPr>
        <w:t>324</w:t>
      </w:r>
      <w:r>
        <w:rPr>
          <w:rFonts w:eastAsia="Times New Roman"/>
          <w:spacing w:val="-4"/>
          <w:sz w:val="24"/>
          <w:szCs w:val="24"/>
        </w:rPr>
        <w:t>m</w:t>
      </w:r>
      <w:r>
        <w:rPr>
          <w:spacing w:val="-4"/>
          <w:sz w:val="24"/>
          <w:szCs w:val="24"/>
          <w:vertAlign w:val="superscript"/>
        </w:rPr>
        <w:t>3</w:t>
      </w:r>
      <w:r>
        <w:rPr>
          <w:spacing w:val="-5"/>
          <w:sz w:val="24"/>
          <w:szCs w:val="24"/>
        </w:rPr>
        <w:t>。</w:t>
      </w:r>
    </w:p>
    <w:p w14:paraId="64085724">
      <w:pPr>
        <w:spacing w:line="360" w:lineRule="auto"/>
        <w:ind w:firstLine="576" w:firstLineChars="200"/>
        <w:rPr>
          <w:sz w:val="24"/>
          <w:szCs w:val="24"/>
        </w:rPr>
      </w:pPr>
      <w:r>
        <w:rPr>
          <w:spacing w:val="24"/>
          <w:sz w:val="24"/>
          <w:szCs w:val="24"/>
        </w:rPr>
        <w:t>(</w:t>
      </w:r>
      <w:r>
        <w:rPr>
          <w:rFonts w:eastAsia="Times New Roman"/>
          <w:spacing w:val="22"/>
          <w:sz w:val="24"/>
          <w:szCs w:val="24"/>
        </w:rPr>
        <w:t>3</w:t>
      </w:r>
      <w:r>
        <w:rPr>
          <w:spacing w:val="22"/>
          <w:sz w:val="24"/>
          <w:szCs w:val="24"/>
        </w:rPr>
        <w:t>)其他设施储存量(</w:t>
      </w:r>
      <w:r>
        <w:rPr>
          <w:rFonts w:eastAsia="Times New Roman"/>
          <w:sz w:val="24"/>
          <w:szCs w:val="24"/>
        </w:rPr>
        <w:t>V</w:t>
      </w:r>
      <w:r>
        <w:rPr>
          <w:rFonts w:eastAsia="Times New Roman"/>
          <w:spacing w:val="22"/>
          <w:position w:val="-3"/>
          <w:sz w:val="24"/>
          <w:szCs w:val="24"/>
        </w:rPr>
        <w:t>3</w:t>
      </w:r>
      <w:r>
        <w:rPr>
          <w:spacing w:val="22"/>
          <w:sz w:val="24"/>
          <w:szCs w:val="24"/>
        </w:rPr>
        <w:t>)</w:t>
      </w:r>
    </w:p>
    <w:p w14:paraId="0E7D3A77">
      <w:pPr>
        <w:spacing w:line="360" w:lineRule="auto"/>
        <w:ind w:firstLine="480" w:firstLineChars="200"/>
        <w:rPr>
          <w:sz w:val="24"/>
          <w:szCs w:val="24"/>
        </w:rPr>
      </w:pPr>
      <w:r>
        <w:rPr>
          <w:sz w:val="24"/>
          <w:szCs w:val="24"/>
        </w:rPr>
        <w:t>安徽德邦化工有限公司甲醇储罐单体，发生一般事故时，围堰内容积能够作为消防事故污水的暂时应急缓冲池，甲醇储罐设置围堰为</w:t>
      </w:r>
      <w:r>
        <w:rPr>
          <w:rFonts w:eastAsia="Times New Roman"/>
          <w:sz w:val="24"/>
          <w:szCs w:val="24"/>
        </w:rPr>
        <w:t>42m×16m×0.9m</w:t>
      </w:r>
      <w:r>
        <w:rPr>
          <w:sz w:val="24"/>
          <w:szCs w:val="24"/>
        </w:rPr>
        <w:t>，因此，</w:t>
      </w:r>
      <w:r>
        <w:rPr>
          <w:rFonts w:eastAsia="Times New Roman"/>
          <w:sz w:val="24"/>
          <w:szCs w:val="24"/>
        </w:rPr>
        <w:t>V3</w:t>
      </w:r>
      <w:r>
        <w:rPr>
          <w:sz w:val="24"/>
          <w:szCs w:val="24"/>
        </w:rPr>
        <w:t>取</w:t>
      </w:r>
      <w:r>
        <w:rPr>
          <w:rFonts w:eastAsia="Times New Roman"/>
          <w:sz w:val="24"/>
          <w:szCs w:val="24"/>
        </w:rPr>
        <w:t>604.8m3</w:t>
      </w:r>
      <w:r>
        <w:rPr>
          <w:sz w:val="24"/>
          <w:szCs w:val="24"/>
        </w:rPr>
        <w:t>。</w:t>
      </w:r>
    </w:p>
    <w:p w14:paraId="3E243132">
      <w:pPr>
        <w:spacing w:line="360" w:lineRule="auto"/>
        <w:ind w:firstLine="480" w:firstLineChars="200"/>
        <w:rPr>
          <w:sz w:val="24"/>
          <w:szCs w:val="24"/>
        </w:rPr>
      </w:pPr>
      <w:r>
        <w:rPr>
          <w:sz w:val="24"/>
          <w:szCs w:val="24"/>
        </w:rPr>
        <w:t>(</w:t>
      </w:r>
      <w:r>
        <w:rPr>
          <w:rFonts w:eastAsia="Times New Roman"/>
          <w:sz w:val="24"/>
          <w:szCs w:val="24"/>
        </w:rPr>
        <w:t>4</w:t>
      </w:r>
      <w:r>
        <w:rPr>
          <w:sz w:val="24"/>
          <w:szCs w:val="24"/>
        </w:rPr>
        <w:t>)生产废水(</w:t>
      </w:r>
      <w:r>
        <w:rPr>
          <w:rFonts w:eastAsia="Times New Roman"/>
          <w:sz w:val="24"/>
          <w:szCs w:val="24"/>
        </w:rPr>
        <w:t>V4</w:t>
      </w:r>
      <w:r>
        <w:rPr>
          <w:sz w:val="24"/>
          <w:szCs w:val="24"/>
        </w:rPr>
        <w:t>)</w:t>
      </w:r>
    </w:p>
    <w:p w14:paraId="7EE63A6B">
      <w:pPr>
        <w:spacing w:line="360" w:lineRule="auto"/>
        <w:ind w:firstLine="480" w:firstLineChars="200"/>
        <w:rPr>
          <w:sz w:val="24"/>
          <w:szCs w:val="24"/>
        </w:rPr>
      </w:pPr>
      <w:r>
        <w:rPr>
          <w:sz w:val="24"/>
          <w:szCs w:val="24"/>
        </w:rPr>
        <w:t>安徽德邦化工有限公司事故状况下一般会立即停止生产，此时产生的生产污水量为</w:t>
      </w:r>
      <w:r>
        <w:rPr>
          <w:rFonts w:eastAsia="Times New Roman"/>
          <w:sz w:val="24"/>
          <w:szCs w:val="24"/>
        </w:rPr>
        <w:t>0</w:t>
      </w:r>
      <w:r>
        <w:rPr>
          <w:sz w:val="24"/>
          <w:szCs w:val="24"/>
        </w:rPr>
        <w:t>。</w:t>
      </w:r>
    </w:p>
    <w:p w14:paraId="66EDE518">
      <w:pPr>
        <w:spacing w:line="360" w:lineRule="auto"/>
        <w:ind w:firstLine="480" w:firstLineChars="200"/>
        <w:rPr>
          <w:sz w:val="24"/>
          <w:szCs w:val="24"/>
        </w:rPr>
      </w:pPr>
      <w:r>
        <w:rPr>
          <w:sz w:val="24"/>
          <w:szCs w:val="24"/>
        </w:rPr>
        <w:t>(</w:t>
      </w:r>
      <w:r>
        <w:rPr>
          <w:rFonts w:eastAsia="Times New Roman"/>
          <w:sz w:val="24"/>
          <w:szCs w:val="24"/>
        </w:rPr>
        <w:t>5</w:t>
      </w:r>
      <w:r>
        <w:rPr>
          <w:sz w:val="24"/>
          <w:szCs w:val="24"/>
        </w:rPr>
        <w:t>)事故雨水(</w:t>
      </w:r>
      <w:r>
        <w:rPr>
          <w:rFonts w:eastAsia="Times New Roman"/>
          <w:i/>
          <w:iCs/>
          <w:sz w:val="24"/>
          <w:szCs w:val="24"/>
        </w:rPr>
        <w:t>V</w:t>
      </w:r>
      <w:r>
        <w:rPr>
          <w:rFonts w:eastAsia="Times New Roman"/>
          <w:sz w:val="24"/>
          <w:szCs w:val="24"/>
        </w:rPr>
        <w:t>5</w:t>
      </w:r>
      <w:r>
        <w:rPr>
          <w:sz w:val="24"/>
          <w:szCs w:val="24"/>
        </w:rPr>
        <w:t>)</w:t>
      </w:r>
    </w:p>
    <w:p w14:paraId="50E90E4A">
      <w:pPr>
        <w:spacing w:line="360" w:lineRule="auto"/>
        <w:ind w:firstLine="480" w:firstLineChars="200"/>
        <w:rPr>
          <w:sz w:val="24"/>
          <w:szCs w:val="24"/>
        </w:rPr>
      </w:pPr>
      <w:r>
        <w:rPr>
          <w:sz w:val="24"/>
          <w:szCs w:val="24"/>
        </w:rPr>
        <w:t>初期雨水产生强度按照当地的暴雨强度进行估算，对区域初期雨水产生强度进行估算，其计算公式如下：根据《室外排水设计规范》</w:t>
      </w:r>
    </w:p>
    <w:p w14:paraId="59DE6783">
      <w:pPr>
        <w:spacing w:line="360" w:lineRule="auto"/>
        <w:ind w:firstLine="480" w:firstLineChars="200"/>
        <w:rPr>
          <w:sz w:val="24"/>
          <w:szCs w:val="24"/>
        </w:rPr>
      </w:pPr>
      <w:r>
        <w:rPr>
          <w:sz w:val="24"/>
          <w:szCs w:val="24"/>
        </w:rPr>
        <w:t>(</w:t>
      </w:r>
      <w:r>
        <w:rPr>
          <w:rFonts w:eastAsia="Times New Roman"/>
          <w:sz w:val="24"/>
          <w:szCs w:val="24"/>
        </w:rPr>
        <w:t>GB50014—2006</w:t>
      </w:r>
      <w:r>
        <w:rPr>
          <w:sz w:val="24"/>
          <w:szCs w:val="24"/>
        </w:rPr>
        <w:t>，</w:t>
      </w:r>
      <w:r>
        <w:rPr>
          <w:rFonts w:eastAsia="Times New Roman"/>
          <w:sz w:val="24"/>
          <w:szCs w:val="24"/>
        </w:rPr>
        <w:t>2014</w:t>
      </w:r>
      <w:r>
        <w:rPr>
          <w:sz w:val="24"/>
          <w:szCs w:val="24"/>
        </w:rPr>
        <w:t>修订版)可知，厂区初期雨水收集量应按下列公式计算：</w:t>
      </w:r>
    </w:p>
    <w:p w14:paraId="51FB924D">
      <w:pPr>
        <w:spacing w:line="360" w:lineRule="auto"/>
        <w:ind w:firstLine="480" w:firstLineChars="200"/>
        <w:rPr>
          <w:rFonts w:eastAsia="Times New Roman"/>
          <w:sz w:val="24"/>
          <w:szCs w:val="24"/>
        </w:rPr>
      </w:pPr>
      <w:r>
        <w:rPr>
          <w:rFonts w:eastAsia="Times New Roman"/>
          <w:sz w:val="24"/>
          <w:szCs w:val="24"/>
        </w:rPr>
        <w:t>V5=qΨFt</w:t>
      </w:r>
    </w:p>
    <w:p w14:paraId="32515F00">
      <w:pPr>
        <w:spacing w:line="360" w:lineRule="auto"/>
        <w:ind w:firstLine="480" w:firstLineChars="200"/>
        <w:rPr>
          <w:sz w:val="24"/>
          <w:szCs w:val="24"/>
        </w:rPr>
      </w:pPr>
      <w:r>
        <w:rPr>
          <w:sz w:val="24"/>
          <w:szCs w:val="24"/>
        </w:rPr>
        <w:t xml:space="preserve">式中： </w:t>
      </w:r>
      <w:r>
        <w:rPr>
          <w:rFonts w:eastAsia="Times New Roman"/>
          <w:sz w:val="24"/>
          <w:szCs w:val="24"/>
        </w:rPr>
        <w:t>Q</w:t>
      </w:r>
      <w:r>
        <w:rPr>
          <w:sz w:val="24"/>
          <w:szCs w:val="24"/>
        </w:rPr>
        <w:t>－雨水设计流量(</w:t>
      </w:r>
      <w:r>
        <w:rPr>
          <w:rFonts w:eastAsia="Times New Roman"/>
          <w:sz w:val="24"/>
          <w:szCs w:val="24"/>
        </w:rPr>
        <w:t>L</w:t>
      </w:r>
      <w:r>
        <w:rPr>
          <w:sz w:val="24"/>
          <w:szCs w:val="24"/>
        </w:rPr>
        <w:t>)；</w:t>
      </w:r>
    </w:p>
    <w:p w14:paraId="17A70BC3">
      <w:pPr>
        <w:spacing w:line="360" w:lineRule="auto"/>
        <w:ind w:firstLine="480" w:firstLineChars="200"/>
        <w:rPr>
          <w:sz w:val="24"/>
          <w:szCs w:val="24"/>
        </w:rPr>
      </w:pPr>
      <w:r>
        <w:rPr>
          <w:rFonts w:eastAsia="Times New Roman"/>
          <w:sz w:val="24"/>
          <w:szCs w:val="24"/>
        </w:rPr>
        <w:t>q</w:t>
      </w:r>
      <w:r>
        <w:rPr>
          <w:sz w:val="24"/>
          <w:szCs w:val="24"/>
        </w:rPr>
        <w:t>－设计暴雨强度</w:t>
      </w:r>
      <w:r>
        <w:rPr>
          <w:rFonts w:eastAsia="Times New Roman"/>
          <w:sz w:val="24"/>
          <w:szCs w:val="24"/>
        </w:rPr>
        <w:t>[L/</w:t>
      </w:r>
      <w:r>
        <w:rPr>
          <w:sz w:val="24"/>
          <w:szCs w:val="24"/>
        </w:rPr>
        <w:t>(</w:t>
      </w:r>
      <w:r>
        <w:rPr>
          <w:rFonts w:eastAsia="Times New Roman"/>
          <w:sz w:val="24"/>
          <w:szCs w:val="24"/>
        </w:rPr>
        <w:t>s·hm2</w:t>
      </w:r>
      <w:r>
        <w:rPr>
          <w:sz w:val="24"/>
          <w:szCs w:val="24"/>
        </w:rPr>
        <w:t>)</w:t>
      </w:r>
      <w:r>
        <w:rPr>
          <w:rFonts w:eastAsia="Times New Roman"/>
          <w:sz w:val="24"/>
          <w:szCs w:val="24"/>
        </w:rPr>
        <w:t>]</w:t>
      </w:r>
      <w:r>
        <w:rPr>
          <w:sz w:val="24"/>
          <w:szCs w:val="24"/>
        </w:rPr>
        <w:t>；</w:t>
      </w:r>
    </w:p>
    <w:p w14:paraId="7DEA2CC9">
      <w:pPr>
        <w:spacing w:line="360" w:lineRule="auto"/>
        <w:ind w:firstLine="480" w:firstLineChars="200"/>
        <w:rPr>
          <w:sz w:val="24"/>
          <w:szCs w:val="24"/>
        </w:rPr>
      </w:pPr>
      <w:r>
        <w:rPr>
          <w:rFonts w:eastAsia="Times New Roman"/>
          <w:sz w:val="24"/>
          <w:szCs w:val="24"/>
        </w:rPr>
        <w:t>Ψ</w:t>
      </w:r>
      <w:r>
        <w:rPr>
          <w:sz w:val="24"/>
          <w:szCs w:val="24"/>
        </w:rPr>
        <w:t>－径流系数，淮南地区径流系数</w:t>
      </w:r>
      <w:r>
        <w:rPr>
          <w:rFonts w:eastAsia="Times New Roman"/>
          <w:sz w:val="24"/>
          <w:szCs w:val="24"/>
        </w:rPr>
        <w:t>Ψ=0.6</w:t>
      </w:r>
      <w:r>
        <w:rPr>
          <w:sz w:val="24"/>
          <w:szCs w:val="24"/>
        </w:rPr>
        <w:t>；</w:t>
      </w:r>
    </w:p>
    <w:p w14:paraId="47AC2CB0">
      <w:pPr>
        <w:spacing w:line="360" w:lineRule="auto"/>
        <w:ind w:firstLine="480" w:firstLineChars="200"/>
        <w:rPr>
          <w:sz w:val="24"/>
          <w:szCs w:val="24"/>
        </w:rPr>
      </w:pPr>
      <w:r>
        <w:rPr>
          <w:rFonts w:eastAsia="Times New Roman"/>
          <w:sz w:val="24"/>
          <w:szCs w:val="24"/>
        </w:rPr>
        <w:t>F</w:t>
      </w:r>
      <w:r>
        <w:rPr>
          <w:sz w:val="24"/>
          <w:szCs w:val="24"/>
        </w:rPr>
        <w:t>－汇水面积(</w:t>
      </w:r>
      <w:r>
        <w:rPr>
          <w:rFonts w:eastAsia="Times New Roman"/>
          <w:sz w:val="24"/>
          <w:szCs w:val="24"/>
        </w:rPr>
        <w:t>hm</w:t>
      </w:r>
      <w:r>
        <w:rPr>
          <w:rFonts w:eastAsia="Times New Roman"/>
          <w:sz w:val="24"/>
          <w:szCs w:val="24"/>
          <w:vertAlign w:val="superscript"/>
        </w:rPr>
        <w:t>2</w:t>
      </w:r>
      <w:r>
        <w:rPr>
          <w:sz w:val="24"/>
          <w:szCs w:val="24"/>
        </w:rPr>
        <w:t>)，项目初期雨水收集系统汇水面积约</w:t>
      </w:r>
      <w:r>
        <w:rPr>
          <w:rFonts w:eastAsia="Times New Roman"/>
          <w:sz w:val="24"/>
          <w:szCs w:val="24"/>
        </w:rPr>
        <w:t>13hm</w:t>
      </w:r>
      <w:r>
        <w:rPr>
          <w:rFonts w:eastAsia="Times New Roman"/>
          <w:sz w:val="24"/>
          <w:szCs w:val="24"/>
          <w:vertAlign w:val="superscript"/>
        </w:rPr>
        <w:t>2</w:t>
      </w:r>
      <w:r>
        <w:rPr>
          <w:sz w:val="24"/>
          <w:szCs w:val="24"/>
        </w:rPr>
        <w:t>；</w:t>
      </w:r>
    </w:p>
    <w:p w14:paraId="2837A063">
      <w:pPr>
        <w:spacing w:line="360" w:lineRule="auto"/>
        <w:ind w:firstLine="480" w:firstLineChars="200"/>
        <w:rPr>
          <w:sz w:val="24"/>
          <w:szCs w:val="24"/>
        </w:rPr>
      </w:pPr>
      <w:r>
        <w:rPr>
          <w:rFonts w:eastAsia="Times New Roman"/>
          <w:sz w:val="24"/>
          <w:szCs w:val="24"/>
        </w:rPr>
        <w:t>t—</w:t>
      </w:r>
      <w:r>
        <w:rPr>
          <w:sz w:val="24"/>
          <w:szCs w:val="24"/>
        </w:rPr>
        <w:t>降雨历时(</w:t>
      </w:r>
      <w:r>
        <w:rPr>
          <w:rFonts w:eastAsia="Times New Roman"/>
          <w:sz w:val="24"/>
          <w:szCs w:val="24"/>
        </w:rPr>
        <w:t>s</w:t>
      </w:r>
      <w:r>
        <w:rPr>
          <w:sz w:val="24"/>
          <w:szCs w:val="24"/>
        </w:rPr>
        <w:t>)，取</w:t>
      </w:r>
      <w:r>
        <w:rPr>
          <w:rFonts w:eastAsia="Times New Roman"/>
          <w:sz w:val="24"/>
          <w:szCs w:val="24"/>
        </w:rPr>
        <w:t>15min=900s</w:t>
      </w:r>
      <w:r>
        <w:rPr>
          <w:sz w:val="24"/>
          <w:szCs w:val="24"/>
        </w:rPr>
        <w:t>；</w:t>
      </w:r>
    </w:p>
    <w:p w14:paraId="37D6C346">
      <w:pPr>
        <w:spacing w:line="360" w:lineRule="auto"/>
        <w:ind w:firstLine="480" w:firstLineChars="200"/>
        <w:rPr>
          <w:sz w:val="24"/>
          <w:szCs w:val="24"/>
        </w:rPr>
      </w:pPr>
      <w:r>
        <w:rPr>
          <w:sz w:val="24"/>
          <w:szCs w:val="24"/>
        </w:rPr>
        <w:t>根据《关于发布淮南市暴雨强度修订公式的通知》设计暴雨强度</w:t>
      </w:r>
      <w:r>
        <w:rPr>
          <w:rFonts w:eastAsia="Times New Roman"/>
          <w:sz w:val="24"/>
          <w:szCs w:val="24"/>
        </w:rPr>
        <w:t>q</w:t>
      </w:r>
      <w:r>
        <w:rPr>
          <w:sz w:val="24"/>
          <w:szCs w:val="24"/>
        </w:rPr>
        <w:t>计算公式：</w:t>
      </w:r>
    </w:p>
    <w:p w14:paraId="24E90279">
      <w:pPr>
        <w:spacing w:line="360" w:lineRule="auto"/>
        <w:ind w:firstLine="480" w:firstLineChars="200"/>
        <w:textAlignment w:val="center"/>
        <w:rPr>
          <w:sz w:val="24"/>
          <w:szCs w:val="24"/>
        </w:rPr>
      </w:pPr>
      <w:r>
        <w:rPr>
          <w:sz w:val="24"/>
          <w:szCs w:val="24"/>
        </w:rPr>
        <w:drawing>
          <wp:inline distT="0" distB="0" distL="0" distR="0">
            <wp:extent cx="1591945" cy="487045"/>
            <wp:effectExtent l="0" t="0" r="8255" b="8255"/>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0"/>
                    <a:stretch>
                      <a:fillRect/>
                    </a:stretch>
                  </pic:blipFill>
                  <pic:spPr>
                    <a:xfrm>
                      <a:off x="0" y="0"/>
                      <a:ext cx="1592579" cy="487679"/>
                    </a:xfrm>
                    <a:prstGeom prst="rect">
                      <a:avLst/>
                    </a:prstGeom>
                  </pic:spPr>
                </pic:pic>
              </a:graphicData>
            </a:graphic>
          </wp:inline>
        </w:drawing>
      </w:r>
    </w:p>
    <w:p w14:paraId="11975609">
      <w:pPr>
        <w:spacing w:line="360" w:lineRule="auto"/>
        <w:ind w:firstLine="480" w:firstLineChars="200"/>
        <w:rPr>
          <w:sz w:val="24"/>
          <w:szCs w:val="24"/>
        </w:rPr>
      </w:pPr>
      <w:r>
        <w:rPr>
          <w:sz w:val="24"/>
          <w:szCs w:val="24"/>
        </w:rPr>
        <w:t>式中：</w:t>
      </w:r>
      <w:r>
        <w:rPr>
          <w:rFonts w:eastAsia="Times New Roman"/>
          <w:sz w:val="24"/>
          <w:szCs w:val="24"/>
        </w:rPr>
        <w:t>q</w:t>
      </w:r>
      <w:r>
        <w:rPr>
          <w:sz w:val="24"/>
          <w:szCs w:val="24"/>
        </w:rPr>
        <w:t>－设计暴雨强度</w:t>
      </w:r>
      <w:r>
        <w:rPr>
          <w:rFonts w:eastAsia="Times New Roman"/>
          <w:sz w:val="24"/>
          <w:szCs w:val="24"/>
        </w:rPr>
        <w:t xml:space="preserve">[L/  </w:t>
      </w:r>
      <w:r>
        <w:rPr>
          <w:sz w:val="24"/>
          <w:szCs w:val="24"/>
        </w:rPr>
        <w:t>(</w:t>
      </w:r>
      <w:r>
        <w:rPr>
          <w:rFonts w:eastAsia="Times New Roman"/>
          <w:sz w:val="24"/>
          <w:szCs w:val="24"/>
        </w:rPr>
        <w:t xml:space="preserve">s·hm2 </w:t>
      </w:r>
      <w:r>
        <w:rPr>
          <w:sz w:val="24"/>
          <w:szCs w:val="24"/>
        </w:rPr>
        <w:t xml:space="preserve">) </w:t>
      </w:r>
      <w:r>
        <w:rPr>
          <w:rFonts w:eastAsia="Times New Roman"/>
          <w:sz w:val="24"/>
          <w:szCs w:val="24"/>
        </w:rPr>
        <w:t>]</w:t>
      </w:r>
      <w:r>
        <w:rPr>
          <w:sz w:val="24"/>
          <w:szCs w:val="24"/>
        </w:rPr>
        <w:t>；</w:t>
      </w:r>
    </w:p>
    <w:p w14:paraId="03B4A54A">
      <w:pPr>
        <w:spacing w:line="360" w:lineRule="auto"/>
        <w:ind w:firstLine="480" w:firstLineChars="200"/>
        <w:rPr>
          <w:sz w:val="24"/>
          <w:szCs w:val="24"/>
        </w:rPr>
      </w:pPr>
      <w:r>
        <w:rPr>
          <w:rFonts w:eastAsia="Times New Roman"/>
          <w:sz w:val="24"/>
          <w:szCs w:val="24"/>
        </w:rPr>
        <w:t>t</w:t>
      </w:r>
      <w:r>
        <w:rPr>
          <w:sz w:val="24"/>
          <w:szCs w:val="24"/>
        </w:rPr>
        <w:t>－降雨历时(</w:t>
      </w:r>
      <w:r>
        <w:rPr>
          <w:rFonts w:eastAsia="Times New Roman"/>
          <w:sz w:val="24"/>
          <w:szCs w:val="24"/>
        </w:rPr>
        <w:t>min</w:t>
      </w:r>
      <w:r>
        <w:rPr>
          <w:sz w:val="24"/>
          <w:szCs w:val="24"/>
        </w:rPr>
        <w:t>)，取</w:t>
      </w:r>
      <w:r>
        <w:rPr>
          <w:rFonts w:eastAsia="Times New Roman"/>
          <w:sz w:val="24"/>
          <w:szCs w:val="24"/>
        </w:rPr>
        <w:t>15min</w:t>
      </w:r>
      <w:r>
        <w:rPr>
          <w:sz w:val="24"/>
          <w:szCs w:val="24"/>
        </w:rPr>
        <w:t>；</w:t>
      </w:r>
    </w:p>
    <w:p w14:paraId="34E6685F">
      <w:pPr>
        <w:spacing w:line="360" w:lineRule="auto"/>
        <w:ind w:firstLine="480" w:firstLineChars="200"/>
        <w:rPr>
          <w:sz w:val="24"/>
          <w:szCs w:val="24"/>
        </w:rPr>
      </w:pPr>
      <w:r>
        <w:rPr>
          <w:rFonts w:eastAsia="Times New Roman"/>
          <w:sz w:val="24"/>
          <w:szCs w:val="24"/>
        </w:rPr>
        <w:t>P</w:t>
      </w:r>
      <w:r>
        <w:rPr>
          <w:sz w:val="24"/>
          <w:szCs w:val="24"/>
        </w:rPr>
        <w:t>－设计重现期(</w:t>
      </w:r>
      <w:r>
        <w:rPr>
          <w:rFonts w:eastAsia="Times New Roman"/>
          <w:sz w:val="24"/>
          <w:szCs w:val="24"/>
        </w:rPr>
        <w:t>a</w:t>
      </w:r>
      <w:r>
        <w:rPr>
          <w:sz w:val="24"/>
          <w:szCs w:val="24"/>
        </w:rPr>
        <w:t>)，本项目取</w:t>
      </w:r>
      <w:r>
        <w:rPr>
          <w:rFonts w:eastAsia="Times New Roman"/>
          <w:sz w:val="24"/>
          <w:szCs w:val="24"/>
        </w:rPr>
        <w:t>3a</w:t>
      </w:r>
      <w:r>
        <w:rPr>
          <w:sz w:val="24"/>
          <w:szCs w:val="24"/>
        </w:rPr>
        <w:t>；</w:t>
      </w:r>
    </w:p>
    <w:p w14:paraId="15CF1003">
      <w:pPr>
        <w:spacing w:line="360" w:lineRule="auto"/>
        <w:ind w:firstLine="480" w:firstLineChars="200"/>
        <w:rPr>
          <w:sz w:val="24"/>
          <w:szCs w:val="24"/>
        </w:rPr>
      </w:pPr>
      <w:r>
        <w:rPr>
          <w:sz w:val="24"/>
          <w:szCs w:val="24"/>
        </w:rPr>
        <w:t>根据区域气象资料统计，大通区多年平均降雨量</w:t>
      </w:r>
      <w:r>
        <w:rPr>
          <w:rFonts w:eastAsia="Times New Roman"/>
          <w:sz w:val="24"/>
          <w:szCs w:val="24"/>
        </w:rPr>
        <w:t>900mm</w:t>
      </w:r>
      <w:r>
        <w:rPr>
          <w:sz w:val="24"/>
          <w:szCs w:val="24"/>
        </w:rPr>
        <w:t>，年平均降雨量</w:t>
      </w:r>
      <w:r>
        <w:rPr>
          <w:rFonts w:eastAsia="Times New Roman"/>
          <w:sz w:val="24"/>
          <w:szCs w:val="24"/>
        </w:rPr>
        <w:t>107d</w:t>
      </w:r>
      <w:r>
        <w:rPr>
          <w:sz w:val="24"/>
          <w:szCs w:val="24"/>
        </w:rPr>
        <w:t>，暴雨强度为</w:t>
      </w:r>
      <w:r>
        <w:rPr>
          <w:rFonts w:eastAsia="Times New Roman"/>
          <w:sz w:val="24"/>
          <w:szCs w:val="24"/>
        </w:rPr>
        <w:t>95.46L/s ·ha</w:t>
      </w:r>
      <w:r>
        <w:rPr>
          <w:sz w:val="24"/>
          <w:szCs w:val="24"/>
        </w:rPr>
        <w:t>。</w:t>
      </w:r>
    </w:p>
    <w:p w14:paraId="0734A90B">
      <w:pPr>
        <w:spacing w:line="360" w:lineRule="auto"/>
        <w:ind w:firstLine="480" w:firstLineChars="200"/>
        <w:rPr>
          <w:sz w:val="24"/>
          <w:szCs w:val="24"/>
        </w:rPr>
      </w:pPr>
      <w:r>
        <w:rPr>
          <w:sz w:val="24"/>
          <w:szCs w:val="24"/>
        </w:rPr>
        <w:t>安徽德邦化工有限公司本次取汇水面积</w:t>
      </w:r>
      <w:r>
        <w:rPr>
          <w:rFonts w:eastAsia="Times New Roman"/>
          <w:sz w:val="24"/>
          <w:szCs w:val="24"/>
        </w:rPr>
        <w:t>13hm</w:t>
      </w:r>
      <w:r>
        <w:rPr>
          <w:rFonts w:eastAsia="Times New Roman"/>
          <w:sz w:val="24"/>
          <w:szCs w:val="24"/>
          <w:vertAlign w:val="superscript"/>
        </w:rPr>
        <w:t>2</w:t>
      </w:r>
      <w:r>
        <w:rPr>
          <w:sz w:val="24"/>
          <w:szCs w:val="24"/>
        </w:rPr>
        <w:t>计算，得出</w:t>
      </w:r>
      <w:r>
        <w:rPr>
          <w:rFonts w:eastAsia="Times New Roman"/>
          <w:i/>
          <w:iCs/>
          <w:sz w:val="24"/>
          <w:szCs w:val="24"/>
        </w:rPr>
        <w:t>V5</w:t>
      </w:r>
      <w:r>
        <w:rPr>
          <w:sz w:val="24"/>
          <w:szCs w:val="24"/>
        </w:rPr>
        <w:t>取值为</w:t>
      </w:r>
      <w:r>
        <w:rPr>
          <w:rFonts w:eastAsia="Times New Roman"/>
          <w:sz w:val="24"/>
          <w:szCs w:val="24"/>
        </w:rPr>
        <w:t>2175m3</w:t>
      </w:r>
      <w:r>
        <w:rPr>
          <w:sz w:val="24"/>
          <w:szCs w:val="24"/>
        </w:rPr>
        <w:t>。</w:t>
      </w:r>
    </w:p>
    <w:p w14:paraId="1B0F5148">
      <w:pPr>
        <w:spacing w:line="360" w:lineRule="auto"/>
        <w:ind w:firstLine="468" w:firstLineChars="200"/>
        <w:rPr>
          <w:sz w:val="24"/>
          <w:szCs w:val="24"/>
        </w:rPr>
      </w:pPr>
      <w:r>
        <w:rPr>
          <w:spacing w:val="-3"/>
          <w:sz w:val="24"/>
          <w:szCs w:val="24"/>
        </w:rPr>
        <w:t>综上： 安徽德邦化工有限公司</w:t>
      </w:r>
      <w:r>
        <w:rPr>
          <w:rFonts w:eastAsia="Times New Roman"/>
          <w:spacing w:val="-3"/>
          <w:sz w:val="24"/>
          <w:szCs w:val="24"/>
        </w:rPr>
        <w:t>V</w:t>
      </w:r>
      <w:r>
        <w:rPr>
          <w:rFonts w:eastAsia="Times New Roman"/>
          <w:spacing w:val="-3"/>
          <w:position w:val="-3"/>
          <w:sz w:val="24"/>
          <w:szCs w:val="24"/>
        </w:rPr>
        <w:t>1</w:t>
      </w:r>
      <w:r>
        <w:rPr>
          <w:rFonts w:eastAsia="Times New Roman"/>
          <w:spacing w:val="-3"/>
          <w:sz w:val="24"/>
          <w:szCs w:val="24"/>
        </w:rPr>
        <w:t>=240m</w:t>
      </w:r>
      <w:r>
        <w:rPr>
          <w:spacing w:val="-3"/>
          <w:sz w:val="24"/>
          <w:szCs w:val="24"/>
          <w:vertAlign w:val="superscript"/>
        </w:rPr>
        <w:t>3</w:t>
      </w:r>
      <w:r>
        <w:rPr>
          <w:spacing w:val="-3"/>
          <w:sz w:val="24"/>
          <w:szCs w:val="24"/>
        </w:rPr>
        <w:t>，</w:t>
      </w:r>
      <w:r>
        <w:rPr>
          <w:rFonts w:eastAsia="Times New Roman"/>
          <w:spacing w:val="-3"/>
          <w:sz w:val="24"/>
          <w:szCs w:val="24"/>
        </w:rPr>
        <w:t>V</w:t>
      </w:r>
      <w:r>
        <w:rPr>
          <w:rFonts w:eastAsia="Times New Roman"/>
          <w:spacing w:val="-3"/>
          <w:position w:val="-3"/>
          <w:sz w:val="24"/>
          <w:szCs w:val="24"/>
        </w:rPr>
        <w:t>2</w:t>
      </w:r>
      <w:r>
        <w:rPr>
          <w:rFonts w:eastAsia="Times New Roman"/>
          <w:spacing w:val="-3"/>
          <w:sz w:val="24"/>
          <w:szCs w:val="24"/>
        </w:rPr>
        <w:t>=324m</w:t>
      </w:r>
      <w:r>
        <w:rPr>
          <w:spacing w:val="-3"/>
          <w:sz w:val="24"/>
          <w:szCs w:val="24"/>
          <w:vertAlign w:val="superscript"/>
        </w:rPr>
        <w:t>3</w:t>
      </w:r>
      <w:r>
        <w:rPr>
          <w:spacing w:val="-3"/>
          <w:sz w:val="24"/>
          <w:szCs w:val="24"/>
        </w:rPr>
        <w:t>，</w:t>
      </w:r>
      <w:r>
        <w:rPr>
          <w:rFonts w:eastAsia="Times New Roman"/>
          <w:spacing w:val="-1"/>
          <w:sz w:val="24"/>
          <w:szCs w:val="24"/>
        </w:rPr>
        <w:t>V</w:t>
      </w:r>
      <w:r>
        <w:rPr>
          <w:rFonts w:eastAsia="Times New Roman"/>
          <w:spacing w:val="-3"/>
          <w:position w:val="-3"/>
          <w:sz w:val="24"/>
          <w:szCs w:val="24"/>
        </w:rPr>
        <w:t>3</w:t>
      </w:r>
      <w:r>
        <w:rPr>
          <w:rFonts w:eastAsia="Times New Roman"/>
          <w:spacing w:val="-3"/>
          <w:sz w:val="24"/>
          <w:szCs w:val="24"/>
        </w:rPr>
        <w:t>=604.8m</w:t>
      </w:r>
      <w:r>
        <w:rPr>
          <w:spacing w:val="-3"/>
          <w:sz w:val="24"/>
          <w:szCs w:val="24"/>
          <w:vertAlign w:val="superscript"/>
        </w:rPr>
        <w:t>3</w:t>
      </w:r>
      <w:r>
        <w:rPr>
          <w:spacing w:val="-3"/>
          <w:sz w:val="24"/>
          <w:szCs w:val="24"/>
        </w:rPr>
        <w:t>，</w:t>
      </w:r>
      <w:r>
        <w:rPr>
          <w:rFonts w:eastAsia="Times New Roman"/>
          <w:spacing w:val="-2"/>
          <w:sz w:val="24"/>
          <w:szCs w:val="24"/>
        </w:rPr>
        <w:t>V</w:t>
      </w:r>
      <w:r>
        <w:rPr>
          <w:rFonts w:eastAsia="Times New Roman"/>
          <w:spacing w:val="-4"/>
          <w:position w:val="-3"/>
          <w:sz w:val="24"/>
          <w:szCs w:val="24"/>
        </w:rPr>
        <w:t>4</w:t>
      </w:r>
      <w:r>
        <w:rPr>
          <w:rFonts w:eastAsia="Times New Roman"/>
          <w:spacing w:val="-4"/>
          <w:sz w:val="24"/>
          <w:szCs w:val="24"/>
        </w:rPr>
        <w:t>=0</w:t>
      </w:r>
      <w:r>
        <w:rPr>
          <w:rFonts w:eastAsia="Times New Roman"/>
          <w:spacing w:val="-3"/>
          <w:sz w:val="24"/>
          <w:szCs w:val="24"/>
        </w:rPr>
        <w:t>m</w:t>
      </w:r>
      <w:r>
        <w:rPr>
          <w:spacing w:val="-3"/>
          <w:sz w:val="24"/>
          <w:szCs w:val="24"/>
          <w:vertAlign w:val="superscript"/>
        </w:rPr>
        <w:t>3</w:t>
      </w:r>
      <w:r>
        <w:rPr>
          <w:spacing w:val="-2"/>
          <w:sz w:val="24"/>
          <w:szCs w:val="24"/>
        </w:rPr>
        <w:t>，</w:t>
      </w:r>
      <w:r>
        <w:rPr>
          <w:rFonts w:eastAsia="Times New Roman"/>
          <w:spacing w:val="-2"/>
          <w:sz w:val="24"/>
          <w:szCs w:val="24"/>
        </w:rPr>
        <w:t>V</w:t>
      </w:r>
      <w:r>
        <w:rPr>
          <w:rFonts w:eastAsia="Times New Roman"/>
          <w:spacing w:val="-2"/>
          <w:position w:val="-3"/>
          <w:sz w:val="24"/>
          <w:szCs w:val="24"/>
        </w:rPr>
        <w:t>5</w:t>
      </w:r>
      <w:r>
        <w:rPr>
          <w:rFonts w:eastAsia="Times New Roman"/>
          <w:spacing w:val="-2"/>
          <w:sz w:val="24"/>
          <w:szCs w:val="24"/>
        </w:rPr>
        <w:t>=2175</w:t>
      </w:r>
      <w:r>
        <w:rPr>
          <w:rFonts w:eastAsia="Times New Roman"/>
          <w:spacing w:val="-3"/>
          <w:sz w:val="24"/>
          <w:szCs w:val="24"/>
        </w:rPr>
        <w:t>m</w:t>
      </w:r>
      <w:r>
        <w:rPr>
          <w:spacing w:val="-3"/>
          <w:sz w:val="24"/>
          <w:szCs w:val="24"/>
          <w:vertAlign w:val="superscript"/>
        </w:rPr>
        <w:t>3</w:t>
      </w:r>
      <w:r>
        <w:rPr>
          <w:spacing w:val="-2"/>
          <w:sz w:val="24"/>
          <w:szCs w:val="24"/>
        </w:rPr>
        <w:t>，根据</w:t>
      </w:r>
      <w:r>
        <w:rPr>
          <w:rFonts w:eastAsia="Times New Roman"/>
          <w:spacing w:val="-2"/>
          <w:sz w:val="24"/>
          <w:szCs w:val="24"/>
        </w:rPr>
        <w:t>V</w:t>
      </w:r>
      <w:r>
        <w:rPr>
          <w:spacing w:val="-2"/>
          <w:position w:val="-1"/>
          <w:sz w:val="24"/>
          <w:szCs w:val="24"/>
        </w:rPr>
        <w:t>总</w:t>
      </w:r>
      <w:r>
        <w:rPr>
          <w:rFonts w:eastAsia="Times New Roman"/>
          <w:spacing w:val="-2"/>
          <w:sz w:val="24"/>
          <w:szCs w:val="24"/>
        </w:rPr>
        <w:t>=</w:t>
      </w:r>
      <w:r>
        <w:rPr>
          <w:spacing w:val="-2"/>
          <w:sz w:val="24"/>
          <w:szCs w:val="24"/>
        </w:rPr>
        <w:t>(</w:t>
      </w:r>
      <w:r>
        <w:rPr>
          <w:rFonts w:eastAsia="Times New Roman"/>
          <w:spacing w:val="-2"/>
          <w:sz w:val="24"/>
          <w:szCs w:val="24"/>
        </w:rPr>
        <w:t>V</w:t>
      </w:r>
      <w:r>
        <w:rPr>
          <w:rFonts w:eastAsia="Times New Roman"/>
          <w:spacing w:val="-2"/>
          <w:position w:val="-3"/>
          <w:sz w:val="24"/>
          <w:szCs w:val="24"/>
        </w:rPr>
        <w:t>1</w:t>
      </w:r>
      <w:r>
        <w:rPr>
          <w:rFonts w:eastAsia="Times New Roman"/>
          <w:spacing w:val="-2"/>
          <w:sz w:val="24"/>
          <w:szCs w:val="24"/>
        </w:rPr>
        <w:t>+V</w:t>
      </w:r>
      <w:r>
        <w:rPr>
          <w:rFonts w:eastAsia="Times New Roman"/>
          <w:spacing w:val="-2"/>
          <w:position w:val="-3"/>
          <w:sz w:val="24"/>
          <w:szCs w:val="24"/>
        </w:rPr>
        <w:t>2</w:t>
      </w:r>
      <w:r>
        <w:rPr>
          <w:rFonts w:eastAsia="Times New Roman"/>
          <w:spacing w:val="-2"/>
          <w:sz w:val="24"/>
          <w:szCs w:val="24"/>
        </w:rPr>
        <w:t>-V</w:t>
      </w:r>
      <w:r>
        <w:rPr>
          <w:rFonts w:eastAsia="Times New Roman"/>
          <w:spacing w:val="-2"/>
          <w:position w:val="-3"/>
          <w:sz w:val="24"/>
          <w:szCs w:val="24"/>
        </w:rPr>
        <w:t>3</w:t>
      </w:r>
      <w:r>
        <w:rPr>
          <w:spacing w:val="-2"/>
          <w:sz w:val="24"/>
          <w:szCs w:val="24"/>
        </w:rPr>
        <w:t>)</w:t>
      </w:r>
      <w:r>
        <w:rPr>
          <w:rFonts w:eastAsia="Times New Roman"/>
          <w:spacing w:val="-2"/>
          <w:position w:val="-3"/>
          <w:sz w:val="24"/>
          <w:szCs w:val="24"/>
        </w:rPr>
        <w:t>max</w:t>
      </w:r>
      <w:r>
        <w:rPr>
          <w:rFonts w:eastAsia="Times New Roman"/>
          <w:spacing w:val="-2"/>
          <w:sz w:val="24"/>
          <w:szCs w:val="24"/>
        </w:rPr>
        <w:t>+V</w:t>
      </w:r>
      <w:r>
        <w:rPr>
          <w:rFonts w:eastAsia="Times New Roman"/>
          <w:spacing w:val="-2"/>
          <w:position w:val="-3"/>
          <w:sz w:val="24"/>
          <w:szCs w:val="24"/>
        </w:rPr>
        <w:t>4</w:t>
      </w:r>
      <w:r>
        <w:rPr>
          <w:rFonts w:eastAsia="Times New Roman"/>
          <w:spacing w:val="-2"/>
          <w:sz w:val="24"/>
          <w:szCs w:val="24"/>
        </w:rPr>
        <w:t>+V</w:t>
      </w:r>
      <w:r>
        <w:rPr>
          <w:rFonts w:eastAsia="Times New Roman"/>
          <w:spacing w:val="-2"/>
          <w:position w:val="-3"/>
          <w:sz w:val="24"/>
          <w:szCs w:val="24"/>
        </w:rPr>
        <w:t>5</w:t>
      </w:r>
      <w:r>
        <w:rPr>
          <w:spacing w:val="-2"/>
          <w:sz w:val="24"/>
          <w:szCs w:val="24"/>
        </w:rPr>
        <w:t>，考虑安徽德</w:t>
      </w:r>
      <w:r>
        <w:rPr>
          <w:spacing w:val="23"/>
          <w:sz w:val="24"/>
          <w:szCs w:val="24"/>
        </w:rPr>
        <w:t>邦</w:t>
      </w:r>
      <w:r>
        <w:rPr>
          <w:spacing w:val="12"/>
          <w:sz w:val="24"/>
          <w:szCs w:val="24"/>
        </w:rPr>
        <w:t>化工有限公司厂内最大储罐(甲醇储罐)破裂并泄露</w:t>
      </w:r>
      <w:r>
        <w:rPr>
          <w:sz w:val="24"/>
          <w:szCs w:val="24"/>
        </w:rPr>
        <w:t>、发生火灾以及暴雨量等因素，需进入事故池的安全事故废水量总计约为</w:t>
      </w:r>
      <w:r>
        <w:rPr>
          <w:rFonts w:eastAsia="Times New Roman"/>
          <w:sz w:val="24"/>
          <w:szCs w:val="24"/>
        </w:rPr>
        <w:t>V</w:t>
      </w:r>
      <w:r>
        <w:rPr>
          <w:sz w:val="24"/>
          <w:szCs w:val="24"/>
          <w:vertAlign w:val="subscript"/>
        </w:rPr>
        <w:t>总</w:t>
      </w:r>
      <w:r>
        <w:rPr>
          <w:rFonts w:eastAsia="Times New Roman"/>
          <w:sz w:val="24"/>
          <w:szCs w:val="24"/>
        </w:rPr>
        <w:t>=240+324-604.8+0+2175=3343.8m</w:t>
      </w:r>
      <w:r>
        <w:rPr>
          <w:rFonts w:eastAsia="Times New Roman"/>
          <w:sz w:val="24"/>
          <w:szCs w:val="24"/>
          <w:vertAlign w:val="superscript"/>
        </w:rPr>
        <w:t>3</w:t>
      </w:r>
      <w:r>
        <w:rPr>
          <w:sz w:val="24"/>
          <w:szCs w:val="24"/>
        </w:rPr>
        <w:t>。</w:t>
      </w:r>
    </w:p>
    <w:p w14:paraId="022165DF">
      <w:pPr>
        <w:spacing w:line="233" w:lineRule="auto"/>
        <w:ind w:left="865"/>
        <w:rPr>
          <w:sz w:val="24"/>
          <w:szCs w:val="24"/>
        </w:rPr>
      </w:pPr>
      <w:r>
        <w:rPr>
          <w:spacing w:val="-6"/>
          <w:sz w:val="24"/>
          <w:szCs w:val="24"/>
        </w:rPr>
        <w:t>表8.4</w:t>
      </w:r>
      <w:r>
        <w:rPr>
          <w:rFonts w:eastAsia="Times New Roman"/>
          <w:spacing w:val="-4"/>
          <w:sz w:val="24"/>
          <w:szCs w:val="24"/>
        </w:rPr>
        <w:t>-</w:t>
      </w:r>
      <w:r>
        <w:rPr>
          <w:rFonts w:eastAsia="Times New Roman"/>
          <w:spacing w:val="-3"/>
          <w:sz w:val="24"/>
          <w:szCs w:val="24"/>
        </w:rPr>
        <w:t>2</w:t>
      </w:r>
      <w:r>
        <w:rPr>
          <w:spacing w:val="-3"/>
          <w:sz w:val="24"/>
          <w:szCs w:val="24"/>
        </w:rPr>
        <w:t>园区各在产企业事故废水量及事故池实际容积一览表(</w:t>
      </w:r>
      <w:r>
        <w:rPr>
          <w:rFonts w:eastAsia="Times New Roman"/>
          <w:spacing w:val="-3"/>
          <w:sz w:val="24"/>
          <w:szCs w:val="24"/>
        </w:rPr>
        <w:t>m</w:t>
      </w:r>
      <w:r>
        <w:rPr>
          <w:spacing w:val="-3"/>
          <w:sz w:val="24"/>
          <w:szCs w:val="24"/>
          <w:vertAlign w:val="superscript"/>
        </w:rPr>
        <w:t>3</w:t>
      </w:r>
      <w:r>
        <w:rPr>
          <w:spacing w:val="-3"/>
          <w:sz w:val="24"/>
          <w:szCs w:val="24"/>
        </w:rPr>
        <w:t>)</w:t>
      </w:r>
    </w:p>
    <w:p w14:paraId="619E8155">
      <w:pPr>
        <w:spacing w:line="98" w:lineRule="exact"/>
        <w:rPr>
          <w:sz w:val="24"/>
          <w:szCs w:val="24"/>
        </w:rPr>
      </w:pPr>
    </w:p>
    <w:tbl>
      <w:tblPr>
        <w:tblStyle w:val="58"/>
        <w:tblW w:w="92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4"/>
        <w:gridCol w:w="1988"/>
        <w:gridCol w:w="800"/>
        <w:gridCol w:w="1699"/>
        <w:gridCol w:w="1572"/>
        <w:gridCol w:w="1635"/>
        <w:gridCol w:w="896"/>
      </w:tblGrid>
      <w:tr w14:paraId="7F82C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704" w:type="dxa"/>
          </w:tcPr>
          <w:p w14:paraId="414CA3FC">
            <w:pPr>
              <w:spacing w:before="177" w:line="221" w:lineRule="auto"/>
              <w:ind w:left="134"/>
              <w:rPr>
                <w:szCs w:val="21"/>
              </w:rPr>
            </w:pPr>
            <w:r>
              <w:rPr>
                <w:spacing w:val="-2"/>
                <w:szCs w:val="21"/>
              </w:rPr>
              <w:t>序号</w:t>
            </w:r>
          </w:p>
        </w:tc>
        <w:tc>
          <w:tcPr>
            <w:tcW w:w="1988" w:type="dxa"/>
          </w:tcPr>
          <w:p w14:paraId="377D8DB1">
            <w:pPr>
              <w:spacing w:before="177" w:line="222" w:lineRule="auto"/>
              <w:ind w:left="559"/>
              <w:rPr>
                <w:szCs w:val="21"/>
              </w:rPr>
            </w:pPr>
            <w:r>
              <w:rPr>
                <w:spacing w:val="-3"/>
                <w:szCs w:val="21"/>
              </w:rPr>
              <w:t>企</w:t>
            </w:r>
            <w:r>
              <w:rPr>
                <w:spacing w:val="-2"/>
                <w:szCs w:val="21"/>
              </w:rPr>
              <w:t>业名称</w:t>
            </w:r>
          </w:p>
        </w:tc>
        <w:tc>
          <w:tcPr>
            <w:tcW w:w="800" w:type="dxa"/>
          </w:tcPr>
          <w:p w14:paraId="199CB3D8">
            <w:pPr>
              <w:spacing w:before="37" w:line="239" w:lineRule="auto"/>
              <w:ind w:left="184"/>
              <w:rPr>
                <w:szCs w:val="21"/>
              </w:rPr>
            </w:pPr>
            <w:r>
              <w:rPr>
                <w:spacing w:val="-3"/>
                <w:szCs w:val="21"/>
              </w:rPr>
              <w:t>运</w:t>
            </w:r>
            <w:r>
              <w:rPr>
                <w:spacing w:val="-2"/>
                <w:szCs w:val="21"/>
              </w:rPr>
              <w:t>营</w:t>
            </w:r>
          </w:p>
          <w:p w14:paraId="3DE0626D">
            <w:pPr>
              <w:spacing w:before="1" w:line="215" w:lineRule="auto"/>
              <w:ind w:left="184"/>
              <w:rPr>
                <w:szCs w:val="21"/>
              </w:rPr>
            </w:pPr>
            <w:r>
              <w:rPr>
                <w:spacing w:val="-3"/>
                <w:szCs w:val="21"/>
              </w:rPr>
              <w:t>状</w:t>
            </w:r>
            <w:r>
              <w:rPr>
                <w:spacing w:val="-2"/>
                <w:szCs w:val="21"/>
              </w:rPr>
              <w:t>态</w:t>
            </w:r>
          </w:p>
        </w:tc>
        <w:tc>
          <w:tcPr>
            <w:tcW w:w="1699" w:type="dxa"/>
          </w:tcPr>
          <w:p w14:paraId="5E17066D">
            <w:pPr>
              <w:spacing w:before="38" w:line="227" w:lineRule="auto"/>
              <w:ind w:left="209" w:right="186" w:hanging="7"/>
              <w:rPr>
                <w:szCs w:val="21"/>
              </w:rPr>
            </w:pPr>
            <w:r>
              <w:rPr>
                <w:spacing w:val="-4"/>
                <w:szCs w:val="21"/>
              </w:rPr>
              <w:t>需进</w:t>
            </w:r>
            <w:r>
              <w:rPr>
                <w:spacing w:val="-2"/>
                <w:szCs w:val="21"/>
              </w:rPr>
              <w:t>入事故池</w:t>
            </w:r>
            <w:r>
              <w:rPr>
                <w:spacing w:val="-4"/>
                <w:szCs w:val="21"/>
              </w:rPr>
              <w:t>的事故废水</w:t>
            </w:r>
            <w:r>
              <w:rPr>
                <w:spacing w:val="-3"/>
                <w:szCs w:val="21"/>
              </w:rPr>
              <w:t>量</w:t>
            </w:r>
          </w:p>
        </w:tc>
        <w:tc>
          <w:tcPr>
            <w:tcW w:w="1572" w:type="dxa"/>
          </w:tcPr>
          <w:p w14:paraId="7498331E">
            <w:pPr>
              <w:spacing w:before="38" w:line="227" w:lineRule="auto"/>
              <w:ind w:left="136" w:right="136" w:firstLine="102"/>
              <w:rPr>
                <w:szCs w:val="21"/>
              </w:rPr>
            </w:pPr>
            <w:r>
              <w:rPr>
                <w:spacing w:val="-1"/>
                <w:szCs w:val="21"/>
              </w:rPr>
              <w:t>事故池容积</w:t>
            </w:r>
            <w:r>
              <w:rPr>
                <w:spacing w:val="14"/>
                <w:szCs w:val="21"/>
              </w:rPr>
              <w:t>(环评设计)</w:t>
            </w:r>
          </w:p>
        </w:tc>
        <w:tc>
          <w:tcPr>
            <w:tcW w:w="1635" w:type="dxa"/>
          </w:tcPr>
          <w:p w14:paraId="39D08222">
            <w:pPr>
              <w:spacing w:before="38" w:line="227" w:lineRule="auto"/>
              <w:ind w:left="168" w:right="166" w:firstLine="101"/>
              <w:rPr>
                <w:szCs w:val="21"/>
              </w:rPr>
            </w:pPr>
            <w:r>
              <w:rPr>
                <w:spacing w:val="-1"/>
                <w:szCs w:val="21"/>
              </w:rPr>
              <w:t>事故池容积</w:t>
            </w:r>
            <w:r>
              <w:rPr>
                <w:spacing w:val="14"/>
                <w:szCs w:val="21"/>
              </w:rPr>
              <w:t>(实际建设)</w:t>
            </w:r>
          </w:p>
        </w:tc>
        <w:tc>
          <w:tcPr>
            <w:tcW w:w="896" w:type="dxa"/>
          </w:tcPr>
          <w:p w14:paraId="4BD59108">
            <w:pPr>
              <w:spacing w:before="38" w:line="227" w:lineRule="auto"/>
              <w:ind w:left="347" w:right="115" w:hanging="224"/>
              <w:rPr>
                <w:szCs w:val="21"/>
              </w:rPr>
            </w:pPr>
            <w:r>
              <w:rPr>
                <w:spacing w:val="-4"/>
                <w:szCs w:val="21"/>
              </w:rPr>
              <w:t>是</w:t>
            </w:r>
            <w:r>
              <w:rPr>
                <w:spacing w:val="-3"/>
                <w:szCs w:val="21"/>
              </w:rPr>
              <w:t>否</w:t>
            </w:r>
            <w:r>
              <w:rPr>
                <w:spacing w:val="-2"/>
                <w:szCs w:val="21"/>
              </w:rPr>
              <w:t>满</w:t>
            </w:r>
            <w:r>
              <w:rPr>
                <w:szCs w:val="21"/>
              </w:rPr>
              <w:t xml:space="preserve"> 足</w:t>
            </w:r>
          </w:p>
        </w:tc>
      </w:tr>
      <w:tr w14:paraId="3DAD7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704" w:type="dxa"/>
          </w:tcPr>
          <w:p w14:paraId="26B946FF">
            <w:pPr>
              <w:spacing w:line="332" w:lineRule="auto"/>
              <w:rPr>
                <w:szCs w:val="21"/>
              </w:rPr>
            </w:pPr>
          </w:p>
          <w:p w14:paraId="21E3821F">
            <w:pPr>
              <w:spacing w:before="64" w:line="186" w:lineRule="auto"/>
              <w:ind w:left="316"/>
              <w:rPr>
                <w:rFonts w:eastAsia="Times New Roman"/>
                <w:szCs w:val="21"/>
              </w:rPr>
            </w:pPr>
            <w:r>
              <w:rPr>
                <w:rFonts w:eastAsia="Times New Roman"/>
                <w:szCs w:val="21"/>
              </w:rPr>
              <w:t>1</w:t>
            </w:r>
          </w:p>
        </w:tc>
        <w:tc>
          <w:tcPr>
            <w:tcW w:w="1988" w:type="dxa"/>
          </w:tcPr>
          <w:p w14:paraId="78C40928">
            <w:pPr>
              <w:spacing w:before="202" w:line="276" w:lineRule="auto"/>
              <w:ind w:left="782" w:right="116" w:hanging="663"/>
              <w:rPr>
                <w:szCs w:val="21"/>
              </w:rPr>
            </w:pPr>
            <w:r>
              <w:rPr>
                <w:spacing w:val="-2"/>
                <w:szCs w:val="21"/>
              </w:rPr>
              <w:t>安徽德邦化</w:t>
            </w:r>
            <w:r>
              <w:rPr>
                <w:spacing w:val="-1"/>
                <w:szCs w:val="21"/>
              </w:rPr>
              <w:t>工有限</w:t>
            </w:r>
            <w:r>
              <w:rPr>
                <w:spacing w:val="-4"/>
                <w:szCs w:val="21"/>
              </w:rPr>
              <w:t>公司</w:t>
            </w:r>
          </w:p>
        </w:tc>
        <w:tc>
          <w:tcPr>
            <w:tcW w:w="800" w:type="dxa"/>
          </w:tcPr>
          <w:p w14:paraId="49FC8E2D">
            <w:pPr>
              <w:spacing w:line="283" w:lineRule="auto"/>
              <w:rPr>
                <w:szCs w:val="21"/>
              </w:rPr>
            </w:pPr>
          </w:p>
          <w:p w14:paraId="717C3519">
            <w:pPr>
              <w:spacing w:before="72" w:line="220" w:lineRule="auto"/>
              <w:ind w:left="183"/>
              <w:rPr>
                <w:szCs w:val="21"/>
              </w:rPr>
            </w:pPr>
            <w:r>
              <w:rPr>
                <w:spacing w:val="-2"/>
                <w:szCs w:val="21"/>
              </w:rPr>
              <w:t>在产</w:t>
            </w:r>
          </w:p>
        </w:tc>
        <w:tc>
          <w:tcPr>
            <w:tcW w:w="1699" w:type="dxa"/>
          </w:tcPr>
          <w:p w14:paraId="70E8304E">
            <w:pPr>
              <w:spacing w:line="332" w:lineRule="auto"/>
              <w:rPr>
                <w:szCs w:val="21"/>
              </w:rPr>
            </w:pPr>
          </w:p>
          <w:p w14:paraId="5AA72D3E">
            <w:pPr>
              <w:spacing w:before="63" w:line="186" w:lineRule="auto"/>
              <w:ind w:left="552"/>
              <w:rPr>
                <w:rFonts w:eastAsia="Times New Roman"/>
                <w:szCs w:val="21"/>
              </w:rPr>
            </w:pPr>
            <w:r>
              <w:rPr>
                <w:rFonts w:eastAsia="Times New Roman"/>
                <w:spacing w:val="-1"/>
                <w:szCs w:val="21"/>
              </w:rPr>
              <w:t>3373.</w:t>
            </w:r>
            <w:r>
              <w:rPr>
                <w:rFonts w:eastAsia="Times New Roman"/>
                <w:szCs w:val="21"/>
              </w:rPr>
              <w:t>4</w:t>
            </w:r>
          </w:p>
        </w:tc>
        <w:tc>
          <w:tcPr>
            <w:tcW w:w="1572" w:type="dxa"/>
          </w:tcPr>
          <w:p w14:paraId="099098B1">
            <w:pPr>
              <w:spacing w:line="332" w:lineRule="auto"/>
              <w:rPr>
                <w:szCs w:val="21"/>
              </w:rPr>
            </w:pPr>
          </w:p>
          <w:p w14:paraId="48278E58">
            <w:pPr>
              <w:spacing w:before="63" w:line="186" w:lineRule="auto"/>
              <w:ind w:left="570"/>
              <w:rPr>
                <w:rFonts w:eastAsia="Times New Roman"/>
                <w:szCs w:val="21"/>
              </w:rPr>
            </w:pPr>
            <w:r>
              <w:rPr>
                <w:rFonts w:eastAsia="Times New Roman"/>
                <w:spacing w:val="-2"/>
                <w:szCs w:val="21"/>
              </w:rPr>
              <w:t>35</w:t>
            </w:r>
            <w:r>
              <w:rPr>
                <w:rFonts w:eastAsia="Times New Roman"/>
                <w:spacing w:val="-1"/>
                <w:szCs w:val="21"/>
              </w:rPr>
              <w:t>00</w:t>
            </w:r>
          </w:p>
        </w:tc>
        <w:tc>
          <w:tcPr>
            <w:tcW w:w="1635" w:type="dxa"/>
          </w:tcPr>
          <w:p w14:paraId="019FA2D3">
            <w:pPr>
              <w:spacing w:before="45" w:line="222" w:lineRule="auto"/>
              <w:ind w:left="157"/>
              <w:rPr>
                <w:szCs w:val="21"/>
              </w:rPr>
            </w:pPr>
            <w:r>
              <w:rPr>
                <w:rFonts w:eastAsia="Times New Roman"/>
                <w:spacing w:val="-1"/>
                <w:szCs w:val="21"/>
              </w:rPr>
              <w:t>47</w:t>
            </w:r>
            <w:r>
              <w:rPr>
                <w:rFonts w:eastAsia="Times New Roman"/>
                <w:szCs w:val="21"/>
              </w:rPr>
              <w:t>00</w:t>
            </w:r>
            <w:r>
              <w:rPr>
                <w:szCs w:val="21"/>
              </w:rPr>
              <w:t>(</w:t>
            </w:r>
            <w:r>
              <w:rPr>
                <w:rFonts w:eastAsia="Times New Roman"/>
                <w:szCs w:val="21"/>
              </w:rPr>
              <w:t>2000</w:t>
            </w:r>
            <w:r>
              <w:rPr>
                <w:szCs w:val="21"/>
              </w:rPr>
              <w:t>、</w:t>
            </w:r>
          </w:p>
          <w:p w14:paraId="765601DC">
            <w:pPr>
              <w:spacing w:before="86" w:line="224" w:lineRule="auto"/>
              <w:ind w:left="384" w:right="101" w:hanging="275"/>
              <w:rPr>
                <w:szCs w:val="21"/>
              </w:rPr>
            </w:pPr>
            <w:r>
              <w:rPr>
                <w:rFonts w:eastAsia="Times New Roman"/>
                <w:spacing w:val="-12"/>
                <w:szCs w:val="21"/>
              </w:rPr>
              <w:t>4</w:t>
            </w:r>
            <w:r>
              <w:rPr>
                <w:rFonts w:eastAsia="Times New Roman"/>
                <w:spacing w:val="-10"/>
                <w:szCs w:val="21"/>
              </w:rPr>
              <w:t>00</w:t>
            </w:r>
            <w:r>
              <w:rPr>
                <w:spacing w:val="-10"/>
                <w:szCs w:val="21"/>
              </w:rPr>
              <w:t>、</w:t>
            </w:r>
            <w:r>
              <w:rPr>
                <w:rFonts w:eastAsia="Times New Roman"/>
                <w:spacing w:val="-10"/>
                <w:szCs w:val="21"/>
              </w:rPr>
              <w:t>1500</w:t>
            </w:r>
            <w:r>
              <w:rPr>
                <w:spacing w:val="-10"/>
                <w:szCs w:val="21"/>
              </w:rPr>
              <w:t>、</w:t>
            </w:r>
            <w:r>
              <w:rPr>
                <w:rFonts w:eastAsia="Times New Roman"/>
                <w:spacing w:val="-10"/>
                <w:szCs w:val="21"/>
              </w:rPr>
              <w:t>800</w:t>
            </w:r>
            <w:r>
              <w:rPr>
                <w:spacing w:val="-3"/>
                <w:szCs w:val="21"/>
              </w:rPr>
              <w:t>各一个)</w:t>
            </w:r>
          </w:p>
        </w:tc>
        <w:tc>
          <w:tcPr>
            <w:tcW w:w="896" w:type="dxa"/>
          </w:tcPr>
          <w:p w14:paraId="4F432C80">
            <w:pPr>
              <w:spacing w:line="283" w:lineRule="auto"/>
              <w:rPr>
                <w:szCs w:val="21"/>
              </w:rPr>
            </w:pPr>
          </w:p>
          <w:p w14:paraId="72A58F04">
            <w:pPr>
              <w:spacing w:before="72" w:line="220" w:lineRule="auto"/>
              <w:ind w:left="232"/>
              <w:rPr>
                <w:szCs w:val="21"/>
              </w:rPr>
            </w:pPr>
            <w:r>
              <w:rPr>
                <w:spacing w:val="-3"/>
                <w:szCs w:val="21"/>
              </w:rPr>
              <w:t>满</w:t>
            </w:r>
            <w:r>
              <w:rPr>
                <w:spacing w:val="-2"/>
                <w:szCs w:val="21"/>
              </w:rPr>
              <w:t>足</w:t>
            </w:r>
          </w:p>
        </w:tc>
      </w:tr>
      <w:tr w14:paraId="0E3F5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04" w:type="dxa"/>
          </w:tcPr>
          <w:p w14:paraId="3095F0A5">
            <w:pPr>
              <w:spacing w:before="239" w:line="186" w:lineRule="auto"/>
              <w:ind w:left="295"/>
              <w:rPr>
                <w:rFonts w:eastAsia="Times New Roman"/>
                <w:szCs w:val="21"/>
              </w:rPr>
            </w:pPr>
            <w:r>
              <w:rPr>
                <w:rFonts w:eastAsia="Times New Roman"/>
                <w:szCs w:val="21"/>
              </w:rPr>
              <w:t>2</w:t>
            </w:r>
          </w:p>
        </w:tc>
        <w:tc>
          <w:tcPr>
            <w:tcW w:w="1988" w:type="dxa"/>
          </w:tcPr>
          <w:p w14:paraId="5B74D08F">
            <w:pPr>
              <w:spacing w:before="42" w:line="241" w:lineRule="auto"/>
              <w:ind w:left="556" w:right="116" w:hanging="419"/>
              <w:rPr>
                <w:szCs w:val="21"/>
              </w:rPr>
            </w:pPr>
            <w:r>
              <w:rPr>
                <w:spacing w:val="-6"/>
                <w:szCs w:val="21"/>
              </w:rPr>
              <w:t>国药</w:t>
            </w:r>
            <w:r>
              <w:rPr>
                <w:spacing w:val="-4"/>
                <w:szCs w:val="21"/>
              </w:rPr>
              <w:t>集</w:t>
            </w:r>
            <w:r>
              <w:rPr>
                <w:spacing w:val="-3"/>
                <w:szCs w:val="21"/>
              </w:rPr>
              <w:t>团国瑞药业</w:t>
            </w:r>
            <w:r>
              <w:rPr>
                <w:spacing w:val="-2"/>
                <w:szCs w:val="21"/>
              </w:rPr>
              <w:t>有限公司</w:t>
            </w:r>
          </w:p>
        </w:tc>
        <w:tc>
          <w:tcPr>
            <w:tcW w:w="800" w:type="dxa"/>
          </w:tcPr>
          <w:p w14:paraId="2BBD2855">
            <w:pPr>
              <w:spacing w:before="202" w:line="220" w:lineRule="auto"/>
              <w:ind w:left="183"/>
              <w:rPr>
                <w:szCs w:val="21"/>
              </w:rPr>
            </w:pPr>
            <w:r>
              <w:rPr>
                <w:spacing w:val="-2"/>
                <w:szCs w:val="21"/>
              </w:rPr>
              <w:t>在产</w:t>
            </w:r>
          </w:p>
        </w:tc>
        <w:tc>
          <w:tcPr>
            <w:tcW w:w="1699" w:type="dxa"/>
          </w:tcPr>
          <w:p w14:paraId="0D750E88">
            <w:pPr>
              <w:spacing w:before="238" w:line="186" w:lineRule="auto"/>
              <w:ind w:left="569"/>
              <w:rPr>
                <w:rFonts w:eastAsia="Times New Roman"/>
                <w:szCs w:val="21"/>
              </w:rPr>
            </w:pPr>
            <w:r>
              <w:rPr>
                <w:rFonts w:eastAsia="Times New Roman"/>
                <w:spacing w:val="-6"/>
                <w:szCs w:val="21"/>
              </w:rPr>
              <w:t>1</w:t>
            </w:r>
            <w:r>
              <w:rPr>
                <w:rFonts w:eastAsia="Times New Roman"/>
                <w:spacing w:val="-5"/>
                <w:szCs w:val="21"/>
              </w:rPr>
              <w:t>2</w:t>
            </w:r>
            <w:r>
              <w:rPr>
                <w:rFonts w:eastAsia="Times New Roman"/>
                <w:spacing w:val="-3"/>
                <w:szCs w:val="21"/>
              </w:rPr>
              <w:t>17.9</w:t>
            </w:r>
          </w:p>
        </w:tc>
        <w:tc>
          <w:tcPr>
            <w:tcW w:w="1572" w:type="dxa"/>
          </w:tcPr>
          <w:p w14:paraId="38C48C47">
            <w:pPr>
              <w:spacing w:before="238" w:line="186" w:lineRule="auto"/>
              <w:ind w:left="587"/>
              <w:rPr>
                <w:rFonts w:eastAsia="Times New Roman"/>
                <w:szCs w:val="21"/>
              </w:rPr>
            </w:pPr>
            <w:r>
              <w:rPr>
                <w:rFonts w:eastAsia="Times New Roman"/>
                <w:spacing w:val="-8"/>
                <w:szCs w:val="21"/>
              </w:rPr>
              <w:t>1</w:t>
            </w:r>
            <w:r>
              <w:rPr>
                <w:rFonts w:eastAsia="Times New Roman"/>
                <w:spacing w:val="-5"/>
                <w:szCs w:val="21"/>
              </w:rPr>
              <w:t>600</w:t>
            </w:r>
          </w:p>
        </w:tc>
        <w:tc>
          <w:tcPr>
            <w:tcW w:w="1635" w:type="dxa"/>
          </w:tcPr>
          <w:p w14:paraId="7F8DB419">
            <w:pPr>
              <w:spacing w:before="41" w:line="241" w:lineRule="auto"/>
              <w:ind w:left="184" w:right="183" w:hanging="5"/>
              <w:rPr>
                <w:szCs w:val="21"/>
              </w:rPr>
            </w:pPr>
            <w:r>
              <w:rPr>
                <w:rFonts w:eastAsia="Times New Roman"/>
                <w:spacing w:val="-8"/>
                <w:szCs w:val="21"/>
              </w:rPr>
              <w:t>1</w:t>
            </w:r>
            <w:r>
              <w:rPr>
                <w:rFonts w:eastAsia="Times New Roman"/>
                <w:spacing w:val="-6"/>
                <w:szCs w:val="21"/>
              </w:rPr>
              <w:t>6</w:t>
            </w:r>
            <w:r>
              <w:rPr>
                <w:rFonts w:eastAsia="Times New Roman"/>
                <w:spacing w:val="-4"/>
                <w:szCs w:val="21"/>
              </w:rPr>
              <w:t>00</w:t>
            </w:r>
            <w:r>
              <w:rPr>
                <w:spacing w:val="-4"/>
                <w:szCs w:val="21"/>
              </w:rPr>
              <w:t>(</w:t>
            </w:r>
            <w:r>
              <w:rPr>
                <w:rFonts w:eastAsia="Times New Roman"/>
                <w:spacing w:val="-4"/>
                <w:szCs w:val="21"/>
              </w:rPr>
              <w:t>1200</w:t>
            </w:r>
            <w:r>
              <w:rPr>
                <w:spacing w:val="-4"/>
                <w:szCs w:val="21"/>
              </w:rPr>
              <w:t>、</w:t>
            </w:r>
            <w:r>
              <w:rPr>
                <w:rFonts w:eastAsia="Times New Roman"/>
                <w:spacing w:val="-2"/>
                <w:szCs w:val="21"/>
              </w:rPr>
              <w:t>400</w:t>
            </w:r>
            <w:r>
              <w:rPr>
                <w:spacing w:val="-1"/>
                <w:szCs w:val="21"/>
              </w:rPr>
              <w:t>各一个)</w:t>
            </w:r>
          </w:p>
        </w:tc>
        <w:tc>
          <w:tcPr>
            <w:tcW w:w="896" w:type="dxa"/>
          </w:tcPr>
          <w:p w14:paraId="27440061">
            <w:pPr>
              <w:spacing w:before="198" w:line="220" w:lineRule="auto"/>
              <w:ind w:left="232"/>
              <w:rPr>
                <w:szCs w:val="21"/>
              </w:rPr>
            </w:pPr>
            <w:r>
              <w:rPr>
                <w:spacing w:val="-3"/>
                <w:szCs w:val="21"/>
              </w:rPr>
              <w:t>满</w:t>
            </w:r>
            <w:r>
              <w:rPr>
                <w:spacing w:val="-2"/>
                <w:szCs w:val="21"/>
              </w:rPr>
              <w:t>足</w:t>
            </w:r>
          </w:p>
        </w:tc>
      </w:tr>
      <w:tr w14:paraId="253CA7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704" w:type="dxa"/>
          </w:tcPr>
          <w:p w14:paraId="4824F8D5">
            <w:pPr>
              <w:spacing w:before="243" w:line="186" w:lineRule="auto"/>
              <w:ind w:left="300"/>
              <w:rPr>
                <w:rFonts w:eastAsia="Times New Roman"/>
                <w:szCs w:val="21"/>
              </w:rPr>
            </w:pPr>
            <w:r>
              <w:rPr>
                <w:rFonts w:eastAsia="Times New Roman"/>
                <w:szCs w:val="21"/>
              </w:rPr>
              <w:t>3</w:t>
            </w:r>
          </w:p>
        </w:tc>
        <w:tc>
          <w:tcPr>
            <w:tcW w:w="1988" w:type="dxa"/>
          </w:tcPr>
          <w:p w14:paraId="368B8F8F">
            <w:pPr>
              <w:spacing w:before="47" w:line="241" w:lineRule="auto"/>
              <w:ind w:left="556" w:right="116" w:hanging="444"/>
              <w:rPr>
                <w:szCs w:val="21"/>
              </w:rPr>
            </w:pPr>
            <w:r>
              <w:rPr>
                <w:spacing w:val="-1"/>
                <w:szCs w:val="21"/>
              </w:rPr>
              <w:t>恒诚制药集团</w:t>
            </w:r>
            <w:r>
              <w:rPr>
                <w:szCs w:val="21"/>
              </w:rPr>
              <w:t xml:space="preserve">淮南 </w:t>
            </w:r>
            <w:r>
              <w:rPr>
                <w:spacing w:val="-2"/>
                <w:szCs w:val="21"/>
              </w:rPr>
              <w:t>有限公司</w:t>
            </w:r>
          </w:p>
        </w:tc>
        <w:tc>
          <w:tcPr>
            <w:tcW w:w="800" w:type="dxa"/>
          </w:tcPr>
          <w:p w14:paraId="7998BE48">
            <w:pPr>
              <w:spacing w:before="202" w:line="220" w:lineRule="auto"/>
              <w:ind w:left="183"/>
              <w:rPr>
                <w:szCs w:val="21"/>
              </w:rPr>
            </w:pPr>
            <w:r>
              <w:rPr>
                <w:spacing w:val="-2"/>
                <w:szCs w:val="21"/>
              </w:rPr>
              <w:t>在产</w:t>
            </w:r>
          </w:p>
        </w:tc>
        <w:tc>
          <w:tcPr>
            <w:tcW w:w="1699" w:type="dxa"/>
          </w:tcPr>
          <w:p w14:paraId="3B632AF8">
            <w:pPr>
              <w:spacing w:before="243" w:line="186" w:lineRule="auto"/>
              <w:ind w:left="705"/>
              <w:rPr>
                <w:rFonts w:eastAsia="Times New Roman"/>
                <w:szCs w:val="21"/>
              </w:rPr>
            </w:pPr>
            <w:r>
              <w:rPr>
                <w:rFonts w:eastAsia="Times New Roman"/>
                <w:spacing w:val="-5"/>
                <w:szCs w:val="21"/>
              </w:rPr>
              <w:t>137</w:t>
            </w:r>
          </w:p>
        </w:tc>
        <w:tc>
          <w:tcPr>
            <w:tcW w:w="1572" w:type="dxa"/>
          </w:tcPr>
          <w:p w14:paraId="37397D48">
            <w:pPr>
              <w:spacing w:before="243" w:line="186" w:lineRule="auto"/>
              <w:ind w:left="643"/>
              <w:rPr>
                <w:rFonts w:eastAsia="Times New Roman"/>
                <w:szCs w:val="21"/>
              </w:rPr>
            </w:pPr>
            <w:r>
              <w:rPr>
                <w:rFonts w:eastAsia="Times New Roman"/>
                <w:spacing w:val="-5"/>
                <w:szCs w:val="21"/>
              </w:rPr>
              <w:t>150</w:t>
            </w:r>
          </w:p>
        </w:tc>
        <w:tc>
          <w:tcPr>
            <w:tcW w:w="1635" w:type="dxa"/>
          </w:tcPr>
          <w:p w14:paraId="5FD2C7C7">
            <w:pPr>
              <w:spacing w:before="243" w:line="186" w:lineRule="auto"/>
              <w:ind w:left="675"/>
              <w:rPr>
                <w:rFonts w:eastAsia="Times New Roman"/>
                <w:szCs w:val="21"/>
              </w:rPr>
            </w:pPr>
            <w:r>
              <w:rPr>
                <w:rFonts w:eastAsia="Times New Roman"/>
                <w:spacing w:val="-5"/>
                <w:szCs w:val="21"/>
              </w:rPr>
              <w:t>150</w:t>
            </w:r>
          </w:p>
        </w:tc>
        <w:tc>
          <w:tcPr>
            <w:tcW w:w="896" w:type="dxa"/>
          </w:tcPr>
          <w:p w14:paraId="703452C9">
            <w:pPr>
              <w:spacing w:before="202" w:line="220" w:lineRule="auto"/>
              <w:ind w:left="232"/>
              <w:rPr>
                <w:szCs w:val="21"/>
              </w:rPr>
            </w:pPr>
            <w:r>
              <w:rPr>
                <w:spacing w:val="-3"/>
                <w:szCs w:val="21"/>
              </w:rPr>
              <w:t>满</w:t>
            </w:r>
            <w:r>
              <w:rPr>
                <w:spacing w:val="-2"/>
                <w:szCs w:val="21"/>
              </w:rPr>
              <w:t>足</w:t>
            </w:r>
          </w:p>
        </w:tc>
      </w:tr>
      <w:tr w14:paraId="48727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04" w:type="dxa"/>
          </w:tcPr>
          <w:p w14:paraId="34770B20">
            <w:pPr>
              <w:spacing w:before="241" w:line="186" w:lineRule="auto"/>
              <w:ind w:left="294"/>
              <w:rPr>
                <w:rFonts w:eastAsia="Times New Roman"/>
                <w:szCs w:val="21"/>
              </w:rPr>
            </w:pPr>
            <w:r>
              <w:rPr>
                <w:rFonts w:eastAsia="Times New Roman"/>
                <w:szCs w:val="21"/>
              </w:rPr>
              <w:t>4</w:t>
            </w:r>
          </w:p>
        </w:tc>
        <w:tc>
          <w:tcPr>
            <w:tcW w:w="1988" w:type="dxa"/>
          </w:tcPr>
          <w:p w14:paraId="7D4120D4">
            <w:pPr>
              <w:spacing w:before="45" w:line="241" w:lineRule="auto"/>
              <w:ind w:left="448" w:right="116" w:hanging="329"/>
              <w:rPr>
                <w:szCs w:val="21"/>
              </w:rPr>
            </w:pPr>
            <w:r>
              <w:rPr>
                <w:spacing w:val="-2"/>
                <w:szCs w:val="21"/>
              </w:rPr>
              <w:t>安徽水卫士</w:t>
            </w:r>
            <w:r>
              <w:rPr>
                <w:spacing w:val="-1"/>
                <w:szCs w:val="21"/>
              </w:rPr>
              <w:t>环保科</w:t>
            </w:r>
            <w:r>
              <w:rPr>
                <w:spacing w:val="-2"/>
                <w:szCs w:val="21"/>
              </w:rPr>
              <w:t>技有限</w:t>
            </w:r>
            <w:r>
              <w:rPr>
                <w:spacing w:val="-1"/>
                <w:szCs w:val="21"/>
              </w:rPr>
              <w:t>公司</w:t>
            </w:r>
          </w:p>
        </w:tc>
        <w:tc>
          <w:tcPr>
            <w:tcW w:w="800" w:type="dxa"/>
          </w:tcPr>
          <w:p w14:paraId="770BEAC7">
            <w:pPr>
              <w:spacing w:before="204" w:line="220" w:lineRule="auto"/>
              <w:ind w:left="185"/>
              <w:rPr>
                <w:szCs w:val="21"/>
              </w:rPr>
            </w:pPr>
            <w:r>
              <w:rPr>
                <w:spacing w:val="-3"/>
                <w:szCs w:val="21"/>
              </w:rPr>
              <w:t>停</w:t>
            </w:r>
            <w:r>
              <w:rPr>
                <w:spacing w:val="-2"/>
                <w:szCs w:val="21"/>
              </w:rPr>
              <w:t>产</w:t>
            </w:r>
          </w:p>
        </w:tc>
        <w:tc>
          <w:tcPr>
            <w:tcW w:w="1699" w:type="dxa"/>
          </w:tcPr>
          <w:p w14:paraId="39FB76C2">
            <w:pPr>
              <w:spacing w:before="241" w:line="186" w:lineRule="auto"/>
              <w:ind w:left="761"/>
              <w:rPr>
                <w:rFonts w:eastAsia="Times New Roman"/>
                <w:szCs w:val="21"/>
              </w:rPr>
            </w:pPr>
            <w:r>
              <w:rPr>
                <w:rFonts w:eastAsia="Times New Roman"/>
                <w:spacing w:val="-6"/>
                <w:szCs w:val="21"/>
              </w:rPr>
              <w:t>17</w:t>
            </w:r>
          </w:p>
        </w:tc>
        <w:tc>
          <w:tcPr>
            <w:tcW w:w="1572" w:type="dxa"/>
          </w:tcPr>
          <w:p w14:paraId="2CB725C4">
            <w:pPr>
              <w:spacing w:before="241" w:line="186" w:lineRule="auto"/>
              <w:ind w:left="687"/>
              <w:rPr>
                <w:rFonts w:eastAsia="Times New Roman"/>
                <w:szCs w:val="21"/>
              </w:rPr>
            </w:pPr>
            <w:r>
              <w:rPr>
                <w:rFonts w:eastAsia="Times New Roman"/>
                <w:spacing w:val="-3"/>
                <w:szCs w:val="21"/>
              </w:rPr>
              <w:t>80</w:t>
            </w:r>
          </w:p>
        </w:tc>
        <w:tc>
          <w:tcPr>
            <w:tcW w:w="1635" w:type="dxa"/>
          </w:tcPr>
          <w:p w14:paraId="34EE021A">
            <w:pPr>
              <w:spacing w:before="241" w:line="186" w:lineRule="auto"/>
              <w:ind w:left="719"/>
              <w:rPr>
                <w:rFonts w:eastAsia="Times New Roman"/>
                <w:szCs w:val="21"/>
              </w:rPr>
            </w:pPr>
            <w:r>
              <w:rPr>
                <w:rFonts w:eastAsia="Times New Roman"/>
                <w:spacing w:val="-3"/>
                <w:szCs w:val="21"/>
              </w:rPr>
              <w:t>80</w:t>
            </w:r>
          </w:p>
        </w:tc>
        <w:tc>
          <w:tcPr>
            <w:tcW w:w="896" w:type="dxa"/>
          </w:tcPr>
          <w:p w14:paraId="7B602FD6">
            <w:pPr>
              <w:spacing w:before="200" w:line="220" w:lineRule="auto"/>
              <w:ind w:left="232"/>
              <w:rPr>
                <w:szCs w:val="21"/>
              </w:rPr>
            </w:pPr>
            <w:r>
              <w:rPr>
                <w:spacing w:val="-3"/>
                <w:szCs w:val="21"/>
              </w:rPr>
              <w:t>满</w:t>
            </w:r>
            <w:r>
              <w:rPr>
                <w:spacing w:val="-2"/>
                <w:szCs w:val="21"/>
              </w:rPr>
              <w:t>足</w:t>
            </w:r>
          </w:p>
        </w:tc>
      </w:tr>
      <w:tr w14:paraId="2C7CE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4" w:type="dxa"/>
          </w:tcPr>
          <w:p w14:paraId="107B2344">
            <w:pPr>
              <w:spacing w:before="249" w:line="183" w:lineRule="auto"/>
              <w:ind w:left="301"/>
              <w:rPr>
                <w:rFonts w:eastAsia="Times New Roman"/>
                <w:szCs w:val="21"/>
              </w:rPr>
            </w:pPr>
            <w:r>
              <w:rPr>
                <w:rFonts w:eastAsia="Times New Roman"/>
                <w:szCs w:val="21"/>
              </w:rPr>
              <w:t>5</w:t>
            </w:r>
          </w:p>
        </w:tc>
        <w:tc>
          <w:tcPr>
            <w:tcW w:w="1988" w:type="dxa"/>
          </w:tcPr>
          <w:p w14:paraId="773A5186">
            <w:pPr>
              <w:spacing w:before="49" w:line="241" w:lineRule="auto"/>
              <w:ind w:left="131" w:right="116" w:hanging="16"/>
              <w:rPr>
                <w:szCs w:val="21"/>
              </w:rPr>
            </w:pPr>
            <w:r>
              <w:rPr>
                <w:spacing w:val="-2"/>
                <w:szCs w:val="21"/>
              </w:rPr>
              <w:t>淮</w:t>
            </w:r>
            <w:r>
              <w:rPr>
                <w:spacing w:val="-1"/>
                <w:szCs w:val="21"/>
              </w:rPr>
              <w:t>南经济技术开发</w:t>
            </w:r>
            <w:r>
              <w:rPr>
                <w:spacing w:val="-4"/>
                <w:szCs w:val="21"/>
              </w:rPr>
              <w:t>区</w:t>
            </w:r>
            <w:r>
              <w:rPr>
                <w:spacing w:val="-3"/>
                <w:szCs w:val="21"/>
              </w:rPr>
              <w:t>工业污水处理厂</w:t>
            </w:r>
          </w:p>
        </w:tc>
        <w:tc>
          <w:tcPr>
            <w:tcW w:w="800" w:type="dxa"/>
          </w:tcPr>
          <w:p w14:paraId="1CB69626">
            <w:pPr>
              <w:spacing w:before="205" w:line="220" w:lineRule="auto"/>
              <w:ind w:left="183"/>
              <w:rPr>
                <w:szCs w:val="21"/>
              </w:rPr>
            </w:pPr>
            <w:r>
              <w:rPr>
                <w:spacing w:val="-2"/>
                <w:szCs w:val="21"/>
              </w:rPr>
              <w:t>在产</w:t>
            </w:r>
          </w:p>
        </w:tc>
        <w:tc>
          <w:tcPr>
            <w:tcW w:w="1699" w:type="dxa"/>
          </w:tcPr>
          <w:p w14:paraId="32627DDC">
            <w:pPr>
              <w:spacing w:before="246" w:line="186" w:lineRule="auto"/>
              <w:ind w:left="649"/>
              <w:rPr>
                <w:rFonts w:eastAsia="Times New Roman"/>
                <w:szCs w:val="21"/>
              </w:rPr>
            </w:pPr>
            <w:r>
              <w:rPr>
                <w:rFonts w:eastAsia="Times New Roman"/>
                <w:spacing w:val="-8"/>
                <w:szCs w:val="21"/>
              </w:rPr>
              <w:t>1</w:t>
            </w:r>
            <w:r>
              <w:rPr>
                <w:rFonts w:eastAsia="Times New Roman"/>
                <w:spacing w:val="-5"/>
                <w:szCs w:val="21"/>
              </w:rPr>
              <w:t>250</w:t>
            </w:r>
          </w:p>
        </w:tc>
        <w:tc>
          <w:tcPr>
            <w:tcW w:w="1572" w:type="dxa"/>
          </w:tcPr>
          <w:p w14:paraId="7FBB5999">
            <w:pPr>
              <w:spacing w:before="246" w:line="186" w:lineRule="auto"/>
              <w:ind w:left="572"/>
              <w:rPr>
                <w:rFonts w:eastAsia="Times New Roman"/>
                <w:szCs w:val="21"/>
              </w:rPr>
            </w:pPr>
            <w:r>
              <w:rPr>
                <w:rFonts w:eastAsia="Times New Roman"/>
                <w:spacing w:val="-2"/>
                <w:szCs w:val="21"/>
              </w:rPr>
              <w:t>5000</w:t>
            </w:r>
          </w:p>
        </w:tc>
        <w:tc>
          <w:tcPr>
            <w:tcW w:w="1635" w:type="dxa"/>
          </w:tcPr>
          <w:p w14:paraId="290C862D">
            <w:pPr>
              <w:spacing w:before="246" w:line="186" w:lineRule="auto"/>
              <w:ind w:left="604"/>
              <w:rPr>
                <w:rFonts w:eastAsia="Times New Roman"/>
                <w:szCs w:val="21"/>
              </w:rPr>
            </w:pPr>
            <w:r>
              <w:rPr>
                <w:rFonts w:eastAsia="Times New Roman"/>
                <w:spacing w:val="-2"/>
                <w:szCs w:val="21"/>
              </w:rPr>
              <w:t>5000</w:t>
            </w:r>
          </w:p>
        </w:tc>
        <w:tc>
          <w:tcPr>
            <w:tcW w:w="896" w:type="dxa"/>
          </w:tcPr>
          <w:p w14:paraId="13C2B18A">
            <w:pPr>
              <w:spacing w:before="205" w:line="220" w:lineRule="auto"/>
              <w:ind w:left="232"/>
              <w:rPr>
                <w:szCs w:val="21"/>
              </w:rPr>
            </w:pPr>
            <w:r>
              <w:rPr>
                <w:spacing w:val="-3"/>
                <w:szCs w:val="21"/>
              </w:rPr>
              <w:t>满</w:t>
            </w:r>
            <w:r>
              <w:rPr>
                <w:spacing w:val="-2"/>
                <w:szCs w:val="21"/>
              </w:rPr>
              <w:t>足</w:t>
            </w:r>
          </w:p>
        </w:tc>
      </w:tr>
      <w:tr w14:paraId="767D9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4" w:type="dxa"/>
          </w:tcPr>
          <w:p w14:paraId="0865C685">
            <w:pPr>
              <w:spacing w:before="249" w:line="183" w:lineRule="auto"/>
              <w:ind w:left="301"/>
              <w:rPr>
                <w:szCs w:val="21"/>
              </w:rPr>
            </w:pPr>
            <w:r>
              <w:rPr>
                <w:szCs w:val="21"/>
              </w:rPr>
              <w:t>6</w:t>
            </w:r>
          </w:p>
        </w:tc>
        <w:tc>
          <w:tcPr>
            <w:tcW w:w="1988" w:type="dxa"/>
          </w:tcPr>
          <w:p w14:paraId="691A8600">
            <w:pPr>
              <w:spacing w:before="49" w:line="241" w:lineRule="auto"/>
              <w:ind w:left="131" w:right="116" w:hanging="16"/>
              <w:rPr>
                <w:spacing w:val="-2"/>
                <w:szCs w:val="21"/>
              </w:rPr>
            </w:pPr>
            <w:r>
              <w:rPr>
                <w:sz w:val="24"/>
              </w:rPr>
              <w:t>淮南锦德生物科技有限公司</w:t>
            </w:r>
          </w:p>
        </w:tc>
        <w:tc>
          <w:tcPr>
            <w:tcW w:w="800" w:type="dxa"/>
          </w:tcPr>
          <w:p w14:paraId="5600840D">
            <w:pPr>
              <w:spacing w:before="205" w:line="220" w:lineRule="auto"/>
              <w:ind w:left="183"/>
              <w:rPr>
                <w:spacing w:val="-2"/>
                <w:szCs w:val="21"/>
              </w:rPr>
            </w:pPr>
            <w:r>
              <w:rPr>
                <w:spacing w:val="-2"/>
                <w:szCs w:val="21"/>
              </w:rPr>
              <w:t>在建</w:t>
            </w:r>
          </w:p>
        </w:tc>
        <w:tc>
          <w:tcPr>
            <w:tcW w:w="1699" w:type="dxa"/>
          </w:tcPr>
          <w:p w14:paraId="6E6FF5E7">
            <w:pPr>
              <w:spacing w:before="246" w:line="186" w:lineRule="auto"/>
              <w:ind w:left="649"/>
              <w:rPr>
                <w:spacing w:val="-8"/>
                <w:szCs w:val="21"/>
              </w:rPr>
            </w:pPr>
            <w:r>
              <w:rPr>
                <w:spacing w:val="-8"/>
                <w:szCs w:val="21"/>
              </w:rPr>
              <w:t>346</w:t>
            </w:r>
          </w:p>
        </w:tc>
        <w:tc>
          <w:tcPr>
            <w:tcW w:w="1572" w:type="dxa"/>
          </w:tcPr>
          <w:p w14:paraId="17759F03">
            <w:pPr>
              <w:spacing w:before="246" w:line="186" w:lineRule="auto"/>
              <w:ind w:left="572"/>
              <w:rPr>
                <w:spacing w:val="-2"/>
                <w:szCs w:val="21"/>
              </w:rPr>
            </w:pPr>
            <w:r>
              <w:rPr>
                <w:spacing w:val="-2"/>
                <w:szCs w:val="21"/>
              </w:rPr>
              <w:t>820</w:t>
            </w:r>
          </w:p>
        </w:tc>
        <w:tc>
          <w:tcPr>
            <w:tcW w:w="1635" w:type="dxa"/>
          </w:tcPr>
          <w:p w14:paraId="7B236189">
            <w:pPr>
              <w:spacing w:before="246" w:line="186" w:lineRule="auto"/>
              <w:ind w:left="604"/>
              <w:rPr>
                <w:spacing w:val="-2"/>
                <w:szCs w:val="21"/>
              </w:rPr>
            </w:pPr>
            <w:r>
              <w:rPr>
                <w:spacing w:val="-2"/>
                <w:szCs w:val="21"/>
              </w:rPr>
              <w:t>820</w:t>
            </w:r>
          </w:p>
        </w:tc>
        <w:tc>
          <w:tcPr>
            <w:tcW w:w="896" w:type="dxa"/>
          </w:tcPr>
          <w:p w14:paraId="7E96CA03">
            <w:pPr>
              <w:spacing w:before="205" w:line="220" w:lineRule="auto"/>
              <w:ind w:left="232"/>
              <w:rPr>
                <w:spacing w:val="-3"/>
                <w:szCs w:val="21"/>
              </w:rPr>
            </w:pPr>
            <w:r>
              <w:rPr>
                <w:spacing w:val="-3"/>
                <w:szCs w:val="21"/>
              </w:rPr>
              <w:t>满</w:t>
            </w:r>
            <w:r>
              <w:rPr>
                <w:spacing w:val="-2"/>
                <w:szCs w:val="21"/>
              </w:rPr>
              <w:t>足</w:t>
            </w:r>
          </w:p>
        </w:tc>
      </w:tr>
      <w:tr w14:paraId="2F611C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4" w:type="dxa"/>
          </w:tcPr>
          <w:p w14:paraId="7E564AAB">
            <w:pPr>
              <w:spacing w:before="249" w:line="183" w:lineRule="auto"/>
              <w:ind w:left="301"/>
              <w:rPr>
                <w:szCs w:val="21"/>
              </w:rPr>
            </w:pPr>
            <w:r>
              <w:rPr>
                <w:szCs w:val="21"/>
              </w:rPr>
              <w:t>7</w:t>
            </w:r>
          </w:p>
        </w:tc>
        <w:tc>
          <w:tcPr>
            <w:tcW w:w="1988" w:type="dxa"/>
          </w:tcPr>
          <w:p w14:paraId="54047802">
            <w:pPr>
              <w:spacing w:before="49" w:line="241" w:lineRule="auto"/>
              <w:ind w:left="131" w:right="116" w:hanging="16"/>
              <w:rPr>
                <w:spacing w:val="-2"/>
                <w:szCs w:val="21"/>
              </w:rPr>
            </w:pPr>
            <w:r>
              <w:rPr>
                <w:sz w:val="24"/>
              </w:rPr>
              <w:t>安徽森吉制药有限公司</w:t>
            </w:r>
          </w:p>
        </w:tc>
        <w:tc>
          <w:tcPr>
            <w:tcW w:w="800" w:type="dxa"/>
          </w:tcPr>
          <w:p w14:paraId="176FF975">
            <w:pPr>
              <w:spacing w:before="205" w:line="220" w:lineRule="auto"/>
              <w:ind w:left="183"/>
              <w:rPr>
                <w:spacing w:val="-2"/>
                <w:szCs w:val="21"/>
              </w:rPr>
            </w:pPr>
            <w:r>
              <w:rPr>
                <w:spacing w:val="-2"/>
                <w:szCs w:val="21"/>
              </w:rPr>
              <w:t>在建</w:t>
            </w:r>
          </w:p>
        </w:tc>
        <w:tc>
          <w:tcPr>
            <w:tcW w:w="1699" w:type="dxa"/>
          </w:tcPr>
          <w:p w14:paraId="71647A46">
            <w:pPr>
              <w:spacing w:before="246" w:line="186" w:lineRule="auto"/>
              <w:ind w:left="649"/>
              <w:rPr>
                <w:rFonts w:eastAsia="Times New Roman"/>
                <w:spacing w:val="-8"/>
                <w:szCs w:val="21"/>
              </w:rPr>
            </w:pPr>
            <w:r>
              <w:rPr>
                <w:spacing w:val="-8"/>
                <w:szCs w:val="21"/>
              </w:rPr>
              <w:t>1056</w:t>
            </w:r>
          </w:p>
        </w:tc>
        <w:tc>
          <w:tcPr>
            <w:tcW w:w="1572" w:type="dxa"/>
          </w:tcPr>
          <w:p w14:paraId="43226B81">
            <w:pPr>
              <w:spacing w:before="246" w:line="186" w:lineRule="auto"/>
              <w:ind w:left="572"/>
              <w:rPr>
                <w:spacing w:val="-2"/>
                <w:szCs w:val="21"/>
              </w:rPr>
            </w:pPr>
            <w:r>
              <w:rPr>
                <w:spacing w:val="-2"/>
                <w:szCs w:val="21"/>
              </w:rPr>
              <w:t>1200</w:t>
            </w:r>
          </w:p>
        </w:tc>
        <w:tc>
          <w:tcPr>
            <w:tcW w:w="1635" w:type="dxa"/>
          </w:tcPr>
          <w:p w14:paraId="725FA2F5">
            <w:pPr>
              <w:spacing w:before="246" w:line="186" w:lineRule="auto"/>
              <w:ind w:left="604"/>
              <w:rPr>
                <w:spacing w:val="-2"/>
                <w:szCs w:val="21"/>
              </w:rPr>
            </w:pPr>
            <w:r>
              <w:rPr>
                <w:spacing w:val="-2"/>
                <w:szCs w:val="21"/>
              </w:rPr>
              <w:t>1200</w:t>
            </w:r>
          </w:p>
        </w:tc>
        <w:tc>
          <w:tcPr>
            <w:tcW w:w="896" w:type="dxa"/>
          </w:tcPr>
          <w:p w14:paraId="675AF008">
            <w:pPr>
              <w:spacing w:before="205" w:line="220" w:lineRule="auto"/>
              <w:ind w:left="232"/>
              <w:rPr>
                <w:spacing w:val="-3"/>
                <w:szCs w:val="21"/>
              </w:rPr>
            </w:pPr>
            <w:r>
              <w:rPr>
                <w:spacing w:val="-3"/>
                <w:szCs w:val="21"/>
              </w:rPr>
              <w:t>满</w:t>
            </w:r>
            <w:r>
              <w:rPr>
                <w:spacing w:val="-2"/>
                <w:szCs w:val="21"/>
              </w:rPr>
              <w:t>足</w:t>
            </w:r>
          </w:p>
        </w:tc>
      </w:tr>
      <w:tr w14:paraId="0FFD8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04" w:type="dxa"/>
          </w:tcPr>
          <w:p w14:paraId="3600249E">
            <w:pPr>
              <w:spacing w:before="249" w:line="183" w:lineRule="auto"/>
              <w:ind w:left="301"/>
              <w:rPr>
                <w:szCs w:val="21"/>
              </w:rPr>
            </w:pPr>
            <w:r>
              <w:rPr>
                <w:szCs w:val="21"/>
              </w:rPr>
              <w:t>8</w:t>
            </w:r>
          </w:p>
        </w:tc>
        <w:tc>
          <w:tcPr>
            <w:tcW w:w="1988" w:type="dxa"/>
          </w:tcPr>
          <w:p w14:paraId="20F6C123">
            <w:pPr>
              <w:spacing w:before="49" w:line="241" w:lineRule="auto"/>
              <w:ind w:left="131" w:right="116" w:hanging="16"/>
              <w:rPr>
                <w:spacing w:val="-2"/>
                <w:szCs w:val="21"/>
              </w:rPr>
            </w:pPr>
            <w:r>
              <w:rPr>
                <w:sz w:val="24"/>
              </w:rPr>
              <w:t>安徽山河药用辅料股份有限公司。</w:t>
            </w:r>
          </w:p>
        </w:tc>
        <w:tc>
          <w:tcPr>
            <w:tcW w:w="800" w:type="dxa"/>
          </w:tcPr>
          <w:p w14:paraId="38734D97">
            <w:pPr>
              <w:spacing w:before="205" w:line="220" w:lineRule="auto"/>
              <w:ind w:left="183"/>
              <w:rPr>
                <w:spacing w:val="-2"/>
                <w:szCs w:val="21"/>
              </w:rPr>
            </w:pPr>
            <w:r>
              <w:rPr>
                <w:spacing w:val="-2"/>
                <w:szCs w:val="21"/>
              </w:rPr>
              <w:t>在建</w:t>
            </w:r>
          </w:p>
        </w:tc>
        <w:tc>
          <w:tcPr>
            <w:tcW w:w="1699" w:type="dxa"/>
          </w:tcPr>
          <w:p w14:paraId="078792D8">
            <w:pPr>
              <w:spacing w:before="246" w:line="186" w:lineRule="auto"/>
              <w:ind w:left="649"/>
              <w:rPr>
                <w:rFonts w:eastAsia="Times New Roman"/>
                <w:spacing w:val="-8"/>
                <w:szCs w:val="21"/>
              </w:rPr>
            </w:pPr>
            <w:r>
              <w:rPr>
                <w:spacing w:val="-8"/>
                <w:szCs w:val="21"/>
              </w:rPr>
              <w:t>1308</w:t>
            </w:r>
          </w:p>
        </w:tc>
        <w:tc>
          <w:tcPr>
            <w:tcW w:w="1572" w:type="dxa"/>
          </w:tcPr>
          <w:p w14:paraId="204BCE7E">
            <w:pPr>
              <w:spacing w:before="246" w:line="186" w:lineRule="auto"/>
              <w:ind w:left="572"/>
              <w:rPr>
                <w:spacing w:val="-2"/>
                <w:szCs w:val="21"/>
              </w:rPr>
            </w:pPr>
            <w:r>
              <w:rPr>
                <w:spacing w:val="-2"/>
                <w:szCs w:val="21"/>
              </w:rPr>
              <w:t>1380</w:t>
            </w:r>
          </w:p>
        </w:tc>
        <w:tc>
          <w:tcPr>
            <w:tcW w:w="1635" w:type="dxa"/>
          </w:tcPr>
          <w:p w14:paraId="53D4C997">
            <w:pPr>
              <w:spacing w:before="246" w:line="186" w:lineRule="auto"/>
              <w:ind w:left="604"/>
              <w:rPr>
                <w:spacing w:val="-2"/>
                <w:szCs w:val="21"/>
              </w:rPr>
            </w:pPr>
            <w:r>
              <w:rPr>
                <w:spacing w:val="-2"/>
                <w:szCs w:val="21"/>
              </w:rPr>
              <w:t>1380</w:t>
            </w:r>
          </w:p>
        </w:tc>
        <w:tc>
          <w:tcPr>
            <w:tcW w:w="896" w:type="dxa"/>
          </w:tcPr>
          <w:p w14:paraId="44403540">
            <w:pPr>
              <w:spacing w:before="205" w:line="220" w:lineRule="auto"/>
              <w:ind w:left="232"/>
              <w:rPr>
                <w:spacing w:val="-3"/>
                <w:szCs w:val="21"/>
              </w:rPr>
            </w:pPr>
            <w:r>
              <w:rPr>
                <w:spacing w:val="-3"/>
                <w:szCs w:val="21"/>
              </w:rPr>
              <w:t>满</w:t>
            </w:r>
            <w:r>
              <w:rPr>
                <w:spacing w:val="-2"/>
                <w:szCs w:val="21"/>
              </w:rPr>
              <w:t>足</w:t>
            </w:r>
          </w:p>
        </w:tc>
      </w:tr>
    </w:tbl>
    <w:p w14:paraId="7846A8E1">
      <w:pPr>
        <w:pStyle w:val="12"/>
        <w:spacing w:line="360" w:lineRule="auto"/>
        <w:ind w:firstLine="480" w:firstLineChars="200"/>
        <w:rPr>
          <w:sz w:val="24"/>
          <w:szCs w:val="24"/>
        </w:rPr>
      </w:pPr>
      <w:r>
        <w:rPr>
          <w:sz w:val="24"/>
          <w:szCs w:val="24"/>
        </w:rPr>
        <w:t>综上，园区目前各企业事故池容积均可满足要求，安徽德邦化工有限公司厂区设置的事故池总有效容积(合计</w:t>
      </w:r>
      <w:r>
        <w:rPr>
          <w:rFonts w:eastAsia="Times New Roman"/>
          <w:sz w:val="24"/>
          <w:szCs w:val="24"/>
        </w:rPr>
        <w:t>4700m</w:t>
      </w:r>
      <w:r>
        <w:rPr>
          <w:sz w:val="24"/>
          <w:szCs w:val="24"/>
          <w:vertAlign w:val="superscript"/>
        </w:rPr>
        <w:t>3</w:t>
      </w:r>
      <w:r>
        <w:rPr>
          <w:sz w:val="24"/>
          <w:szCs w:val="24"/>
        </w:rPr>
        <w:t>)可以满足事故状况下泄漏物料、消防废水、生产废水以及事故降雨(</w:t>
      </w:r>
      <w:r>
        <w:rPr>
          <w:rFonts w:eastAsia="Times New Roman"/>
          <w:sz w:val="24"/>
          <w:szCs w:val="24"/>
        </w:rPr>
        <w:t>3</w:t>
      </w:r>
      <w:r>
        <w:rPr>
          <w:sz w:val="24"/>
          <w:szCs w:val="24"/>
        </w:rPr>
        <w:t>0年一遇)的收集和储存要求，可以做到事故废水不外排，避免了对区域地表水环境造成的事故影响。</w:t>
      </w:r>
    </w:p>
    <w:p w14:paraId="785CD219">
      <w:pPr>
        <w:spacing w:line="360" w:lineRule="auto"/>
        <w:ind w:firstLine="480" w:firstLineChars="200"/>
        <w:rPr>
          <w:sz w:val="24"/>
          <w:szCs w:val="24"/>
        </w:rPr>
      </w:pPr>
      <w:r>
        <w:rPr>
          <w:sz w:val="24"/>
          <w:szCs w:val="24"/>
        </w:rPr>
        <w:t>（2）、化工园区公共事故池需求分析</w:t>
      </w:r>
    </w:p>
    <w:p w14:paraId="68EF7E2A">
      <w:pPr>
        <w:spacing w:line="360" w:lineRule="auto"/>
        <w:ind w:firstLine="480" w:firstLineChars="200"/>
        <w:rPr>
          <w:sz w:val="24"/>
          <w:szCs w:val="24"/>
        </w:rPr>
      </w:pPr>
      <w:r>
        <w:rPr>
          <w:sz w:val="24"/>
          <w:szCs w:val="24"/>
        </w:rPr>
        <w:t>根据最新版《化工园区事故应急设施(池)建设标准》(</w:t>
      </w:r>
      <w:r>
        <w:rPr>
          <w:rFonts w:eastAsia="Times New Roman"/>
          <w:sz w:val="24"/>
          <w:szCs w:val="24"/>
        </w:rPr>
        <w:t>T/CPCIF 0049-2020</w:t>
      </w:r>
      <w:r>
        <w:rPr>
          <w:sz w:val="24"/>
          <w:szCs w:val="24"/>
        </w:rPr>
        <w:t>)，对化工园区安全事故废水进行分析和估算。</w:t>
      </w:r>
    </w:p>
    <w:p w14:paraId="43FE02DF">
      <w:pPr>
        <w:spacing w:line="360" w:lineRule="auto"/>
        <w:ind w:firstLine="480" w:firstLineChars="200"/>
        <w:rPr>
          <w:sz w:val="24"/>
          <w:szCs w:val="24"/>
        </w:rPr>
      </w:pPr>
      <w:r>
        <w:rPr>
          <w:sz w:val="24"/>
          <w:szCs w:val="24"/>
        </w:rPr>
        <w:t>根据要求，化工园区事故应急设施(池)规模应模拟化工园区巨灾情景，根据各企业事故源的设备容量、事故时消防水量及可能进入事故应急储存设施的降水量等综合因素确定。化工园区内各企业同时发生突发环境事件按一次考虑的原则，其容积不宜小于最大的一个事故源企业超出其防控能力可能排放到园区的事故水量。本次计算化工园区公共事故池容积时，考率淮南经开化工园区最大的一个事故源(安徽德邦化工有限公司)巨灾情景，本次考虑发生事故时，暴雨汇水面积按照安徽德邦化工有限公司占地面积进行计算。</w:t>
      </w:r>
    </w:p>
    <w:p w14:paraId="2528768C">
      <w:pPr>
        <w:spacing w:line="360" w:lineRule="auto"/>
        <w:ind w:firstLine="480" w:firstLineChars="200"/>
        <w:rPr>
          <w:sz w:val="24"/>
          <w:szCs w:val="24"/>
        </w:rPr>
      </w:pPr>
      <w:r>
        <w:rPr>
          <w:sz w:val="24"/>
          <w:szCs w:val="24"/>
        </w:rPr>
        <w:t>安徽德邦化工有限公司单处事故废水量计算按照下述公式计算：</w:t>
      </w:r>
    </w:p>
    <w:p w14:paraId="6122DE5F">
      <w:pPr>
        <w:spacing w:line="360" w:lineRule="auto"/>
        <w:ind w:firstLine="480" w:firstLineChars="200"/>
        <w:rPr>
          <w:rFonts w:eastAsia="Times New Roman"/>
          <w:sz w:val="24"/>
          <w:szCs w:val="24"/>
        </w:rPr>
      </w:pPr>
      <w:r>
        <w:rPr>
          <w:rFonts w:eastAsia="Times New Roman"/>
          <w:sz w:val="24"/>
          <w:szCs w:val="24"/>
        </w:rPr>
        <w:t>V</w:t>
      </w:r>
      <w:r>
        <w:rPr>
          <w:sz w:val="24"/>
          <w:szCs w:val="24"/>
        </w:rPr>
        <w:t>＝</w:t>
      </w:r>
      <w:r>
        <w:rPr>
          <w:rFonts w:eastAsia="Times New Roman"/>
          <w:i/>
          <w:iCs/>
          <w:sz w:val="24"/>
          <w:szCs w:val="24"/>
        </w:rPr>
        <w:t>k</w:t>
      </w:r>
      <w:r>
        <w:rPr>
          <w:rFonts w:eastAsia="Times New Roman"/>
          <w:sz w:val="24"/>
          <w:szCs w:val="24"/>
        </w:rPr>
        <w:t>[</w:t>
      </w:r>
      <w:r>
        <w:rPr>
          <w:sz w:val="24"/>
          <w:szCs w:val="24"/>
        </w:rPr>
        <w:t>(</w:t>
      </w:r>
      <w:r>
        <w:rPr>
          <w:rFonts w:eastAsia="Times New Roman"/>
          <w:sz w:val="24"/>
          <w:szCs w:val="24"/>
        </w:rPr>
        <w:t>V1</w:t>
      </w:r>
      <w:r>
        <w:rPr>
          <w:sz w:val="24"/>
          <w:szCs w:val="24"/>
        </w:rPr>
        <w:t>＋</w:t>
      </w:r>
      <w:r>
        <w:rPr>
          <w:rFonts w:eastAsia="Times New Roman"/>
          <w:sz w:val="24"/>
          <w:szCs w:val="24"/>
        </w:rPr>
        <w:t>V2</w:t>
      </w:r>
      <w:r>
        <w:rPr>
          <w:sz w:val="24"/>
          <w:szCs w:val="24"/>
        </w:rPr>
        <w:t>－</w:t>
      </w:r>
      <w:r>
        <w:rPr>
          <w:rFonts w:eastAsia="Times New Roman"/>
          <w:sz w:val="24"/>
          <w:szCs w:val="24"/>
        </w:rPr>
        <w:t>V3</w:t>
      </w:r>
      <w:r>
        <w:rPr>
          <w:sz w:val="24"/>
          <w:szCs w:val="24"/>
        </w:rPr>
        <w:t>－</w:t>
      </w:r>
      <w:r>
        <w:rPr>
          <w:rFonts w:eastAsia="Times New Roman"/>
          <w:sz w:val="24"/>
          <w:szCs w:val="24"/>
        </w:rPr>
        <w:t>V4</w:t>
      </w:r>
      <w:r>
        <w:rPr>
          <w:sz w:val="24"/>
          <w:szCs w:val="24"/>
        </w:rPr>
        <w:t>)</w:t>
      </w:r>
      <w:r>
        <w:rPr>
          <w:rFonts w:eastAsia="Times New Roman"/>
          <w:sz w:val="24"/>
          <w:szCs w:val="24"/>
          <w:vertAlign w:val="subscript"/>
        </w:rPr>
        <w:t>max</w:t>
      </w:r>
      <w:r>
        <w:rPr>
          <w:sz w:val="24"/>
          <w:szCs w:val="24"/>
        </w:rPr>
        <w:t>＋</w:t>
      </w:r>
      <w:r>
        <w:rPr>
          <w:rFonts w:eastAsia="Times New Roman"/>
          <w:sz w:val="24"/>
          <w:szCs w:val="24"/>
        </w:rPr>
        <w:t>V5+V6]</w:t>
      </w:r>
    </w:p>
    <w:p w14:paraId="68379FC3">
      <w:pPr>
        <w:spacing w:line="360" w:lineRule="auto"/>
        <w:ind w:firstLine="480" w:firstLineChars="200"/>
        <w:rPr>
          <w:sz w:val="24"/>
          <w:szCs w:val="24"/>
        </w:rPr>
      </w:pPr>
      <w:r>
        <w:rPr>
          <w:rFonts w:eastAsia="Times New Roman"/>
          <w:sz w:val="24"/>
          <w:szCs w:val="24"/>
        </w:rPr>
        <w:t>V2=∑Q</w:t>
      </w:r>
      <w:r>
        <w:rPr>
          <w:sz w:val="24"/>
          <w:szCs w:val="24"/>
        </w:rPr>
        <w:t>消</w:t>
      </w:r>
      <w:r>
        <w:rPr>
          <w:rFonts w:eastAsia="Times New Roman"/>
          <w:sz w:val="24"/>
          <w:szCs w:val="24"/>
        </w:rPr>
        <w:t>t</w:t>
      </w:r>
      <w:r>
        <w:rPr>
          <w:sz w:val="24"/>
          <w:szCs w:val="24"/>
        </w:rPr>
        <w:t>消</w:t>
      </w:r>
    </w:p>
    <w:p w14:paraId="007F03D5">
      <w:pPr>
        <w:spacing w:line="360" w:lineRule="auto"/>
        <w:ind w:firstLine="480" w:firstLineChars="200"/>
        <w:rPr>
          <w:sz w:val="24"/>
          <w:szCs w:val="24"/>
        </w:rPr>
      </w:pPr>
      <w:r>
        <w:rPr>
          <w:rFonts w:eastAsia="Times New Roman"/>
          <w:sz w:val="24"/>
          <w:szCs w:val="24"/>
        </w:rPr>
        <w:t>V6=1</w:t>
      </w:r>
    </w:p>
    <w:p w14:paraId="6547A9B5">
      <w:pPr>
        <w:spacing w:line="360" w:lineRule="auto"/>
        <w:ind w:firstLine="480" w:firstLineChars="200"/>
        <w:rPr>
          <w:rFonts w:eastAsia="Times New Roman"/>
          <w:sz w:val="24"/>
          <w:szCs w:val="24"/>
        </w:rPr>
      </w:pPr>
      <w:r>
        <w:rPr>
          <w:rFonts w:eastAsia="Times New Roman"/>
          <w:sz w:val="24"/>
          <w:szCs w:val="24"/>
        </w:rPr>
        <w:t>0</w:t>
      </w:r>
      <w:r>
        <w:rPr>
          <w:rFonts w:eastAsia="Times New Roman"/>
          <w:i/>
          <w:iCs/>
          <w:sz w:val="24"/>
          <w:szCs w:val="24"/>
        </w:rPr>
        <w:t>qf</w:t>
      </w:r>
      <w:r>
        <w:rPr>
          <w:rFonts w:eastAsia="Times New Roman"/>
          <w:sz w:val="24"/>
          <w:szCs w:val="24"/>
        </w:rPr>
        <w:t xml:space="preserve"> q=qn/n</w:t>
      </w:r>
    </w:p>
    <w:p w14:paraId="5FE67A98">
      <w:pPr>
        <w:spacing w:line="360" w:lineRule="auto"/>
        <w:ind w:firstLine="480" w:firstLineChars="200"/>
        <w:rPr>
          <w:sz w:val="24"/>
          <w:szCs w:val="24"/>
        </w:rPr>
      </w:pPr>
      <w:r>
        <w:rPr>
          <w:sz w:val="24"/>
          <w:szCs w:val="24"/>
        </w:rPr>
        <w:t>式中：</w:t>
      </w:r>
    </w:p>
    <w:p w14:paraId="23AF7A57">
      <w:pPr>
        <w:spacing w:line="360" w:lineRule="auto"/>
        <w:ind w:firstLine="480" w:firstLineChars="200"/>
        <w:rPr>
          <w:sz w:val="24"/>
          <w:szCs w:val="24"/>
        </w:rPr>
      </w:pPr>
      <w:r>
        <w:rPr>
          <w:rFonts w:eastAsia="Times New Roman"/>
          <w:sz w:val="24"/>
          <w:szCs w:val="24"/>
        </w:rPr>
        <w:t>V—</w:t>
      </w:r>
      <w:r>
        <w:rPr>
          <w:sz w:val="24"/>
          <w:szCs w:val="24"/>
        </w:rPr>
        <w:t>化工园区事故应急储存设施总有效容积的数值，</w:t>
      </w:r>
      <w:r>
        <w:rPr>
          <w:rFonts w:eastAsia="Times New Roman"/>
          <w:sz w:val="24"/>
          <w:szCs w:val="24"/>
        </w:rPr>
        <w:t>m</w:t>
      </w:r>
      <w:r>
        <w:rPr>
          <w:rFonts w:eastAsia="Times New Roman"/>
          <w:sz w:val="24"/>
          <w:szCs w:val="24"/>
          <w:vertAlign w:val="superscript"/>
        </w:rPr>
        <w:t>3</w:t>
      </w:r>
      <w:r>
        <w:rPr>
          <w:sz w:val="24"/>
          <w:szCs w:val="24"/>
        </w:rPr>
        <w:t>；</w:t>
      </w:r>
    </w:p>
    <w:p w14:paraId="30D777E0">
      <w:pPr>
        <w:spacing w:line="360" w:lineRule="auto"/>
        <w:ind w:firstLine="480" w:firstLineChars="200"/>
        <w:rPr>
          <w:sz w:val="24"/>
          <w:szCs w:val="24"/>
        </w:rPr>
      </w:pPr>
      <w:r>
        <w:rPr>
          <w:rFonts w:eastAsia="Times New Roman"/>
          <w:i/>
          <w:iCs/>
          <w:sz w:val="24"/>
          <w:szCs w:val="24"/>
        </w:rPr>
        <w:t>k</w:t>
      </w:r>
      <w:r>
        <w:rPr>
          <w:rFonts w:eastAsia="Times New Roman"/>
          <w:sz w:val="24"/>
          <w:szCs w:val="24"/>
        </w:rPr>
        <w:t>—</w:t>
      </w:r>
      <w:r>
        <w:rPr>
          <w:sz w:val="24"/>
          <w:szCs w:val="24"/>
        </w:rPr>
        <w:t>安全系数(应根据突发环境事件造成的环境危害程度确定，宜用</w:t>
      </w:r>
      <w:r>
        <w:rPr>
          <w:rFonts w:eastAsia="Times New Roman"/>
          <w:i/>
          <w:iCs/>
          <w:sz w:val="24"/>
          <w:szCs w:val="24"/>
        </w:rPr>
        <w:t>k=</w:t>
      </w:r>
      <w:r>
        <w:rPr>
          <w:rFonts w:eastAsia="Times New Roman"/>
          <w:sz w:val="24"/>
          <w:szCs w:val="24"/>
        </w:rPr>
        <w:t>1.2~1.5</w:t>
      </w:r>
      <w:r>
        <w:rPr>
          <w:sz w:val="24"/>
          <w:szCs w:val="24"/>
        </w:rPr>
        <w:t>)，本次选取</w:t>
      </w:r>
      <w:r>
        <w:rPr>
          <w:rFonts w:eastAsia="Times New Roman"/>
          <w:sz w:val="24"/>
          <w:szCs w:val="24"/>
        </w:rPr>
        <w:t>1.2</w:t>
      </w:r>
      <w:r>
        <w:rPr>
          <w:sz w:val="24"/>
          <w:szCs w:val="24"/>
        </w:rPr>
        <w:t>；</w:t>
      </w:r>
    </w:p>
    <w:p w14:paraId="289B291A">
      <w:pPr>
        <w:spacing w:line="360" w:lineRule="auto"/>
        <w:ind w:firstLine="480" w:firstLineChars="200"/>
        <w:rPr>
          <w:sz w:val="24"/>
          <w:szCs w:val="24"/>
        </w:rPr>
      </w:pPr>
      <w:r>
        <w:rPr>
          <w:rFonts w:eastAsia="Times New Roman"/>
          <w:sz w:val="24"/>
          <w:szCs w:val="24"/>
        </w:rPr>
        <w:t>V1—</w:t>
      </w:r>
      <w:r>
        <w:rPr>
          <w:sz w:val="24"/>
          <w:szCs w:val="24"/>
        </w:rPr>
        <w:t>事故时拟定的事故源物料量的数值，</w:t>
      </w:r>
      <w:r>
        <w:rPr>
          <w:rFonts w:eastAsia="Times New Roman"/>
          <w:sz w:val="24"/>
          <w:szCs w:val="24"/>
        </w:rPr>
        <w:t>m</w:t>
      </w:r>
      <w:r>
        <w:rPr>
          <w:rFonts w:eastAsia="Times New Roman"/>
          <w:sz w:val="24"/>
          <w:szCs w:val="24"/>
          <w:vertAlign w:val="superscript"/>
        </w:rPr>
        <w:t>3</w:t>
      </w:r>
      <w:r>
        <w:rPr>
          <w:sz w:val="24"/>
          <w:szCs w:val="24"/>
        </w:rPr>
        <w:t>，本次取单个甲醇储罐最大泄漏量</w:t>
      </w:r>
      <w:r>
        <w:rPr>
          <w:rFonts w:eastAsia="Times New Roman"/>
          <w:sz w:val="24"/>
          <w:szCs w:val="24"/>
        </w:rPr>
        <w:t>240m</w:t>
      </w:r>
      <w:r>
        <w:rPr>
          <w:rFonts w:eastAsia="Times New Roman"/>
          <w:sz w:val="24"/>
          <w:szCs w:val="24"/>
          <w:vertAlign w:val="superscript"/>
        </w:rPr>
        <w:t>3</w:t>
      </w:r>
      <w:r>
        <w:rPr>
          <w:sz w:val="24"/>
          <w:szCs w:val="24"/>
        </w:rPr>
        <w:t>。</w:t>
      </w:r>
    </w:p>
    <w:p w14:paraId="3061ABD0">
      <w:pPr>
        <w:spacing w:line="360" w:lineRule="auto"/>
        <w:ind w:firstLine="480" w:firstLineChars="200"/>
        <w:rPr>
          <w:sz w:val="24"/>
          <w:szCs w:val="24"/>
        </w:rPr>
      </w:pPr>
      <w:r>
        <w:rPr>
          <w:rFonts w:eastAsia="Times New Roman"/>
          <w:sz w:val="24"/>
          <w:szCs w:val="24"/>
        </w:rPr>
        <w:t>V2—</w:t>
      </w:r>
      <w:r>
        <w:rPr>
          <w:sz w:val="24"/>
          <w:szCs w:val="24"/>
        </w:rPr>
        <w:t>发生事故的储罐、装置的消防废水量的数值，</w:t>
      </w:r>
      <w:r>
        <w:rPr>
          <w:rFonts w:eastAsia="Times New Roman"/>
          <w:sz w:val="24"/>
          <w:szCs w:val="24"/>
        </w:rPr>
        <w:t>m</w:t>
      </w:r>
      <w:r>
        <w:rPr>
          <w:rFonts w:eastAsia="Times New Roman"/>
          <w:sz w:val="24"/>
          <w:szCs w:val="24"/>
          <w:vertAlign w:val="superscript"/>
        </w:rPr>
        <w:t>3</w:t>
      </w:r>
      <w:r>
        <w:rPr>
          <w:sz w:val="24"/>
          <w:szCs w:val="24"/>
        </w:rPr>
        <w:t>，参考前文计算，取值</w:t>
      </w:r>
      <w:r>
        <w:rPr>
          <w:rFonts w:eastAsia="Times New Roman"/>
          <w:sz w:val="24"/>
          <w:szCs w:val="24"/>
        </w:rPr>
        <w:t>324m</w:t>
      </w:r>
      <w:r>
        <w:rPr>
          <w:rFonts w:eastAsia="Times New Roman"/>
          <w:sz w:val="24"/>
          <w:szCs w:val="24"/>
          <w:vertAlign w:val="superscript"/>
        </w:rPr>
        <w:t>3</w:t>
      </w:r>
      <w:r>
        <w:rPr>
          <w:sz w:val="24"/>
          <w:szCs w:val="24"/>
        </w:rPr>
        <w:t>。</w:t>
      </w:r>
    </w:p>
    <w:p w14:paraId="63B2A461">
      <w:pPr>
        <w:spacing w:line="360" w:lineRule="auto"/>
        <w:ind w:firstLine="480" w:firstLineChars="200"/>
        <w:rPr>
          <w:sz w:val="24"/>
          <w:szCs w:val="24"/>
        </w:rPr>
      </w:pPr>
      <w:r>
        <w:rPr>
          <w:rFonts w:eastAsia="Times New Roman"/>
          <w:sz w:val="24"/>
          <w:szCs w:val="24"/>
        </w:rPr>
        <w:t>V3—</w:t>
      </w:r>
      <w:r>
        <w:rPr>
          <w:sz w:val="24"/>
          <w:szCs w:val="24"/>
        </w:rPr>
        <w:t>发生事故时可以传输到其他储存或处理设施的物料量的数值，</w:t>
      </w:r>
      <w:r>
        <w:rPr>
          <w:rFonts w:eastAsia="Times New Roman"/>
          <w:sz w:val="24"/>
          <w:szCs w:val="24"/>
        </w:rPr>
        <w:t>m</w:t>
      </w:r>
      <w:r>
        <w:rPr>
          <w:rFonts w:eastAsia="Times New Roman"/>
          <w:sz w:val="24"/>
          <w:szCs w:val="24"/>
          <w:vertAlign w:val="superscript"/>
        </w:rPr>
        <w:t>3</w:t>
      </w:r>
      <w:r>
        <w:rPr>
          <w:sz w:val="24"/>
          <w:szCs w:val="24"/>
        </w:rPr>
        <w:t>，取甲醇罐区围堰(单堤单罐)容积</w:t>
      </w:r>
      <w:r>
        <w:rPr>
          <w:rFonts w:eastAsia="Times New Roman"/>
          <w:sz w:val="24"/>
          <w:szCs w:val="24"/>
        </w:rPr>
        <w:t>604.8m</w:t>
      </w:r>
      <w:r>
        <w:rPr>
          <w:rFonts w:eastAsia="Times New Roman"/>
          <w:sz w:val="24"/>
          <w:szCs w:val="24"/>
          <w:vertAlign w:val="superscript"/>
        </w:rPr>
        <w:t>3</w:t>
      </w:r>
      <w:r>
        <w:rPr>
          <w:sz w:val="24"/>
          <w:szCs w:val="24"/>
        </w:rPr>
        <w:t>。</w:t>
      </w:r>
    </w:p>
    <w:p w14:paraId="4B00AAB6">
      <w:pPr>
        <w:spacing w:line="360" w:lineRule="auto"/>
        <w:ind w:firstLine="480" w:firstLineChars="200"/>
        <w:rPr>
          <w:sz w:val="24"/>
          <w:szCs w:val="24"/>
        </w:rPr>
      </w:pPr>
      <w:r>
        <w:rPr>
          <w:rFonts w:eastAsia="Times New Roman"/>
          <w:sz w:val="24"/>
          <w:szCs w:val="24"/>
        </w:rPr>
        <w:t>V4—</w:t>
      </w:r>
      <w:r>
        <w:rPr>
          <w:sz w:val="24"/>
          <w:szCs w:val="24"/>
        </w:rPr>
        <w:t>企业事故水池和防火堤等可收集储存的事故水量的数值，</w:t>
      </w:r>
      <w:r>
        <w:rPr>
          <w:rFonts w:eastAsia="Times New Roman"/>
          <w:sz w:val="24"/>
          <w:szCs w:val="24"/>
        </w:rPr>
        <w:t>m</w:t>
      </w:r>
      <w:r>
        <w:rPr>
          <w:rFonts w:eastAsia="Times New Roman"/>
          <w:sz w:val="24"/>
          <w:szCs w:val="24"/>
          <w:vertAlign w:val="superscript"/>
        </w:rPr>
        <w:t>3</w:t>
      </w:r>
      <w:r>
        <w:rPr>
          <w:sz w:val="24"/>
          <w:szCs w:val="24"/>
        </w:rPr>
        <w:t>，本次取安徽德邦化工有限公司事故池总容积</w:t>
      </w:r>
      <w:r>
        <w:rPr>
          <w:rFonts w:eastAsia="Times New Roman"/>
          <w:sz w:val="24"/>
          <w:szCs w:val="24"/>
        </w:rPr>
        <w:t>4700m</w:t>
      </w:r>
      <w:r>
        <w:rPr>
          <w:rFonts w:eastAsia="Times New Roman"/>
          <w:sz w:val="24"/>
          <w:szCs w:val="24"/>
          <w:vertAlign w:val="superscript"/>
        </w:rPr>
        <w:t>3</w:t>
      </w:r>
      <w:r>
        <w:rPr>
          <w:sz w:val="24"/>
          <w:szCs w:val="24"/>
        </w:rPr>
        <w:t>。</w:t>
      </w:r>
    </w:p>
    <w:p w14:paraId="768F7506">
      <w:pPr>
        <w:spacing w:line="360" w:lineRule="auto"/>
        <w:ind w:firstLine="480" w:firstLineChars="200"/>
        <w:rPr>
          <w:sz w:val="24"/>
          <w:szCs w:val="24"/>
        </w:rPr>
      </w:pPr>
      <w:r>
        <w:rPr>
          <w:rFonts w:eastAsia="Times New Roman"/>
          <w:sz w:val="24"/>
          <w:szCs w:val="24"/>
        </w:rPr>
        <w:t xml:space="preserve">V5— </w:t>
      </w:r>
      <w:r>
        <w:rPr>
          <w:sz w:val="24"/>
          <w:szCs w:val="24"/>
        </w:rPr>
        <w:t>发生事故时进入化工园区事故应急设施(池)的生产废水量的数</w:t>
      </w:r>
      <w:r>
        <w:rPr>
          <w:rFonts w:eastAsia="Times New Roman"/>
          <w:sz w:val="24"/>
          <w:szCs w:val="24"/>
        </w:rPr>
        <w:t>m</w:t>
      </w:r>
      <w:r>
        <w:rPr>
          <w:rFonts w:eastAsia="Times New Roman"/>
          <w:sz w:val="24"/>
          <w:szCs w:val="24"/>
          <w:vertAlign w:val="superscript"/>
        </w:rPr>
        <w:t>3</w:t>
      </w:r>
      <w:r>
        <w:rPr>
          <w:sz w:val="24"/>
          <w:szCs w:val="24"/>
        </w:rPr>
        <w:t>，发生事故时仍必须进入该收集系统的生产废水量约为</w:t>
      </w:r>
      <w:r>
        <w:rPr>
          <w:rFonts w:eastAsia="Times New Roman"/>
          <w:sz w:val="24"/>
          <w:szCs w:val="24"/>
        </w:rPr>
        <w:t>0m</w:t>
      </w:r>
      <w:r>
        <w:rPr>
          <w:rFonts w:eastAsia="Times New Roman"/>
          <w:sz w:val="24"/>
          <w:szCs w:val="24"/>
          <w:vertAlign w:val="superscript"/>
        </w:rPr>
        <w:t>3</w:t>
      </w:r>
      <w:r>
        <w:rPr>
          <w:sz w:val="24"/>
          <w:szCs w:val="24"/>
        </w:rPr>
        <w:t>。</w:t>
      </w:r>
    </w:p>
    <w:p w14:paraId="6BDA01A9">
      <w:pPr>
        <w:spacing w:line="360" w:lineRule="auto"/>
        <w:ind w:firstLine="480" w:firstLineChars="200"/>
        <w:rPr>
          <w:sz w:val="24"/>
          <w:szCs w:val="24"/>
        </w:rPr>
      </w:pPr>
      <w:r>
        <w:rPr>
          <w:rFonts w:eastAsia="Times New Roman"/>
          <w:sz w:val="24"/>
          <w:szCs w:val="24"/>
        </w:rPr>
        <w:t>V6—</w:t>
      </w:r>
      <w:r>
        <w:rPr>
          <w:sz w:val="24"/>
          <w:szCs w:val="24"/>
        </w:rPr>
        <w:t>发生事故时进入储存设施的受污染的降雨量的数值，</w:t>
      </w:r>
      <w:r>
        <w:rPr>
          <w:rFonts w:eastAsia="Times New Roman"/>
          <w:sz w:val="24"/>
          <w:szCs w:val="24"/>
        </w:rPr>
        <w:t>m</w:t>
      </w:r>
      <w:r>
        <w:rPr>
          <w:rFonts w:eastAsia="Times New Roman"/>
          <w:sz w:val="24"/>
          <w:szCs w:val="24"/>
          <w:vertAlign w:val="superscript"/>
        </w:rPr>
        <w:t>3</w:t>
      </w:r>
      <w:r>
        <w:rPr>
          <w:sz w:val="24"/>
          <w:szCs w:val="24"/>
        </w:rPr>
        <w:t xml:space="preserve">，经计算，本次取值为 </w:t>
      </w:r>
      <w:r>
        <w:rPr>
          <w:rFonts w:eastAsia="Times New Roman"/>
          <w:sz w:val="24"/>
          <w:szCs w:val="24"/>
        </w:rPr>
        <w:t>10qf=10×7.84×27=2117m</w:t>
      </w:r>
      <w:r>
        <w:rPr>
          <w:rFonts w:eastAsia="Times New Roman"/>
          <w:sz w:val="24"/>
          <w:szCs w:val="24"/>
          <w:vertAlign w:val="superscript"/>
        </w:rPr>
        <w:t>3</w:t>
      </w:r>
      <w:r>
        <w:rPr>
          <w:sz w:val="24"/>
          <w:szCs w:val="24"/>
        </w:rPr>
        <w:t>。</w:t>
      </w:r>
    </w:p>
    <w:p w14:paraId="64D479CB">
      <w:pPr>
        <w:spacing w:line="360" w:lineRule="auto"/>
        <w:ind w:firstLine="480" w:firstLineChars="200"/>
        <w:rPr>
          <w:sz w:val="24"/>
          <w:szCs w:val="24"/>
        </w:rPr>
      </w:pPr>
      <w:r>
        <w:rPr>
          <w:sz w:val="24"/>
          <w:szCs w:val="24"/>
        </w:rPr>
        <w:t>(</w:t>
      </w:r>
      <w:r>
        <w:rPr>
          <w:rFonts w:eastAsia="Times New Roman"/>
          <w:sz w:val="24"/>
          <w:szCs w:val="24"/>
        </w:rPr>
        <w:t>Q</w:t>
      </w:r>
      <w:r>
        <w:rPr>
          <w:sz w:val="24"/>
          <w:szCs w:val="24"/>
        </w:rPr>
        <w:t>消</w:t>
      </w:r>
      <w:r>
        <w:rPr>
          <w:rFonts w:eastAsia="Times New Roman"/>
          <w:sz w:val="24"/>
          <w:szCs w:val="24"/>
        </w:rPr>
        <w:t>—</w:t>
      </w:r>
      <w:r>
        <w:rPr>
          <w:sz w:val="24"/>
          <w:szCs w:val="24"/>
        </w:rPr>
        <w:t>发生火灾时同时使用的消防设施给水流量的数值，</w:t>
      </w:r>
      <w:r>
        <w:rPr>
          <w:rFonts w:eastAsia="Times New Roman"/>
          <w:sz w:val="24"/>
          <w:szCs w:val="24"/>
        </w:rPr>
        <w:t>m</w:t>
      </w:r>
      <w:r>
        <w:rPr>
          <w:rFonts w:eastAsia="Times New Roman"/>
          <w:sz w:val="24"/>
          <w:szCs w:val="24"/>
          <w:vertAlign w:val="superscript"/>
        </w:rPr>
        <w:t>3</w:t>
      </w:r>
      <w:r>
        <w:rPr>
          <w:rFonts w:eastAsia="Times New Roman"/>
          <w:sz w:val="24"/>
          <w:szCs w:val="24"/>
        </w:rPr>
        <w:t>/h</w:t>
      </w:r>
      <w:r>
        <w:rPr>
          <w:sz w:val="24"/>
          <w:szCs w:val="24"/>
        </w:rPr>
        <w:t>；</w:t>
      </w:r>
    </w:p>
    <w:p w14:paraId="2140A8E8">
      <w:pPr>
        <w:spacing w:line="360" w:lineRule="auto"/>
        <w:ind w:firstLine="480" w:firstLineChars="200"/>
        <w:rPr>
          <w:sz w:val="24"/>
          <w:szCs w:val="24"/>
        </w:rPr>
      </w:pPr>
      <w:r>
        <w:rPr>
          <w:rFonts w:eastAsia="Times New Roman"/>
          <w:sz w:val="24"/>
          <w:szCs w:val="24"/>
        </w:rPr>
        <w:t>t</w:t>
      </w:r>
      <w:r>
        <w:rPr>
          <w:sz w:val="24"/>
          <w:szCs w:val="24"/>
        </w:rPr>
        <w:t>消</w:t>
      </w:r>
      <w:r>
        <w:rPr>
          <w:rFonts w:eastAsia="Times New Roman"/>
          <w:sz w:val="24"/>
          <w:szCs w:val="24"/>
        </w:rPr>
        <w:t>—</w:t>
      </w:r>
      <w:r>
        <w:rPr>
          <w:sz w:val="24"/>
          <w:szCs w:val="24"/>
        </w:rPr>
        <w:t>消防设施对应的设计消防历时的数值，</w:t>
      </w:r>
      <w:r>
        <w:rPr>
          <w:rFonts w:eastAsia="Times New Roman"/>
          <w:sz w:val="24"/>
          <w:szCs w:val="24"/>
        </w:rPr>
        <w:t>h</w:t>
      </w:r>
      <w:r>
        <w:rPr>
          <w:sz w:val="24"/>
          <w:szCs w:val="24"/>
        </w:rPr>
        <w:t>；</w:t>
      </w:r>
    </w:p>
    <w:p w14:paraId="56FF41D1">
      <w:pPr>
        <w:spacing w:line="360" w:lineRule="auto"/>
        <w:ind w:firstLine="480" w:firstLineChars="200"/>
        <w:rPr>
          <w:sz w:val="24"/>
          <w:szCs w:val="24"/>
        </w:rPr>
      </w:pPr>
      <w:r>
        <w:rPr>
          <w:rFonts w:eastAsia="Times New Roman"/>
          <w:sz w:val="24"/>
          <w:szCs w:val="24"/>
        </w:rPr>
        <w:t>q—</w:t>
      </w:r>
      <w:r>
        <w:rPr>
          <w:sz w:val="24"/>
          <w:szCs w:val="24"/>
        </w:rPr>
        <w:t>降雨强度的数值，</w:t>
      </w:r>
      <w:r>
        <w:rPr>
          <w:rFonts w:eastAsia="Times New Roman"/>
          <w:sz w:val="24"/>
          <w:szCs w:val="24"/>
        </w:rPr>
        <w:t>mm</w:t>
      </w:r>
      <w:r>
        <w:rPr>
          <w:sz w:val="24"/>
          <w:szCs w:val="24"/>
        </w:rPr>
        <w:t>(按平均日降雨量)，经计算取</w:t>
      </w:r>
      <w:r>
        <w:rPr>
          <w:rFonts w:eastAsia="Times New Roman"/>
          <w:sz w:val="24"/>
          <w:szCs w:val="24"/>
        </w:rPr>
        <w:t>8.4mm</w:t>
      </w:r>
      <w:r>
        <w:rPr>
          <w:sz w:val="24"/>
          <w:szCs w:val="24"/>
        </w:rPr>
        <w:t>；</w:t>
      </w:r>
    </w:p>
    <w:p w14:paraId="10DB9980">
      <w:pPr>
        <w:spacing w:line="360" w:lineRule="auto"/>
        <w:ind w:firstLine="480" w:firstLineChars="200"/>
        <w:rPr>
          <w:sz w:val="24"/>
          <w:szCs w:val="24"/>
        </w:rPr>
      </w:pPr>
      <w:r>
        <w:rPr>
          <w:rFonts w:eastAsia="Times New Roman"/>
          <w:sz w:val="24"/>
          <w:szCs w:val="24"/>
        </w:rPr>
        <w:t>f—</w:t>
      </w:r>
      <w:r>
        <w:rPr>
          <w:sz w:val="24"/>
          <w:szCs w:val="24"/>
        </w:rPr>
        <w:t>事故源企业周边园区受污染雨水汇水面积的数值，</w:t>
      </w:r>
      <w:r>
        <w:rPr>
          <w:rFonts w:eastAsia="Times New Roman"/>
          <w:sz w:val="24"/>
          <w:szCs w:val="24"/>
        </w:rPr>
        <w:t>hm</w:t>
      </w:r>
      <w:r>
        <w:rPr>
          <w:rFonts w:eastAsia="Times New Roman"/>
          <w:sz w:val="24"/>
          <w:szCs w:val="24"/>
          <w:vertAlign w:val="superscript"/>
        </w:rPr>
        <w:t>2</w:t>
      </w:r>
      <w:r>
        <w:rPr>
          <w:rFonts w:eastAsia="Times New Roman"/>
          <w:sz w:val="24"/>
          <w:szCs w:val="24"/>
        </w:rPr>
        <w:t>,</w:t>
      </w:r>
      <w:r>
        <w:rPr>
          <w:sz w:val="24"/>
          <w:szCs w:val="24"/>
        </w:rPr>
        <w:t>本次考虑安徽德邦化工有限公司占地面积，汇水面积取</w:t>
      </w:r>
      <w:r>
        <w:rPr>
          <w:rFonts w:eastAsia="Times New Roman"/>
          <w:sz w:val="24"/>
          <w:szCs w:val="24"/>
        </w:rPr>
        <w:t>13hm</w:t>
      </w:r>
      <w:r>
        <w:rPr>
          <w:rFonts w:eastAsia="Times New Roman"/>
          <w:sz w:val="24"/>
          <w:szCs w:val="24"/>
          <w:vertAlign w:val="superscript"/>
        </w:rPr>
        <w:t>2</w:t>
      </w:r>
      <w:r>
        <w:rPr>
          <w:sz w:val="24"/>
          <w:szCs w:val="24"/>
        </w:rPr>
        <w:t>；</w:t>
      </w:r>
    </w:p>
    <w:p w14:paraId="5184123B">
      <w:pPr>
        <w:spacing w:line="360" w:lineRule="auto"/>
        <w:ind w:firstLine="480" w:firstLineChars="200"/>
        <w:rPr>
          <w:sz w:val="24"/>
          <w:szCs w:val="24"/>
        </w:rPr>
      </w:pPr>
      <w:r>
        <w:rPr>
          <w:rFonts w:eastAsia="Times New Roman"/>
          <w:sz w:val="24"/>
          <w:szCs w:val="24"/>
        </w:rPr>
        <w:t>qn—</w:t>
      </w:r>
      <w:r>
        <w:rPr>
          <w:sz w:val="24"/>
          <w:szCs w:val="24"/>
        </w:rPr>
        <w:t>年平均降雨量的数值，</w:t>
      </w:r>
      <w:r>
        <w:rPr>
          <w:rFonts w:eastAsia="Times New Roman"/>
          <w:sz w:val="24"/>
          <w:szCs w:val="24"/>
        </w:rPr>
        <w:t>mm</w:t>
      </w:r>
      <w:r>
        <w:rPr>
          <w:sz w:val="24"/>
          <w:szCs w:val="24"/>
        </w:rPr>
        <w:t>，本次取大通区 多年平均降水量</w:t>
      </w:r>
      <w:r>
        <w:rPr>
          <w:rFonts w:eastAsia="Times New Roman"/>
          <w:sz w:val="24"/>
          <w:szCs w:val="24"/>
        </w:rPr>
        <w:t>903.2mm</w:t>
      </w:r>
      <w:r>
        <w:rPr>
          <w:sz w:val="24"/>
          <w:szCs w:val="24"/>
        </w:rPr>
        <w:t>；</w:t>
      </w:r>
      <w:r>
        <w:rPr>
          <w:rFonts w:eastAsia="Times New Roman"/>
          <w:sz w:val="24"/>
          <w:szCs w:val="24"/>
        </w:rPr>
        <w:t>n—</w:t>
      </w:r>
      <w:r>
        <w:rPr>
          <w:sz w:val="24"/>
          <w:szCs w:val="24"/>
        </w:rPr>
        <w:t>年平均降雨日的数值，</w:t>
      </w:r>
      <w:r>
        <w:rPr>
          <w:rFonts w:eastAsia="Times New Roman"/>
          <w:sz w:val="24"/>
          <w:szCs w:val="24"/>
        </w:rPr>
        <w:t>d</w:t>
      </w:r>
      <w:r>
        <w:rPr>
          <w:sz w:val="24"/>
          <w:szCs w:val="24"/>
        </w:rPr>
        <w:t>，本次取大通区年平均降雨日</w:t>
      </w:r>
      <w:r>
        <w:rPr>
          <w:rFonts w:eastAsia="Times New Roman"/>
          <w:sz w:val="24"/>
          <w:szCs w:val="24"/>
        </w:rPr>
        <w:t>107d</w:t>
      </w:r>
      <w:r>
        <w:rPr>
          <w:sz w:val="24"/>
          <w:szCs w:val="24"/>
        </w:rPr>
        <w:t>。</w:t>
      </w:r>
    </w:p>
    <w:p w14:paraId="6DFBD2DE">
      <w:pPr>
        <w:spacing w:line="360" w:lineRule="auto"/>
        <w:ind w:firstLine="480" w:firstLineChars="200"/>
        <w:rPr>
          <w:sz w:val="24"/>
          <w:szCs w:val="24"/>
        </w:rPr>
      </w:pPr>
      <w:r>
        <w:rPr>
          <w:sz w:val="24"/>
          <w:szCs w:val="24"/>
        </w:rPr>
        <w:t>因此，根据公式：</w:t>
      </w:r>
    </w:p>
    <w:p w14:paraId="024EC8E9">
      <w:pPr>
        <w:spacing w:line="360" w:lineRule="auto"/>
        <w:ind w:firstLine="480" w:firstLineChars="200"/>
        <w:rPr>
          <w:rFonts w:eastAsia="Times New Roman"/>
          <w:sz w:val="24"/>
          <w:szCs w:val="24"/>
        </w:rPr>
      </w:pPr>
      <w:r>
        <w:rPr>
          <w:rFonts w:eastAsia="Times New Roman"/>
          <w:sz w:val="24"/>
          <w:szCs w:val="24"/>
        </w:rPr>
        <w:t>V</w:t>
      </w:r>
      <w:r>
        <w:rPr>
          <w:sz w:val="24"/>
          <w:szCs w:val="24"/>
        </w:rPr>
        <w:t>＝</w:t>
      </w:r>
      <w:r>
        <w:rPr>
          <w:rFonts w:eastAsia="Times New Roman"/>
          <w:sz w:val="24"/>
          <w:szCs w:val="24"/>
        </w:rPr>
        <w:t>k[</w:t>
      </w:r>
      <w:r>
        <w:rPr>
          <w:sz w:val="24"/>
          <w:szCs w:val="24"/>
        </w:rPr>
        <w:t>(</w:t>
      </w:r>
      <w:r>
        <w:rPr>
          <w:rFonts w:eastAsia="Times New Roman"/>
          <w:sz w:val="24"/>
          <w:szCs w:val="24"/>
        </w:rPr>
        <w:t>V1</w:t>
      </w:r>
      <w:r>
        <w:rPr>
          <w:sz w:val="24"/>
          <w:szCs w:val="24"/>
        </w:rPr>
        <w:t>＋</w:t>
      </w:r>
      <w:r>
        <w:rPr>
          <w:rFonts w:eastAsia="Times New Roman"/>
          <w:sz w:val="24"/>
          <w:szCs w:val="24"/>
        </w:rPr>
        <w:t>V2</w:t>
      </w:r>
      <w:r>
        <w:rPr>
          <w:sz w:val="24"/>
          <w:szCs w:val="24"/>
        </w:rPr>
        <w:t>－</w:t>
      </w:r>
      <w:r>
        <w:rPr>
          <w:rFonts w:eastAsia="Times New Roman"/>
          <w:sz w:val="24"/>
          <w:szCs w:val="24"/>
        </w:rPr>
        <w:t>V3</w:t>
      </w:r>
      <w:r>
        <w:rPr>
          <w:sz w:val="24"/>
          <w:szCs w:val="24"/>
        </w:rPr>
        <w:t>－</w:t>
      </w:r>
      <w:r>
        <w:rPr>
          <w:rFonts w:eastAsia="Times New Roman"/>
          <w:sz w:val="24"/>
          <w:szCs w:val="24"/>
        </w:rPr>
        <w:t>V4</w:t>
      </w:r>
      <w:r>
        <w:rPr>
          <w:sz w:val="24"/>
          <w:szCs w:val="24"/>
        </w:rPr>
        <w:t>)</w:t>
      </w:r>
      <w:r>
        <w:rPr>
          <w:rFonts w:eastAsia="Times New Roman"/>
          <w:sz w:val="24"/>
          <w:szCs w:val="24"/>
          <w:vertAlign w:val="subscript"/>
        </w:rPr>
        <w:t>max</w:t>
      </w:r>
      <w:r>
        <w:rPr>
          <w:sz w:val="24"/>
          <w:szCs w:val="24"/>
        </w:rPr>
        <w:t>＋</w:t>
      </w:r>
      <w:r>
        <w:rPr>
          <w:rFonts w:eastAsia="Times New Roman"/>
          <w:sz w:val="24"/>
          <w:szCs w:val="24"/>
        </w:rPr>
        <w:t>V5+V6]</w:t>
      </w:r>
      <w:r>
        <w:rPr>
          <w:sz w:val="24"/>
          <w:szCs w:val="24"/>
        </w:rPr>
        <w:t>＝</w:t>
      </w:r>
      <w:r>
        <w:rPr>
          <w:rFonts w:eastAsia="Times New Roman"/>
          <w:sz w:val="24"/>
          <w:szCs w:val="24"/>
        </w:rPr>
        <w:t>1.2×[</w:t>
      </w:r>
      <w:r>
        <w:rPr>
          <w:sz w:val="24"/>
          <w:szCs w:val="24"/>
        </w:rPr>
        <w:t>(</w:t>
      </w:r>
      <w:r>
        <w:rPr>
          <w:rFonts w:eastAsia="Times New Roman"/>
          <w:sz w:val="24"/>
          <w:szCs w:val="24"/>
        </w:rPr>
        <w:t>240</w:t>
      </w:r>
      <w:r>
        <w:rPr>
          <w:sz w:val="24"/>
          <w:szCs w:val="24"/>
        </w:rPr>
        <w:t>＋</w:t>
      </w:r>
      <w:r>
        <w:rPr>
          <w:rFonts w:eastAsia="Times New Roman"/>
          <w:sz w:val="24"/>
          <w:szCs w:val="24"/>
        </w:rPr>
        <w:t>324</w:t>
      </w:r>
      <w:r>
        <w:rPr>
          <w:sz w:val="24"/>
          <w:szCs w:val="24"/>
        </w:rPr>
        <w:t>－</w:t>
      </w:r>
      <w:r>
        <w:rPr>
          <w:rFonts w:eastAsia="Times New Roman"/>
          <w:sz w:val="24"/>
          <w:szCs w:val="24"/>
        </w:rPr>
        <w:t>604.8</w:t>
      </w:r>
      <w:r>
        <w:rPr>
          <w:sz w:val="24"/>
          <w:szCs w:val="24"/>
        </w:rPr>
        <w:t>－</w:t>
      </w:r>
      <w:r>
        <w:rPr>
          <w:rFonts w:eastAsia="Times New Roman"/>
          <w:sz w:val="24"/>
          <w:szCs w:val="24"/>
        </w:rPr>
        <w:t>4700</w:t>
      </w:r>
      <w:r>
        <w:rPr>
          <w:sz w:val="24"/>
          <w:szCs w:val="24"/>
        </w:rPr>
        <w:t>)＋</w:t>
      </w:r>
      <w:r>
        <w:rPr>
          <w:rFonts w:eastAsia="Times New Roman"/>
          <w:sz w:val="24"/>
          <w:szCs w:val="24"/>
        </w:rPr>
        <w:t>0+2117]</w:t>
      </w:r>
    </w:p>
    <w:p w14:paraId="2F047093">
      <w:pPr>
        <w:spacing w:line="360" w:lineRule="auto"/>
        <w:ind w:firstLine="480" w:firstLineChars="200"/>
        <w:rPr>
          <w:sz w:val="24"/>
          <w:szCs w:val="24"/>
        </w:rPr>
      </w:pPr>
      <w:r>
        <w:rPr>
          <w:sz w:val="24"/>
          <w:szCs w:val="24"/>
        </w:rPr>
        <w:t>＝</w:t>
      </w:r>
      <w:r>
        <w:rPr>
          <w:rFonts w:eastAsia="Times New Roman"/>
          <w:sz w:val="24"/>
          <w:szCs w:val="24"/>
        </w:rPr>
        <w:t>-3090.96</w:t>
      </w:r>
      <w:r>
        <w:rPr>
          <w:sz w:val="24"/>
          <w:szCs w:val="24"/>
        </w:rPr>
        <w:t>(</w:t>
      </w:r>
      <w:r>
        <w:rPr>
          <w:rFonts w:eastAsia="Times New Roman"/>
          <w:sz w:val="24"/>
          <w:szCs w:val="24"/>
        </w:rPr>
        <w:t>m</w:t>
      </w:r>
      <w:r>
        <w:rPr>
          <w:rFonts w:eastAsia="Times New Roman"/>
          <w:sz w:val="24"/>
          <w:szCs w:val="24"/>
          <w:vertAlign w:val="superscript"/>
        </w:rPr>
        <w:t>3</w:t>
      </w:r>
      <w:r>
        <w:rPr>
          <w:sz w:val="24"/>
          <w:szCs w:val="24"/>
        </w:rPr>
        <w:t>)</w:t>
      </w:r>
    </w:p>
    <w:p w14:paraId="16582702">
      <w:pPr>
        <w:spacing w:line="360" w:lineRule="auto"/>
        <w:ind w:firstLine="480" w:firstLineChars="200"/>
        <w:rPr>
          <w:sz w:val="24"/>
          <w:szCs w:val="24"/>
        </w:rPr>
      </w:pPr>
      <w:r>
        <w:rPr>
          <w:sz w:val="24"/>
          <w:szCs w:val="24"/>
        </w:rPr>
        <w:t>根据上文分析可知，园区最大的事故源企业(安徽德邦化工有限公司)发生事故时，安徽德邦化工有限公司自建的事故池总容积为</w:t>
      </w:r>
      <w:r>
        <w:rPr>
          <w:rFonts w:eastAsia="Times New Roman"/>
          <w:sz w:val="24"/>
          <w:szCs w:val="24"/>
        </w:rPr>
        <w:t>4700m</w:t>
      </w:r>
      <w:r>
        <w:rPr>
          <w:rFonts w:eastAsia="Times New Roman"/>
          <w:sz w:val="24"/>
          <w:szCs w:val="24"/>
          <w:vertAlign w:val="superscript"/>
        </w:rPr>
        <w:t>3</w:t>
      </w:r>
      <w:r>
        <w:rPr>
          <w:sz w:val="24"/>
          <w:szCs w:val="24"/>
        </w:rPr>
        <w:t>，可容纳</w:t>
      </w:r>
      <w:r>
        <w:rPr>
          <w:rFonts w:eastAsia="Times New Roman"/>
          <w:sz w:val="24"/>
          <w:szCs w:val="24"/>
        </w:rPr>
        <w:t>3343.8m</w:t>
      </w:r>
      <w:r>
        <w:rPr>
          <w:rFonts w:eastAsia="Times New Roman"/>
          <w:sz w:val="24"/>
          <w:szCs w:val="24"/>
          <w:vertAlign w:val="superscript"/>
        </w:rPr>
        <w:t>3</w:t>
      </w:r>
      <w:r>
        <w:rPr>
          <w:sz w:val="24"/>
          <w:szCs w:val="24"/>
        </w:rPr>
        <w:t>的事故废水，可以满足安徽德邦化工有限公司防控能力。</w:t>
      </w:r>
    </w:p>
    <w:p w14:paraId="736E837E">
      <w:pPr>
        <w:spacing w:line="360" w:lineRule="auto"/>
        <w:ind w:firstLine="480" w:firstLineChars="200"/>
        <w:rPr>
          <w:sz w:val="24"/>
          <w:szCs w:val="24"/>
        </w:rPr>
      </w:pPr>
      <w:r>
        <w:rPr>
          <w:sz w:val="24"/>
          <w:szCs w:val="24"/>
        </w:rPr>
        <w:t>根据调查，淮南经开化工园区目前建有</w:t>
      </w:r>
      <w:r>
        <w:rPr>
          <w:rFonts w:eastAsia="Times New Roman"/>
          <w:sz w:val="24"/>
          <w:szCs w:val="24"/>
        </w:rPr>
        <w:t>3</w:t>
      </w:r>
      <w:r>
        <w:rPr>
          <w:sz w:val="24"/>
          <w:szCs w:val="24"/>
        </w:rPr>
        <w:t>万</w:t>
      </w:r>
      <w:r>
        <w:rPr>
          <w:rFonts w:eastAsia="Times New Roman"/>
          <w:sz w:val="24"/>
          <w:szCs w:val="24"/>
        </w:rPr>
        <w:t>t/d</w:t>
      </w:r>
      <w:r>
        <w:rPr>
          <w:sz w:val="24"/>
          <w:szCs w:val="24"/>
        </w:rPr>
        <w:t>污水处理厂，该污水处理厂事故池有效容积为</w:t>
      </w:r>
      <w:r>
        <w:rPr>
          <w:rFonts w:eastAsia="Times New Roman"/>
          <w:sz w:val="24"/>
          <w:szCs w:val="24"/>
        </w:rPr>
        <w:t>5000m³</w:t>
      </w:r>
      <w:r>
        <w:rPr>
          <w:sz w:val="24"/>
          <w:szCs w:val="24"/>
        </w:rPr>
        <w:t>。可满足极端事故状态下安徽德邦化工有限公司应急需求。</w:t>
      </w:r>
    </w:p>
    <w:p w14:paraId="680B53E6">
      <w:pPr>
        <w:pStyle w:val="12"/>
        <w:spacing w:line="360" w:lineRule="auto"/>
        <w:ind w:firstLine="480" w:firstLineChars="200"/>
        <w:rPr>
          <w:sz w:val="24"/>
          <w:szCs w:val="24"/>
        </w:rPr>
      </w:pPr>
      <w:r>
        <w:rPr>
          <w:sz w:val="24"/>
          <w:szCs w:val="24"/>
        </w:rPr>
        <w:t>同时要求在事故状态下，对园区雨水和污水总排口截留封堵，防止事故废水外溢，可进一步确保极端最不利条件下事故废水不排入外环境。</w:t>
      </w:r>
    </w:p>
    <w:p w14:paraId="7D679EDD">
      <w:pPr>
        <w:spacing w:line="360" w:lineRule="auto"/>
        <w:ind w:firstLine="480" w:firstLineChars="200"/>
        <w:rPr>
          <w:sz w:val="24"/>
          <w:szCs w:val="24"/>
        </w:rPr>
      </w:pPr>
      <w:r>
        <w:rPr>
          <w:sz w:val="24"/>
          <w:szCs w:val="24"/>
        </w:rPr>
        <w:t>一般情况下，事故废水在安徽德邦化工有限公司事故池内暂存后可经调节均匀注入厂区自建污水处理站进行预处理达到接管标准后进入淮南经济技术开发区工业污水处理厂深度处理，处理达到淮南经济技术开发区工业污水处理厂出水标准后，排放淮河。</w:t>
      </w:r>
    </w:p>
    <w:p w14:paraId="5CB22A95">
      <w:pPr>
        <w:spacing w:line="360" w:lineRule="auto"/>
        <w:ind w:firstLine="480" w:firstLineChars="200"/>
        <w:rPr>
          <w:sz w:val="24"/>
          <w:szCs w:val="24"/>
        </w:rPr>
      </w:pPr>
      <w:r>
        <w:rPr>
          <w:sz w:val="24"/>
          <w:szCs w:val="24"/>
        </w:rPr>
        <w:t>园区各企业污水处理站若发生故障，各企业将及时对污水总排口进行封堵，避免超标废水流入园区污水处理厂。若封堵不及时，企业已安装的在线监测设备可及时监测出超标废水，并将废水及时转移至自建的事故池，事故池容积可接纳一定时间内企业事故状态排出的超标废水，不会影响园区污水站正常运行。</w:t>
      </w:r>
    </w:p>
    <w:p w14:paraId="49CFE8F5">
      <w:pPr>
        <w:tabs>
          <w:tab w:val="left" w:pos="266"/>
        </w:tabs>
        <w:spacing w:line="360" w:lineRule="auto"/>
        <w:ind w:firstLine="480" w:firstLineChars="200"/>
        <w:rPr>
          <w:sz w:val="24"/>
          <w:szCs w:val="24"/>
        </w:rPr>
      </w:pPr>
      <w:r>
        <w:rPr>
          <w:sz w:val="24"/>
          <w:szCs w:val="24"/>
        </w:rPr>
        <w:t>（3）、结论</w:t>
      </w:r>
    </w:p>
    <w:p w14:paraId="121F8FDF">
      <w:pPr>
        <w:tabs>
          <w:tab w:val="left" w:pos="266"/>
        </w:tabs>
        <w:spacing w:line="360" w:lineRule="auto"/>
        <w:ind w:firstLine="480" w:firstLineChars="200"/>
        <w:rPr>
          <w:sz w:val="24"/>
          <w:szCs w:val="24"/>
        </w:rPr>
      </w:pPr>
      <w:r>
        <w:rPr>
          <w:sz w:val="24"/>
          <w:szCs w:val="24"/>
        </w:rPr>
        <w:t>根据中华人民共和国应急管理部文件《化工园区安全风险排查治理导则(试行)》以及《化工园区事故应急设施(池)建设标准》(</w:t>
      </w:r>
      <w:r>
        <w:rPr>
          <w:rFonts w:eastAsia="Times New Roman"/>
          <w:sz w:val="24"/>
          <w:szCs w:val="24"/>
        </w:rPr>
        <w:t>T/CPCIF 0049-2020</w:t>
      </w:r>
      <w:r>
        <w:rPr>
          <w:sz w:val="24"/>
          <w:szCs w:val="24"/>
        </w:rPr>
        <w:t>)要求，对园区企业安全事故废水量和事故池实际容积，以及各企业污水处理 设施进行调查分析。园区目前各企业均已设置满足容积需求的事故池，安全事故废水经企业内部事故池收集后，可通过厂内调节池等进入厂内自建污水处理站处理，尾水达标接管至淮南经济技术开发区工业污水处理厂，或达回用标准后于厂内回用。</w:t>
      </w:r>
    </w:p>
    <w:p w14:paraId="52C51462">
      <w:pPr>
        <w:spacing w:line="360" w:lineRule="auto"/>
        <w:ind w:firstLine="480" w:firstLineChars="200"/>
        <w:rPr>
          <w:sz w:val="24"/>
          <w:szCs w:val="24"/>
        </w:rPr>
      </w:pPr>
      <w:r>
        <w:rPr>
          <w:sz w:val="24"/>
          <w:szCs w:val="24"/>
        </w:rPr>
        <w:t>经分析，园区最大的事故源企业(安徽德邦化工有限公司)发生事故时，应急事故池的容积基本能满足应急需求，可将事故废水控制在防控能力之内。若考虑极端不利的巨灾情况，安徽德邦化工有限公司设置事故池仍可满足极端事故状态下应急需求。同时，在事故状态下，园区应对雨水和污水总排口截留封堵，防止事故废水外溢至外环境。</w:t>
      </w:r>
    </w:p>
    <w:p w14:paraId="5AA16A6D">
      <w:pPr>
        <w:spacing w:line="360" w:lineRule="auto"/>
        <w:ind w:firstLine="480" w:firstLineChars="200"/>
        <w:rPr>
          <w:sz w:val="24"/>
          <w:szCs w:val="24"/>
        </w:rPr>
      </w:pPr>
      <w:r>
        <w:rPr>
          <w:sz w:val="24"/>
          <w:szCs w:val="24"/>
        </w:rPr>
        <w:t>综上，根据目前实际情况，园区各企业事故池容积以及园区污水处理厂事故废水储存设施，可以满足园区安全事故状态下应急需求。但是，随着园区企业陆续入驻，风险难以完全控制等因素，为进一步确保园区企业安全事故废水不排入外环境，引发环境问题，园区仍持续关注事故池容积建设的合理性，必要时应进一步扩建。</w:t>
      </w:r>
    </w:p>
    <w:p w14:paraId="066E4778">
      <w:pPr>
        <w:rPr>
          <w:b/>
          <w:sz w:val="32"/>
          <w:szCs w:val="32"/>
        </w:rPr>
      </w:pPr>
      <w:r>
        <w:rPr>
          <w:b/>
          <w:sz w:val="32"/>
          <w:szCs w:val="32"/>
        </w:rPr>
        <w:br w:type="page"/>
      </w:r>
    </w:p>
    <w:p w14:paraId="35E6DDE9">
      <w:pPr>
        <w:pStyle w:val="12"/>
        <w:jc w:val="center"/>
        <w:outlineLvl w:val="0"/>
        <w:rPr>
          <w:b/>
          <w:sz w:val="32"/>
          <w:szCs w:val="32"/>
        </w:rPr>
      </w:pPr>
      <w:bookmarkStart w:id="240" w:name="_Toc12809"/>
      <w:bookmarkStart w:id="241" w:name="_Toc32657"/>
      <w:bookmarkStart w:id="242" w:name="_Toc30731"/>
      <w:bookmarkStart w:id="243" w:name="_Toc4024"/>
      <w:bookmarkStart w:id="244" w:name="_Toc23670"/>
      <w:bookmarkStart w:id="245" w:name="_Toc10529"/>
      <w:bookmarkStart w:id="246" w:name="_Toc20626"/>
      <w:r>
        <w:rPr>
          <w:b/>
          <w:sz w:val="32"/>
          <w:szCs w:val="32"/>
        </w:rPr>
        <w:t>9、综合防灾减灾规划</w:t>
      </w:r>
      <w:bookmarkEnd w:id="240"/>
      <w:bookmarkEnd w:id="241"/>
      <w:bookmarkEnd w:id="242"/>
      <w:bookmarkEnd w:id="243"/>
      <w:bookmarkEnd w:id="244"/>
      <w:bookmarkEnd w:id="245"/>
      <w:bookmarkEnd w:id="246"/>
    </w:p>
    <w:p w14:paraId="1AFFFBF3">
      <w:pPr>
        <w:spacing w:beforeLines="50" w:afterLines="50" w:line="360" w:lineRule="auto"/>
        <w:jc w:val="left"/>
        <w:outlineLvl w:val="1"/>
        <w:rPr>
          <w:b/>
          <w:sz w:val="32"/>
          <w:szCs w:val="32"/>
        </w:rPr>
      </w:pPr>
      <w:bookmarkStart w:id="247" w:name="_Toc8796"/>
      <w:bookmarkStart w:id="248" w:name="_Toc6367"/>
      <w:bookmarkStart w:id="249" w:name="_Toc15435"/>
      <w:bookmarkStart w:id="250" w:name="_Toc16266"/>
      <w:bookmarkStart w:id="251" w:name="_Toc14534"/>
      <w:bookmarkStart w:id="252" w:name="_Toc587"/>
      <w:bookmarkStart w:id="253" w:name="_Toc10138"/>
      <w:r>
        <w:rPr>
          <w:b/>
          <w:sz w:val="32"/>
          <w:szCs w:val="32"/>
        </w:rPr>
        <w:t>9.1现状分析</w:t>
      </w:r>
      <w:bookmarkEnd w:id="247"/>
      <w:bookmarkEnd w:id="248"/>
      <w:bookmarkEnd w:id="249"/>
      <w:bookmarkEnd w:id="250"/>
      <w:bookmarkEnd w:id="251"/>
      <w:bookmarkEnd w:id="252"/>
      <w:bookmarkEnd w:id="253"/>
    </w:p>
    <w:p w14:paraId="5512C71A">
      <w:pPr>
        <w:spacing w:line="360" w:lineRule="auto"/>
        <w:rPr>
          <w:b/>
          <w:bCs/>
          <w:sz w:val="24"/>
        </w:rPr>
      </w:pPr>
      <w:r>
        <w:rPr>
          <w:b/>
          <w:bCs/>
          <w:sz w:val="24"/>
        </w:rPr>
        <w:t>9.1.1园区企业概况</w:t>
      </w:r>
    </w:p>
    <w:p w14:paraId="0C238ACF">
      <w:pPr>
        <w:spacing w:line="360" w:lineRule="auto"/>
        <w:ind w:firstLine="540" w:firstLineChars="225"/>
        <w:rPr>
          <w:sz w:val="24"/>
        </w:rPr>
      </w:pPr>
      <w:r>
        <w:rPr>
          <w:sz w:val="24"/>
        </w:rPr>
        <w:t>2013年11月14日《关于要求批准设立淮南经济技术开发区化工园区的请示》(淮开管〔2013〕101号)向淮南市人民政府提交设立化工园区的请示。</w:t>
      </w:r>
    </w:p>
    <w:p w14:paraId="608FA0A2">
      <w:pPr>
        <w:spacing w:line="360" w:lineRule="auto"/>
        <w:ind w:firstLine="540" w:firstLineChars="225"/>
        <w:rPr>
          <w:sz w:val="24"/>
        </w:rPr>
      </w:pPr>
      <w:r>
        <w:rPr>
          <w:sz w:val="24"/>
        </w:rPr>
        <w:t>2016年5月11日《淮南市人民政府关于三个化工园区主导产业功能定位和四至范围的批复》(淮府秘〔2016〕75号)明确了区块一的四至范围。</w:t>
      </w:r>
    </w:p>
    <w:p w14:paraId="2F0C6E49">
      <w:pPr>
        <w:spacing w:line="360" w:lineRule="auto"/>
        <w:ind w:firstLine="540" w:firstLineChars="225"/>
        <w:rPr>
          <w:sz w:val="24"/>
        </w:rPr>
      </w:pPr>
      <w:r>
        <w:rPr>
          <w:sz w:val="24"/>
        </w:rPr>
        <w:t>2018年12月29日《淮南市人民政府关于调整淮南经济技术开发区化工园区四至范围的批复》(淮府秘〔2018〕201号)对化工园区进行扩区，增加了区块二，新增总面积1.23平方公里，并明确了四至范围和产业定位为医药化工。</w:t>
      </w:r>
    </w:p>
    <w:p w14:paraId="5D454922">
      <w:pPr>
        <w:spacing w:line="360" w:lineRule="auto"/>
        <w:ind w:firstLine="540" w:firstLineChars="225"/>
        <w:rPr>
          <w:sz w:val="24"/>
        </w:rPr>
      </w:pPr>
      <w:r>
        <w:rPr>
          <w:sz w:val="24"/>
        </w:rPr>
        <w:t>2019年8月编制《淮南经济技术开发区化工园区总体规划环境影响报告书》(安徽显闰环境工程有限公司)对新增的化工园区区块二的规划环境影响进行评价，并于2019年9月2通过淮南市生态环境局审批公示。</w:t>
      </w:r>
    </w:p>
    <w:p w14:paraId="0AD1F42B">
      <w:pPr>
        <w:spacing w:line="360" w:lineRule="auto"/>
        <w:ind w:firstLine="540" w:firstLineChars="225"/>
        <w:rPr>
          <w:sz w:val="24"/>
        </w:rPr>
      </w:pPr>
      <w:r>
        <w:rPr>
          <w:sz w:val="24"/>
        </w:rPr>
        <w:t>淮南经开化工园区位于淮南市的东北部，大通区的西侧，淮南经济技术开发区的西北侧和中部。</w:t>
      </w:r>
    </w:p>
    <w:p w14:paraId="3220B5C6">
      <w:pPr>
        <w:spacing w:line="360" w:lineRule="auto"/>
        <w:ind w:firstLine="540" w:firstLineChars="225"/>
        <w:rPr>
          <w:sz w:val="24"/>
        </w:rPr>
      </w:pPr>
      <w:r>
        <w:rPr>
          <w:sz w:val="24"/>
        </w:rPr>
        <w:t>淮南市位于东经116°21′5″~117°12′30″，北纬31°54′8″~33°00′26″之间，地处安徽省中北部，东与滁州市毗邻，东南与合肥市接壤，西南与六安市相连，西与阜阳市相接，北与亳州市、蚌埠市交界。</w:t>
      </w:r>
    </w:p>
    <w:p w14:paraId="2737E8B9">
      <w:pPr>
        <w:spacing w:line="360" w:lineRule="auto"/>
        <w:ind w:firstLine="540" w:firstLineChars="225"/>
        <w:rPr>
          <w:sz w:val="24"/>
        </w:rPr>
      </w:pPr>
      <w:r>
        <w:rPr>
          <w:sz w:val="24"/>
        </w:rPr>
        <w:t>大通区位于淮南市东部，淮河南岸，舜耕山北麓，东与定远、凤阳、怀远交界，南与长丰毗邻，西与田家庵区接壤，北与潘集区隔淮河相望。</w:t>
      </w:r>
    </w:p>
    <w:p w14:paraId="21705FC8">
      <w:pPr>
        <w:spacing w:line="360" w:lineRule="auto"/>
        <w:ind w:firstLine="540" w:firstLineChars="225"/>
      </w:pPr>
      <w:r>
        <w:rPr>
          <w:sz w:val="24"/>
        </w:rPr>
        <w:t>淮南经济技术开发区位于淮南市东部新区，园区交通便捷，区位优越，206国道穿境而过，把东西城区连为一体；合徐高速、合淮阜高速、合蚌高 速盘汇于此， 把淮南与国内各大城市紧密相连；京福高铁淮南东站坐落在经开区，淮南、淮阜铁路横贯全市，与京沪、京广、陇海、京九四大动脉接轨；淮河水道四季通航，通江达海；距合肥新桥机场50分钟车程，距南京机场2.5小时车程，可直飞国内外各大城市。</w:t>
      </w:r>
    </w:p>
    <w:p w14:paraId="7DD9FB67">
      <w:pPr>
        <w:numPr>
          <w:ilvl w:val="0"/>
          <w:numId w:val="23"/>
        </w:numPr>
        <w:spacing w:line="360" w:lineRule="auto"/>
        <w:ind w:firstLine="540" w:firstLineChars="225"/>
        <w:rPr>
          <w:sz w:val="24"/>
        </w:rPr>
      </w:pPr>
      <w:r>
        <w:rPr>
          <w:sz w:val="24"/>
        </w:rPr>
        <w:t>区块一</w:t>
      </w:r>
    </w:p>
    <w:p w14:paraId="45DD12E2">
      <w:pPr>
        <w:spacing w:line="360" w:lineRule="auto"/>
        <w:ind w:firstLine="480" w:firstLineChars="200"/>
        <w:rPr>
          <w:sz w:val="24"/>
        </w:rPr>
      </w:pPr>
      <w:r>
        <w:rPr>
          <w:sz w:val="24"/>
        </w:rPr>
        <w:t>已建投产企业：德邦化工、恒诚制药、水卫士环保科技</w:t>
      </w:r>
    </w:p>
    <w:p w14:paraId="45B4F0DA">
      <w:pPr>
        <w:spacing w:line="360" w:lineRule="auto"/>
        <w:ind w:firstLine="540" w:firstLineChars="225"/>
        <w:rPr>
          <w:sz w:val="24"/>
        </w:rPr>
      </w:pPr>
      <w:r>
        <w:rPr>
          <w:sz w:val="24"/>
        </w:rPr>
        <w:t>在建企业：无</w:t>
      </w:r>
    </w:p>
    <w:p w14:paraId="4788380F">
      <w:pPr>
        <w:spacing w:line="360" w:lineRule="auto"/>
        <w:ind w:firstLine="540" w:firstLineChars="225"/>
        <w:rPr>
          <w:sz w:val="24"/>
        </w:rPr>
      </w:pPr>
      <w:r>
        <w:rPr>
          <w:sz w:val="24"/>
        </w:rPr>
        <w:t>搬迁企业：无</w:t>
      </w:r>
    </w:p>
    <w:p w14:paraId="2980E4E2">
      <w:pPr>
        <w:spacing w:line="360" w:lineRule="auto"/>
        <w:ind w:firstLine="540" w:firstLineChars="225"/>
        <w:rPr>
          <w:sz w:val="24"/>
        </w:rPr>
      </w:pPr>
      <w:r>
        <w:rPr>
          <w:sz w:val="24"/>
        </w:rPr>
        <w:t>停产企业：恒诚制药的100吨/年氯硝柳胺、250吨/年氯硝柳胺乙醇胺盐的生产装置、储存装置停产</w:t>
      </w:r>
    </w:p>
    <w:p w14:paraId="3641AAEB">
      <w:pPr>
        <w:numPr>
          <w:ilvl w:val="0"/>
          <w:numId w:val="23"/>
        </w:numPr>
        <w:spacing w:line="360" w:lineRule="auto"/>
        <w:ind w:firstLine="540" w:firstLineChars="225"/>
        <w:rPr>
          <w:sz w:val="24"/>
        </w:rPr>
      </w:pPr>
      <w:r>
        <w:rPr>
          <w:sz w:val="24"/>
        </w:rPr>
        <w:t>区块二</w:t>
      </w:r>
    </w:p>
    <w:p w14:paraId="773B2B89">
      <w:pPr>
        <w:spacing w:line="360" w:lineRule="auto"/>
        <w:ind w:firstLine="540" w:firstLineChars="225"/>
        <w:rPr>
          <w:sz w:val="24"/>
        </w:rPr>
      </w:pPr>
      <w:r>
        <w:rPr>
          <w:sz w:val="24"/>
        </w:rPr>
        <w:t>已建化工投产企业：国瑞药业</w:t>
      </w:r>
    </w:p>
    <w:p w14:paraId="423AAEFD">
      <w:pPr>
        <w:spacing w:line="360" w:lineRule="auto"/>
        <w:ind w:firstLine="540" w:firstLineChars="225"/>
        <w:rPr>
          <w:sz w:val="24"/>
        </w:rPr>
      </w:pPr>
      <w:r>
        <w:rPr>
          <w:sz w:val="24"/>
        </w:rPr>
        <w:t>在建化工企业：淮南锦德生物科技有限公司、安徽森吉制药有限公司、安徽山河药用辅料股份有限公司、污水处理站</w:t>
      </w:r>
    </w:p>
    <w:p w14:paraId="091D1371">
      <w:pPr>
        <w:spacing w:line="360" w:lineRule="auto"/>
        <w:ind w:firstLine="540" w:firstLineChars="225"/>
        <w:rPr>
          <w:sz w:val="24"/>
        </w:rPr>
      </w:pPr>
      <w:r>
        <w:rPr>
          <w:sz w:val="24"/>
        </w:rPr>
        <w:t>非化工企业：淮南市欧洁环保科技有限公司</w:t>
      </w:r>
    </w:p>
    <w:p w14:paraId="5D655763">
      <w:pPr>
        <w:spacing w:line="360" w:lineRule="auto"/>
        <w:ind w:firstLine="540" w:firstLineChars="225"/>
        <w:rPr>
          <w:sz w:val="24"/>
        </w:rPr>
      </w:pPr>
      <w:r>
        <w:rPr>
          <w:sz w:val="24"/>
        </w:rPr>
        <w:t>搬迁企业：</w:t>
      </w:r>
      <w:r>
        <w:rPr>
          <w:rFonts w:hint="eastAsia"/>
          <w:sz w:val="24"/>
        </w:rPr>
        <w:t>无</w:t>
      </w:r>
    </w:p>
    <w:p w14:paraId="304FBDD2">
      <w:pPr>
        <w:spacing w:line="360" w:lineRule="auto"/>
        <w:ind w:firstLine="540" w:firstLineChars="225"/>
        <w:rPr>
          <w:szCs w:val="28"/>
        </w:rPr>
      </w:pPr>
      <w:r>
        <w:rPr>
          <w:sz w:val="24"/>
        </w:rPr>
        <w:t>化工园区目前涉及的化工企业有德邦化工、恒诚制药、水卫士环保科技、国瑞药业，淮南锦德生物科技有限公司、安徽森吉制药有限公司、安徽山河药用辅料股份有限公司企业基本情况见表9.1-1。</w:t>
      </w:r>
    </w:p>
    <w:p w14:paraId="5C928FB9">
      <w:pPr>
        <w:pStyle w:val="12"/>
      </w:pPr>
    </w:p>
    <w:p w14:paraId="685C2D00"/>
    <w:p w14:paraId="66BB6FE0">
      <w:pPr>
        <w:sectPr>
          <w:headerReference r:id="rId11" w:type="default"/>
          <w:footerReference r:id="rId12" w:type="default"/>
          <w:pgSz w:w="11906" w:h="16838"/>
          <w:pgMar w:top="1797" w:right="1304" w:bottom="1797" w:left="1418" w:header="851" w:footer="992" w:gutter="0"/>
          <w:cols w:space="720" w:num="1"/>
          <w:docGrid w:type="lines" w:linePitch="312" w:charSpace="0"/>
        </w:sectPr>
      </w:pPr>
    </w:p>
    <w:p w14:paraId="17752C70">
      <w:pPr>
        <w:jc w:val="center"/>
      </w:pPr>
      <w:r>
        <w:t>表9.1-1 园区企业基本情况一览表</w:t>
      </w:r>
    </w:p>
    <w:tbl>
      <w:tblPr>
        <w:tblStyle w:val="58"/>
        <w:tblW w:w="153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061"/>
        <w:gridCol w:w="2016"/>
        <w:gridCol w:w="1578"/>
        <w:gridCol w:w="871"/>
        <w:gridCol w:w="1091"/>
        <w:gridCol w:w="859"/>
        <w:gridCol w:w="1076"/>
        <w:gridCol w:w="1391"/>
        <w:gridCol w:w="957"/>
        <w:gridCol w:w="1313"/>
        <w:gridCol w:w="1847"/>
        <w:gridCol w:w="757"/>
      </w:tblGrid>
      <w:tr w14:paraId="2D5CF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jc w:val="center"/>
        </w:trPr>
        <w:tc>
          <w:tcPr>
            <w:tcW w:w="505" w:type="dxa"/>
            <w:tcBorders>
              <w:tl2br w:val="nil"/>
              <w:tr2bl w:val="nil"/>
            </w:tcBorders>
          </w:tcPr>
          <w:p w14:paraId="4A306A7E">
            <w:pPr>
              <w:spacing w:before="289" w:line="222" w:lineRule="auto"/>
              <w:ind w:left="184"/>
              <w:rPr>
                <w:sz w:val="18"/>
                <w:szCs w:val="18"/>
              </w:rPr>
            </w:pPr>
            <w:r>
              <w:rPr>
                <w:spacing w:val="-2"/>
                <w:sz w:val="18"/>
                <w:szCs w:val="18"/>
              </w:rPr>
              <w:t>序</w:t>
            </w:r>
            <w:r>
              <w:rPr>
                <w:spacing w:val="-1"/>
                <w:sz w:val="18"/>
                <w:szCs w:val="18"/>
              </w:rPr>
              <w:t>号</w:t>
            </w:r>
          </w:p>
        </w:tc>
        <w:tc>
          <w:tcPr>
            <w:tcW w:w="1061" w:type="dxa"/>
            <w:tcBorders>
              <w:tl2br w:val="nil"/>
              <w:tr2bl w:val="nil"/>
            </w:tcBorders>
          </w:tcPr>
          <w:p w14:paraId="6D59B187">
            <w:pPr>
              <w:spacing w:before="288" w:line="223" w:lineRule="auto"/>
              <w:ind w:left="382"/>
              <w:rPr>
                <w:sz w:val="18"/>
                <w:szCs w:val="18"/>
              </w:rPr>
            </w:pPr>
            <w:r>
              <w:rPr>
                <w:spacing w:val="-2"/>
                <w:sz w:val="18"/>
                <w:szCs w:val="18"/>
              </w:rPr>
              <w:t>企业</w:t>
            </w:r>
            <w:r>
              <w:rPr>
                <w:spacing w:val="-1"/>
                <w:sz w:val="18"/>
                <w:szCs w:val="18"/>
              </w:rPr>
              <w:t>名称</w:t>
            </w:r>
          </w:p>
        </w:tc>
        <w:tc>
          <w:tcPr>
            <w:tcW w:w="2016" w:type="dxa"/>
            <w:tcBorders>
              <w:tl2br w:val="nil"/>
              <w:tr2bl w:val="nil"/>
            </w:tcBorders>
          </w:tcPr>
          <w:p w14:paraId="37CF18F6">
            <w:pPr>
              <w:spacing w:before="155" w:line="228" w:lineRule="auto"/>
              <w:ind w:left="719" w:right="169" w:hanging="543"/>
              <w:rPr>
                <w:sz w:val="18"/>
                <w:szCs w:val="18"/>
              </w:rPr>
            </w:pPr>
            <w:r>
              <w:rPr>
                <w:spacing w:val="-1"/>
                <w:sz w:val="18"/>
                <w:szCs w:val="18"/>
              </w:rPr>
              <w:t>生产规</w:t>
            </w:r>
            <w:r>
              <w:rPr>
                <w:sz w:val="18"/>
                <w:szCs w:val="18"/>
              </w:rPr>
              <w:t>模及产品</w:t>
            </w:r>
          </w:p>
        </w:tc>
        <w:tc>
          <w:tcPr>
            <w:tcW w:w="1578" w:type="dxa"/>
            <w:tcBorders>
              <w:tl2br w:val="nil"/>
              <w:tr2bl w:val="nil"/>
            </w:tcBorders>
          </w:tcPr>
          <w:p w14:paraId="658F1DE2">
            <w:pPr>
              <w:rPr>
                <w:sz w:val="18"/>
                <w:szCs w:val="18"/>
              </w:rPr>
            </w:pPr>
            <w:r>
              <w:rPr>
                <w:spacing w:val="-1"/>
                <w:sz w:val="18"/>
                <w:szCs w:val="18"/>
              </w:rPr>
              <w:t>涉</w:t>
            </w:r>
            <w:r>
              <w:rPr>
                <w:sz w:val="18"/>
                <w:szCs w:val="18"/>
              </w:rPr>
              <w:t>及安全许可的危</w:t>
            </w:r>
            <w:r>
              <w:rPr>
                <w:spacing w:val="-2"/>
                <w:sz w:val="18"/>
                <w:szCs w:val="18"/>
              </w:rPr>
              <w:t>险化学</w:t>
            </w:r>
            <w:r>
              <w:rPr>
                <w:spacing w:val="-1"/>
                <w:sz w:val="18"/>
                <w:szCs w:val="18"/>
              </w:rPr>
              <w:t>品及其产能</w:t>
            </w:r>
          </w:p>
        </w:tc>
        <w:tc>
          <w:tcPr>
            <w:tcW w:w="871" w:type="dxa"/>
            <w:tcBorders>
              <w:tl2br w:val="nil"/>
              <w:tr2bl w:val="nil"/>
            </w:tcBorders>
          </w:tcPr>
          <w:p w14:paraId="48E65B90">
            <w:pPr>
              <w:spacing w:before="288" w:line="221" w:lineRule="auto"/>
              <w:ind w:left="149"/>
              <w:rPr>
                <w:sz w:val="18"/>
                <w:szCs w:val="18"/>
              </w:rPr>
            </w:pPr>
            <w:r>
              <w:rPr>
                <w:spacing w:val="-2"/>
                <w:sz w:val="18"/>
                <w:szCs w:val="18"/>
              </w:rPr>
              <w:t>从</w:t>
            </w:r>
            <w:r>
              <w:rPr>
                <w:spacing w:val="-1"/>
                <w:sz w:val="18"/>
                <w:szCs w:val="18"/>
              </w:rPr>
              <w:t>业人数</w:t>
            </w:r>
          </w:p>
        </w:tc>
        <w:tc>
          <w:tcPr>
            <w:tcW w:w="1091" w:type="dxa"/>
            <w:tcBorders>
              <w:tl2br w:val="nil"/>
              <w:tr2bl w:val="nil"/>
            </w:tcBorders>
          </w:tcPr>
          <w:p w14:paraId="30DE81EC">
            <w:pPr>
              <w:spacing w:before="155" w:line="221" w:lineRule="auto"/>
              <w:ind w:left="184"/>
              <w:rPr>
                <w:sz w:val="18"/>
                <w:szCs w:val="18"/>
              </w:rPr>
            </w:pPr>
            <w:r>
              <w:rPr>
                <w:spacing w:val="-8"/>
                <w:sz w:val="18"/>
                <w:szCs w:val="18"/>
              </w:rPr>
              <w:t>占</w:t>
            </w:r>
            <w:r>
              <w:rPr>
                <w:spacing w:val="-7"/>
                <w:sz w:val="18"/>
                <w:szCs w:val="18"/>
              </w:rPr>
              <w:t>地面积</w:t>
            </w:r>
          </w:p>
          <w:p w14:paraId="11C7B480">
            <w:pPr>
              <w:spacing w:before="19" w:line="218" w:lineRule="auto"/>
              <w:ind w:left="261"/>
              <w:rPr>
                <w:sz w:val="18"/>
                <w:szCs w:val="18"/>
              </w:rPr>
            </w:pPr>
            <w:r>
              <w:rPr>
                <w:spacing w:val="27"/>
                <w:sz w:val="18"/>
                <w:szCs w:val="18"/>
              </w:rPr>
              <w:t>(</w:t>
            </w:r>
            <w:r>
              <w:rPr>
                <w:spacing w:val="26"/>
                <w:sz w:val="18"/>
                <w:szCs w:val="18"/>
              </w:rPr>
              <w:t>亩)</w:t>
            </w:r>
          </w:p>
        </w:tc>
        <w:tc>
          <w:tcPr>
            <w:tcW w:w="859" w:type="dxa"/>
            <w:tcBorders>
              <w:tl2br w:val="nil"/>
              <w:tr2bl w:val="nil"/>
            </w:tcBorders>
          </w:tcPr>
          <w:p w14:paraId="504196F3">
            <w:pPr>
              <w:spacing w:before="289" w:line="221" w:lineRule="auto"/>
              <w:ind w:left="155"/>
              <w:rPr>
                <w:sz w:val="18"/>
                <w:szCs w:val="18"/>
              </w:rPr>
            </w:pPr>
            <w:r>
              <w:rPr>
                <w:spacing w:val="-2"/>
                <w:sz w:val="18"/>
                <w:szCs w:val="18"/>
              </w:rPr>
              <w:t>建</w:t>
            </w:r>
            <w:r>
              <w:rPr>
                <w:spacing w:val="-1"/>
                <w:sz w:val="18"/>
                <w:szCs w:val="18"/>
              </w:rPr>
              <w:t>设情况</w:t>
            </w:r>
          </w:p>
        </w:tc>
        <w:tc>
          <w:tcPr>
            <w:tcW w:w="1076" w:type="dxa"/>
            <w:tcBorders>
              <w:tl2br w:val="nil"/>
              <w:tr2bl w:val="nil"/>
            </w:tcBorders>
          </w:tcPr>
          <w:p w14:paraId="7BF77E4D">
            <w:pPr>
              <w:spacing w:before="289" w:line="221" w:lineRule="auto"/>
              <w:ind w:left="120"/>
              <w:rPr>
                <w:sz w:val="18"/>
                <w:szCs w:val="18"/>
              </w:rPr>
            </w:pPr>
            <w:r>
              <w:rPr>
                <w:spacing w:val="-1"/>
                <w:sz w:val="18"/>
                <w:szCs w:val="18"/>
              </w:rPr>
              <w:t>重大危</w:t>
            </w:r>
            <w:r>
              <w:rPr>
                <w:sz w:val="18"/>
                <w:szCs w:val="18"/>
              </w:rPr>
              <w:t>险源</w:t>
            </w:r>
          </w:p>
        </w:tc>
        <w:tc>
          <w:tcPr>
            <w:tcW w:w="1391" w:type="dxa"/>
            <w:tcBorders>
              <w:tl2br w:val="nil"/>
              <w:tr2bl w:val="nil"/>
            </w:tcBorders>
          </w:tcPr>
          <w:p w14:paraId="34DC2E58">
            <w:pPr>
              <w:spacing w:before="155" w:line="228" w:lineRule="auto"/>
              <w:ind w:left="335" w:right="103" w:hanging="219"/>
              <w:rPr>
                <w:sz w:val="18"/>
                <w:szCs w:val="18"/>
              </w:rPr>
            </w:pPr>
            <w:r>
              <w:rPr>
                <w:spacing w:val="-1"/>
                <w:sz w:val="18"/>
                <w:szCs w:val="18"/>
              </w:rPr>
              <w:t>重点监管</w:t>
            </w:r>
            <w:r>
              <w:rPr>
                <w:sz w:val="18"/>
                <w:szCs w:val="18"/>
              </w:rPr>
              <w:t xml:space="preserve">危 </w:t>
            </w:r>
            <w:r>
              <w:rPr>
                <w:spacing w:val="-5"/>
                <w:sz w:val="18"/>
                <w:szCs w:val="18"/>
              </w:rPr>
              <w:t>险</w:t>
            </w:r>
            <w:r>
              <w:rPr>
                <w:spacing w:val="-3"/>
                <w:sz w:val="18"/>
                <w:szCs w:val="18"/>
              </w:rPr>
              <w:t>工艺</w:t>
            </w:r>
          </w:p>
        </w:tc>
        <w:tc>
          <w:tcPr>
            <w:tcW w:w="957" w:type="dxa"/>
            <w:tcBorders>
              <w:tl2br w:val="nil"/>
              <w:tr2bl w:val="nil"/>
            </w:tcBorders>
          </w:tcPr>
          <w:p w14:paraId="04297529">
            <w:pPr>
              <w:rPr>
                <w:sz w:val="18"/>
                <w:szCs w:val="18"/>
              </w:rPr>
            </w:pPr>
            <w:r>
              <w:rPr>
                <w:spacing w:val="-1"/>
                <w:sz w:val="18"/>
                <w:szCs w:val="18"/>
              </w:rPr>
              <w:t>重点</w:t>
            </w:r>
            <w:r>
              <w:rPr>
                <w:sz w:val="18"/>
                <w:szCs w:val="18"/>
              </w:rPr>
              <w:t>监管危化品</w:t>
            </w:r>
          </w:p>
        </w:tc>
        <w:tc>
          <w:tcPr>
            <w:tcW w:w="1313" w:type="dxa"/>
            <w:tcBorders>
              <w:tl2br w:val="nil"/>
              <w:tr2bl w:val="nil"/>
            </w:tcBorders>
          </w:tcPr>
          <w:p w14:paraId="70F1D0FF">
            <w:pPr>
              <w:rPr>
                <w:sz w:val="18"/>
                <w:szCs w:val="18"/>
              </w:rPr>
            </w:pPr>
            <w:r>
              <w:rPr>
                <w:spacing w:val="-4"/>
                <w:sz w:val="18"/>
                <w:szCs w:val="18"/>
              </w:rPr>
              <w:t>高毒、剧毒、监控</w:t>
            </w:r>
            <w:r>
              <w:rPr>
                <w:spacing w:val="-3"/>
                <w:sz w:val="18"/>
                <w:szCs w:val="18"/>
              </w:rPr>
              <w:t>、</w:t>
            </w:r>
            <w:r>
              <w:rPr>
                <w:spacing w:val="-2"/>
                <w:sz w:val="18"/>
                <w:szCs w:val="18"/>
              </w:rPr>
              <w:t>易制毒、易</w:t>
            </w:r>
            <w:r>
              <w:rPr>
                <w:spacing w:val="-1"/>
                <w:sz w:val="18"/>
                <w:szCs w:val="18"/>
              </w:rPr>
              <w:t>制爆</w:t>
            </w:r>
          </w:p>
        </w:tc>
        <w:tc>
          <w:tcPr>
            <w:tcW w:w="1847" w:type="dxa"/>
            <w:tcBorders>
              <w:tl2br w:val="nil"/>
              <w:tr2bl w:val="nil"/>
            </w:tcBorders>
          </w:tcPr>
          <w:p w14:paraId="2BFB8A2A">
            <w:pPr>
              <w:spacing w:before="288" w:line="221" w:lineRule="auto"/>
              <w:rPr>
                <w:sz w:val="18"/>
                <w:szCs w:val="18"/>
              </w:rPr>
            </w:pPr>
            <w:r>
              <w:rPr>
                <w:spacing w:val="-1"/>
                <w:sz w:val="18"/>
                <w:szCs w:val="18"/>
              </w:rPr>
              <w:t>危险化</w:t>
            </w:r>
            <w:r>
              <w:rPr>
                <w:sz w:val="18"/>
                <w:szCs w:val="18"/>
              </w:rPr>
              <w:t>学品种类</w:t>
            </w:r>
          </w:p>
        </w:tc>
        <w:tc>
          <w:tcPr>
            <w:tcW w:w="757" w:type="dxa"/>
            <w:tcBorders>
              <w:tl2br w:val="nil"/>
              <w:tr2bl w:val="nil"/>
            </w:tcBorders>
          </w:tcPr>
          <w:p w14:paraId="45951FFB">
            <w:pPr>
              <w:spacing w:before="288" w:line="221" w:lineRule="auto"/>
              <w:rPr>
                <w:sz w:val="18"/>
                <w:szCs w:val="18"/>
              </w:rPr>
            </w:pPr>
            <w:r>
              <w:rPr>
                <w:spacing w:val="-6"/>
                <w:sz w:val="18"/>
                <w:szCs w:val="18"/>
              </w:rPr>
              <w:t>区</w:t>
            </w:r>
            <w:r>
              <w:rPr>
                <w:spacing w:val="-3"/>
                <w:sz w:val="18"/>
                <w:szCs w:val="18"/>
              </w:rPr>
              <w:t>域位置</w:t>
            </w:r>
          </w:p>
        </w:tc>
      </w:tr>
      <w:tr w14:paraId="598C6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jc w:val="center"/>
        </w:trPr>
        <w:tc>
          <w:tcPr>
            <w:tcW w:w="505" w:type="dxa"/>
            <w:vMerge w:val="restart"/>
            <w:tcBorders>
              <w:tl2br w:val="nil"/>
              <w:tr2bl w:val="nil"/>
            </w:tcBorders>
          </w:tcPr>
          <w:p w14:paraId="4434C475">
            <w:pPr>
              <w:spacing w:line="269" w:lineRule="auto"/>
              <w:rPr>
                <w:sz w:val="18"/>
                <w:szCs w:val="18"/>
              </w:rPr>
            </w:pPr>
          </w:p>
          <w:p w14:paraId="3C578CAB">
            <w:pPr>
              <w:spacing w:line="269" w:lineRule="auto"/>
              <w:rPr>
                <w:sz w:val="18"/>
                <w:szCs w:val="18"/>
              </w:rPr>
            </w:pPr>
          </w:p>
          <w:p w14:paraId="3F9CA33B">
            <w:pPr>
              <w:spacing w:line="269" w:lineRule="auto"/>
              <w:rPr>
                <w:sz w:val="18"/>
                <w:szCs w:val="18"/>
              </w:rPr>
            </w:pPr>
          </w:p>
          <w:p w14:paraId="0AA01268">
            <w:pPr>
              <w:spacing w:line="269" w:lineRule="auto"/>
              <w:rPr>
                <w:sz w:val="18"/>
                <w:szCs w:val="18"/>
              </w:rPr>
            </w:pPr>
          </w:p>
          <w:p w14:paraId="28A36E08">
            <w:pPr>
              <w:spacing w:before="61" w:line="187" w:lineRule="auto"/>
              <w:ind w:left="413"/>
              <w:rPr>
                <w:rFonts w:eastAsia="Times New Roman"/>
                <w:sz w:val="18"/>
                <w:szCs w:val="18"/>
              </w:rPr>
            </w:pPr>
            <w:r>
              <w:rPr>
                <w:rFonts w:eastAsia="Times New Roman"/>
                <w:spacing w:val="-8"/>
                <w:sz w:val="18"/>
                <w:szCs w:val="18"/>
              </w:rPr>
              <w:t>1.</w:t>
            </w:r>
          </w:p>
        </w:tc>
        <w:tc>
          <w:tcPr>
            <w:tcW w:w="1061" w:type="dxa"/>
            <w:vMerge w:val="restart"/>
            <w:tcBorders>
              <w:tl2br w:val="nil"/>
              <w:tr2bl w:val="nil"/>
            </w:tcBorders>
          </w:tcPr>
          <w:p w14:paraId="50397FB3">
            <w:pPr>
              <w:spacing w:line="274" w:lineRule="auto"/>
              <w:rPr>
                <w:sz w:val="18"/>
                <w:szCs w:val="18"/>
              </w:rPr>
            </w:pPr>
          </w:p>
          <w:p w14:paraId="3B358F94">
            <w:pPr>
              <w:spacing w:line="274" w:lineRule="auto"/>
              <w:rPr>
                <w:sz w:val="18"/>
                <w:szCs w:val="18"/>
              </w:rPr>
            </w:pPr>
          </w:p>
          <w:p w14:paraId="1798AC3B">
            <w:pPr>
              <w:spacing w:line="274" w:lineRule="auto"/>
              <w:rPr>
                <w:sz w:val="18"/>
                <w:szCs w:val="18"/>
              </w:rPr>
            </w:pPr>
          </w:p>
          <w:p w14:paraId="4C472083">
            <w:pPr>
              <w:rPr>
                <w:sz w:val="18"/>
                <w:szCs w:val="18"/>
              </w:rPr>
            </w:pPr>
            <w:r>
              <w:rPr>
                <w:spacing w:val="-2"/>
                <w:sz w:val="18"/>
                <w:szCs w:val="18"/>
              </w:rPr>
              <w:t>安徽德邦</w:t>
            </w:r>
            <w:r>
              <w:rPr>
                <w:spacing w:val="-1"/>
                <w:sz w:val="18"/>
                <w:szCs w:val="18"/>
              </w:rPr>
              <w:t>化工</w:t>
            </w:r>
            <w:r>
              <w:rPr>
                <w:spacing w:val="-2"/>
                <w:sz w:val="18"/>
                <w:szCs w:val="18"/>
              </w:rPr>
              <w:t>有限</w:t>
            </w:r>
            <w:r>
              <w:rPr>
                <w:spacing w:val="-1"/>
                <w:sz w:val="18"/>
                <w:szCs w:val="18"/>
              </w:rPr>
              <w:t>公司</w:t>
            </w:r>
          </w:p>
        </w:tc>
        <w:tc>
          <w:tcPr>
            <w:tcW w:w="2016" w:type="dxa"/>
            <w:tcBorders>
              <w:tl2br w:val="nil"/>
              <w:tr2bl w:val="nil"/>
            </w:tcBorders>
          </w:tcPr>
          <w:p w14:paraId="5BE56CFC">
            <w:pPr>
              <w:spacing w:before="241" w:line="232" w:lineRule="auto"/>
              <w:ind w:left="138"/>
              <w:rPr>
                <w:sz w:val="18"/>
                <w:szCs w:val="18"/>
              </w:rPr>
            </w:pPr>
            <w:r>
              <w:rPr>
                <w:rFonts w:eastAsia="Times New Roman"/>
                <w:spacing w:val="-4"/>
                <w:sz w:val="18"/>
                <w:szCs w:val="18"/>
              </w:rPr>
              <w:t>10</w:t>
            </w:r>
            <w:r>
              <w:rPr>
                <w:spacing w:val="-2"/>
                <w:sz w:val="18"/>
                <w:szCs w:val="18"/>
              </w:rPr>
              <w:t>万吨</w:t>
            </w:r>
            <w:r>
              <w:rPr>
                <w:rFonts w:eastAsia="Times New Roman"/>
                <w:spacing w:val="-2"/>
                <w:sz w:val="18"/>
                <w:szCs w:val="18"/>
              </w:rPr>
              <w:t>/</w:t>
            </w:r>
            <w:r>
              <w:rPr>
                <w:spacing w:val="-2"/>
                <w:sz w:val="18"/>
                <w:szCs w:val="18"/>
              </w:rPr>
              <w:t>年液氨</w:t>
            </w:r>
          </w:p>
        </w:tc>
        <w:tc>
          <w:tcPr>
            <w:tcW w:w="1578" w:type="dxa"/>
            <w:vMerge w:val="restart"/>
            <w:tcBorders>
              <w:tl2br w:val="nil"/>
              <w:tr2bl w:val="nil"/>
            </w:tcBorders>
          </w:tcPr>
          <w:p w14:paraId="70FC4EAC">
            <w:pPr>
              <w:spacing w:line="246" w:lineRule="auto"/>
              <w:rPr>
                <w:sz w:val="18"/>
                <w:szCs w:val="18"/>
              </w:rPr>
            </w:pPr>
          </w:p>
          <w:p w14:paraId="3D032630">
            <w:pPr>
              <w:spacing w:line="246" w:lineRule="auto"/>
              <w:rPr>
                <w:sz w:val="18"/>
                <w:szCs w:val="18"/>
              </w:rPr>
            </w:pPr>
          </w:p>
          <w:p w14:paraId="1AA16F7A">
            <w:pPr>
              <w:spacing w:line="246" w:lineRule="auto"/>
              <w:rPr>
                <w:sz w:val="18"/>
                <w:szCs w:val="18"/>
              </w:rPr>
            </w:pPr>
          </w:p>
          <w:p w14:paraId="254DBA1A">
            <w:pPr>
              <w:spacing w:line="246" w:lineRule="auto"/>
              <w:rPr>
                <w:sz w:val="18"/>
                <w:szCs w:val="18"/>
              </w:rPr>
            </w:pPr>
          </w:p>
          <w:p w14:paraId="2EEFC6B6">
            <w:pPr>
              <w:spacing w:line="246" w:lineRule="auto"/>
              <w:rPr>
                <w:sz w:val="18"/>
                <w:szCs w:val="18"/>
              </w:rPr>
            </w:pPr>
          </w:p>
          <w:p w14:paraId="2DDD1F40">
            <w:pPr>
              <w:spacing w:line="246" w:lineRule="auto"/>
              <w:rPr>
                <w:sz w:val="18"/>
                <w:szCs w:val="18"/>
              </w:rPr>
            </w:pPr>
          </w:p>
          <w:p w14:paraId="14F5F055">
            <w:pPr>
              <w:spacing w:line="246" w:lineRule="auto"/>
              <w:rPr>
                <w:sz w:val="18"/>
                <w:szCs w:val="18"/>
              </w:rPr>
            </w:pPr>
          </w:p>
          <w:p w14:paraId="091CED04">
            <w:pPr>
              <w:rPr>
                <w:sz w:val="18"/>
                <w:szCs w:val="18"/>
              </w:rPr>
            </w:pPr>
            <w:r>
              <w:rPr>
                <w:rFonts w:eastAsia="Times New Roman"/>
                <w:spacing w:val="-4"/>
                <w:sz w:val="18"/>
                <w:szCs w:val="18"/>
              </w:rPr>
              <w:t>10</w:t>
            </w:r>
            <w:r>
              <w:rPr>
                <w:spacing w:val="-2"/>
                <w:sz w:val="18"/>
                <w:szCs w:val="18"/>
              </w:rPr>
              <w:t>万吨</w:t>
            </w:r>
            <w:r>
              <w:rPr>
                <w:rFonts w:eastAsia="Times New Roman"/>
                <w:spacing w:val="-2"/>
                <w:sz w:val="18"/>
                <w:szCs w:val="18"/>
              </w:rPr>
              <w:t>/</w:t>
            </w:r>
            <w:r>
              <w:rPr>
                <w:spacing w:val="-2"/>
                <w:sz w:val="18"/>
                <w:szCs w:val="18"/>
              </w:rPr>
              <w:t>年液氨</w:t>
            </w:r>
          </w:p>
          <w:p w14:paraId="133332A5">
            <w:pPr>
              <w:rPr>
                <w:sz w:val="18"/>
                <w:szCs w:val="18"/>
              </w:rPr>
            </w:pPr>
            <w:r>
              <w:rPr>
                <w:rFonts w:eastAsia="Times New Roman"/>
                <w:spacing w:val="-4"/>
                <w:sz w:val="18"/>
                <w:szCs w:val="18"/>
              </w:rPr>
              <w:t>1</w:t>
            </w:r>
            <w:r>
              <w:rPr>
                <w:spacing w:val="-3"/>
                <w:sz w:val="18"/>
                <w:szCs w:val="18"/>
              </w:rPr>
              <w:t>万</w:t>
            </w:r>
            <w:r>
              <w:rPr>
                <w:spacing w:val="-2"/>
                <w:sz w:val="18"/>
                <w:szCs w:val="18"/>
              </w:rPr>
              <w:t>吨</w:t>
            </w:r>
            <w:r>
              <w:rPr>
                <w:rFonts w:eastAsia="Times New Roman"/>
                <w:spacing w:val="-2"/>
                <w:sz w:val="18"/>
                <w:szCs w:val="18"/>
              </w:rPr>
              <w:t>/</w:t>
            </w:r>
            <w:r>
              <w:rPr>
                <w:spacing w:val="-2"/>
                <w:sz w:val="18"/>
                <w:szCs w:val="18"/>
              </w:rPr>
              <w:t>年粗甲醇</w:t>
            </w:r>
          </w:p>
          <w:p w14:paraId="66EF580E">
            <w:pPr>
              <w:rPr>
                <w:sz w:val="18"/>
                <w:szCs w:val="18"/>
              </w:rPr>
            </w:pPr>
            <w:r>
              <w:rPr>
                <w:rFonts w:eastAsia="Times New Roman"/>
                <w:spacing w:val="-1"/>
                <w:sz w:val="18"/>
                <w:szCs w:val="18"/>
              </w:rPr>
              <w:t>300</w:t>
            </w:r>
            <w:r>
              <w:rPr>
                <w:spacing w:val="-1"/>
                <w:sz w:val="18"/>
                <w:szCs w:val="18"/>
              </w:rPr>
              <w:t>吨</w:t>
            </w:r>
            <w:r>
              <w:rPr>
                <w:rFonts w:eastAsia="Times New Roman"/>
                <w:spacing w:val="-1"/>
                <w:sz w:val="18"/>
                <w:szCs w:val="18"/>
              </w:rPr>
              <w:t>/</w:t>
            </w:r>
            <w:r>
              <w:rPr>
                <w:spacing w:val="-1"/>
                <w:sz w:val="18"/>
                <w:szCs w:val="18"/>
              </w:rPr>
              <w:t>年</w:t>
            </w:r>
            <w:r>
              <w:rPr>
                <w:sz w:val="18"/>
                <w:szCs w:val="18"/>
              </w:rPr>
              <w:t>硫磺</w:t>
            </w:r>
          </w:p>
        </w:tc>
        <w:tc>
          <w:tcPr>
            <w:tcW w:w="871" w:type="dxa"/>
            <w:vMerge w:val="restart"/>
            <w:tcBorders>
              <w:tl2br w:val="nil"/>
              <w:tr2bl w:val="nil"/>
            </w:tcBorders>
          </w:tcPr>
          <w:p w14:paraId="6CEF6EC7">
            <w:pPr>
              <w:spacing w:line="269" w:lineRule="auto"/>
              <w:rPr>
                <w:sz w:val="18"/>
                <w:szCs w:val="18"/>
              </w:rPr>
            </w:pPr>
          </w:p>
          <w:p w14:paraId="5CF9239B">
            <w:pPr>
              <w:spacing w:line="269" w:lineRule="auto"/>
              <w:rPr>
                <w:sz w:val="18"/>
                <w:szCs w:val="18"/>
              </w:rPr>
            </w:pPr>
          </w:p>
          <w:p w14:paraId="4FBB2336">
            <w:pPr>
              <w:spacing w:line="269" w:lineRule="auto"/>
              <w:rPr>
                <w:sz w:val="18"/>
                <w:szCs w:val="18"/>
              </w:rPr>
            </w:pPr>
          </w:p>
          <w:p w14:paraId="1D5686A9">
            <w:pPr>
              <w:spacing w:line="269" w:lineRule="auto"/>
              <w:rPr>
                <w:sz w:val="18"/>
                <w:szCs w:val="18"/>
              </w:rPr>
            </w:pPr>
          </w:p>
          <w:p w14:paraId="530F33FE">
            <w:pPr>
              <w:spacing w:line="269" w:lineRule="auto"/>
              <w:rPr>
                <w:sz w:val="18"/>
                <w:szCs w:val="18"/>
              </w:rPr>
            </w:pPr>
          </w:p>
          <w:p w14:paraId="484C16BD">
            <w:pPr>
              <w:spacing w:line="269" w:lineRule="auto"/>
              <w:rPr>
                <w:sz w:val="18"/>
                <w:szCs w:val="18"/>
              </w:rPr>
            </w:pPr>
          </w:p>
          <w:p w14:paraId="295EC3D7">
            <w:pPr>
              <w:spacing w:line="269" w:lineRule="auto"/>
              <w:rPr>
                <w:sz w:val="18"/>
                <w:szCs w:val="18"/>
              </w:rPr>
            </w:pPr>
          </w:p>
          <w:p w14:paraId="4CFF7F6E">
            <w:pPr>
              <w:spacing w:line="269" w:lineRule="auto"/>
              <w:rPr>
                <w:sz w:val="18"/>
                <w:szCs w:val="18"/>
              </w:rPr>
            </w:pPr>
          </w:p>
          <w:p w14:paraId="63F46563">
            <w:pPr>
              <w:spacing w:before="61" w:line="187" w:lineRule="auto"/>
              <w:rPr>
                <w:rFonts w:eastAsia="Times New Roman"/>
                <w:sz w:val="18"/>
                <w:szCs w:val="18"/>
              </w:rPr>
            </w:pPr>
            <w:r>
              <w:rPr>
                <w:rFonts w:eastAsia="Times New Roman"/>
                <w:spacing w:val="-2"/>
                <w:sz w:val="18"/>
                <w:szCs w:val="18"/>
              </w:rPr>
              <w:t>60</w:t>
            </w:r>
            <w:r>
              <w:rPr>
                <w:rFonts w:eastAsia="Times New Roman"/>
                <w:spacing w:val="-1"/>
                <w:sz w:val="18"/>
                <w:szCs w:val="18"/>
              </w:rPr>
              <w:t>0</w:t>
            </w:r>
          </w:p>
        </w:tc>
        <w:tc>
          <w:tcPr>
            <w:tcW w:w="1091" w:type="dxa"/>
            <w:vMerge w:val="restart"/>
            <w:tcBorders>
              <w:tl2br w:val="nil"/>
              <w:tr2bl w:val="nil"/>
            </w:tcBorders>
          </w:tcPr>
          <w:p w14:paraId="00A7CCCC">
            <w:pPr>
              <w:spacing w:line="269" w:lineRule="auto"/>
              <w:rPr>
                <w:sz w:val="18"/>
                <w:szCs w:val="18"/>
              </w:rPr>
            </w:pPr>
          </w:p>
          <w:p w14:paraId="6E2B1570">
            <w:pPr>
              <w:spacing w:line="269" w:lineRule="auto"/>
              <w:rPr>
                <w:sz w:val="18"/>
                <w:szCs w:val="18"/>
              </w:rPr>
            </w:pPr>
          </w:p>
          <w:p w14:paraId="51E38C1F">
            <w:pPr>
              <w:spacing w:line="269" w:lineRule="auto"/>
              <w:rPr>
                <w:sz w:val="18"/>
                <w:szCs w:val="18"/>
              </w:rPr>
            </w:pPr>
          </w:p>
          <w:p w14:paraId="1500BDB8">
            <w:pPr>
              <w:spacing w:line="269" w:lineRule="auto"/>
              <w:rPr>
                <w:sz w:val="18"/>
                <w:szCs w:val="18"/>
              </w:rPr>
            </w:pPr>
          </w:p>
          <w:p w14:paraId="11B271EA">
            <w:pPr>
              <w:spacing w:line="269" w:lineRule="auto"/>
              <w:rPr>
                <w:sz w:val="18"/>
                <w:szCs w:val="18"/>
              </w:rPr>
            </w:pPr>
          </w:p>
          <w:p w14:paraId="1CE50173">
            <w:pPr>
              <w:spacing w:line="269" w:lineRule="auto"/>
              <w:rPr>
                <w:sz w:val="18"/>
                <w:szCs w:val="18"/>
              </w:rPr>
            </w:pPr>
          </w:p>
          <w:p w14:paraId="5C824AD5">
            <w:pPr>
              <w:spacing w:line="269" w:lineRule="auto"/>
              <w:rPr>
                <w:sz w:val="18"/>
                <w:szCs w:val="18"/>
              </w:rPr>
            </w:pPr>
          </w:p>
          <w:p w14:paraId="27517C21">
            <w:pPr>
              <w:spacing w:line="269" w:lineRule="auto"/>
              <w:rPr>
                <w:sz w:val="18"/>
                <w:szCs w:val="18"/>
              </w:rPr>
            </w:pPr>
          </w:p>
          <w:p w14:paraId="48353CFF">
            <w:pPr>
              <w:spacing w:before="61" w:line="187" w:lineRule="auto"/>
              <w:ind w:left="408"/>
              <w:rPr>
                <w:rFonts w:eastAsia="Times New Roman"/>
                <w:sz w:val="18"/>
                <w:szCs w:val="18"/>
              </w:rPr>
            </w:pPr>
            <w:r>
              <w:rPr>
                <w:rFonts w:eastAsia="Times New Roman"/>
                <w:spacing w:val="-1"/>
                <w:sz w:val="18"/>
                <w:szCs w:val="18"/>
              </w:rPr>
              <w:t>40</w:t>
            </w:r>
            <w:r>
              <w:rPr>
                <w:rFonts w:eastAsia="Times New Roman"/>
                <w:sz w:val="18"/>
                <w:szCs w:val="18"/>
              </w:rPr>
              <w:t>9</w:t>
            </w:r>
          </w:p>
        </w:tc>
        <w:tc>
          <w:tcPr>
            <w:tcW w:w="859" w:type="dxa"/>
            <w:vMerge w:val="restart"/>
            <w:tcBorders>
              <w:tl2br w:val="nil"/>
              <w:tr2bl w:val="nil"/>
            </w:tcBorders>
          </w:tcPr>
          <w:p w14:paraId="098EEE9D">
            <w:pPr>
              <w:spacing w:line="264" w:lineRule="auto"/>
              <w:rPr>
                <w:sz w:val="18"/>
                <w:szCs w:val="18"/>
              </w:rPr>
            </w:pPr>
          </w:p>
          <w:p w14:paraId="4888F67F">
            <w:pPr>
              <w:spacing w:line="264" w:lineRule="auto"/>
              <w:rPr>
                <w:sz w:val="18"/>
                <w:szCs w:val="18"/>
              </w:rPr>
            </w:pPr>
          </w:p>
          <w:p w14:paraId="00B06B11">
            <w:pPr>
              <w:spacing w:line="264" w:lineRule="auto"/>
              <w:rPr>
                <w:sz w:val="18"/>
                <w:szCs w:val="18"/>
              </w:rPr>
            </w:pPr>
          </w:p>
          <w:p w14:paraId="4C0A6FD8">
            <w:pPr>
              <w:spacing w:line="264" w:lineRule="auto"/>
              <w:rPr>
                <w:sz w:val="18"/>
                <w:szCs w:val="18"/>
              </w:rPr>
            </w:pPr>
          </w:p>
          <w:p w14:paraId="143EFBE2">
            <w:pPr>
              <w:spacing w:line="264" w:lineRule="auto"/>
              <w:rPr>
                <w:sz w:val="18"/>
                <w:szCs w:val="18"/>
              </w:rPr>
            </w:pPr>
          </w:p>
          <w:p w14:paraId="485B89D0">
            <w:pPr>
              <w:spacing w:line="264" w:lineRule="auto"/>
              <w:rPr>
                <w:sz w:val="18"/>
                <w:szCs w:val="18"/>
              </w:rPr>
            </w:pPr>
          </w:p>
          <w:p w14:paraId="1820B191">
            <w:pPr>
              <w:spacing w:line="264" w:lineRule="auto"/>
              <w:rPr>
                <w:sz w:val="18"/>
                <w:szCs w:val="18"/>
              </w:rPr>
            </w:pPr>
          </w:p>
          <w:p w14:paraId="37DFFFC4">
            <w:pPr>
              <w:spacing w:line="265" w:lineRule="auto"/>
              <w:rPr>
                <w:sz w:val="18"/>
                <w:szCs w:val="18"/>
              </w:rPr>
            </w:pPr>
          </w:p>
          <w:p w14:paraId="198B2595">
            <w:pPr>
              <w:spacing w:before="68" w:line="221" w:lineRule="auto"/>
              <w:ind w:left="159"/>
              <w:rPr>
                <w:sz w:val="18"/>
                <w:szCs w:val="18"/>
              </w:rPr>
            </w:pPr>
            <w:r>
              <w:rPr>
                <w:spacing w:val="-3"/>
                <w:sz w:val="18"/>
                <w:szCs w:val="18"/>
              </w:rPr>
              <w:t>正</w:t>
            </w:r>
            <w:r>
              <w:rPr>
                <w:spacing w:val="-2"/>
                <w:sz w:val="18"/>
                <w:szCs w:val="18"/>
              </w:rPr>
              <w:t>常生产</w:t>
            </w:r>
          </w:p>
        </w:tc>
        <w:tc>
          <w:tcPr>
            <w:tcW w:w="1076" w:type="dxa"/>
            <w:vMerge w:val="restart"/>
            <w:tcBorders>
              <w:tl2br w:val="nil"/>
              <w:tr2bl w:val="nil"/>
            </w:tcBorders>
          </w:tcPr>
          <w:p w14:paraId="28C3EC78">
            <w:pPr>
              <w:spacing w:line="301" w:lineRule="auto"/>
              <w:rPr>
                <w:sz w:val="18"/>
                <w:szCs w:val="18"/>
              </w:rPr>
            </w:pPr>
          </w:p>
          <w:p w14:paraId="08D53823">
            <w:pPr>
              <w:spacing w:line="302" w:lineRule="auto"/>
              <w:rPr>
                <w:sz w:val="18"/>
                <w:szCs w:val="18"/>
              </w:rPr>
            </w:pPr>
          </w:p>
          <w:p w14:paraId="2BDFEFE9">
            <w:pPr>
              <w:spacing w:line="302" w:lineRule="auto"/>
              <w:rPr>
                <w:sz w:val="18"/>
                <w:szCs w:val="18"/>
              </w:rPr>
            </w:pPr>
          </w:p>
          <w:p w14:paraId="3D6E0B42">
            <w:pPr>
              <w:spacing w:before="69" w:line="256" w:lineRule="auto"/>
              <w:ind w:left="226" w:right="214"/>
              <w:rPr>
                <w:sz w:val="18"/>
                <w:szCs w:val="18"/>
              </w:rPr>
            </w:pPr>
            <w:r>
              <w:rPr>
                <w:spacing w:val="-2"/>
                <w:sz w:val="18"/>
                <w:szCs w:val="18"/>
              </w:rPr>
              <w:t>液氨罐区构成三级</w:t>
            </w:r>
          </w:p>
        </w:tc>
        <w:tc>
          <w:tcPr>
            <w:tcW w:w="1391" w:type="dxa"/>
            <w:vMerge w:val="restart"/>
            <w:tcBorders>
              <w:tl2br w:val="nil"/>
              <w:tr2bl w:val="nil"/>
            </w:tcBorders>
          </w:tcPr>
          <w:p w14:paraId="1F359CBA">
            <w:pPr>
              <w:spacing w:line="302" w:lineRule="auto"/>
              <w:rPr>
                <w:sz w:val="18"/>
                <w:szCs w:val="18"/>
              </w:rPr>
            </w:pPr>
          </w:p>
          <w:p w14:paraId="5EF02492">
            <w:pPr>
              <w:spacing w:line="302" w:lineRule="auto"/>
              <w:rPr>
                <w:sz w:val="18"/>
                <w:szCs w:val="18"/>
              </w:rPr>
            </w:pPr>
          </w:p>
          <w:p w14:paraId="20C370B5">
            <w:pPr>
              <w:spacing w:line="303" w:lineRule="auto"/>
              <w:rPr>
                <w:sz w:val="18"/>
                <w:szCs w:val="18"/>
              </w:rPr>
            </w:pPr>
          </w:p>
          <w:p w14:paraId="40379BDC">
            <w:pPr>
              <w:spacing w:before="68" w:line="260" w:lineRule="auto"/>
              <w:ind w:left="434" w:right="106" w:hanging="318"/>
              <w:rPr>
                <w:sz w:val="18"/>
                <w:szCs w:val="18"/>
              </w:rPr>
            </w:pPr>
            <w:r>
              <w:rPr>
                <w:spacing w:val="-2"/>
                <w:sz w:val="18"/>
                <w:szCs w:val="18"/>
              </w:rPr>
              <w:t>新</w:t>
            </w:r>
            <w:r>
              <w:rPr>
                <w:spacing w:val="-1"/>
                <w:sz w:val="18"/>
                <w:szCs w:val="18"/>
              </w:rPr>
              <w:t>型煤化工</w:t>
            </w:r>
            <w:r>
              <w:rPr>
                <w:spacing w:val="-3"/>
                <w:sz w:val="18"/>
                <w:szCs w:val="18"/>
              </w:rPr>
              <w:t>工</w:t>
            </w:r>
            <w:r>
              <w:rPr>
                <w:spacing w:val="-2"/>
                <w:sz w:val="18"/>
                <w:szCs w:val="18"/>
              </w:rPr>
              <w:t>艺</w:t>
            </w:r>
          </w:p>
        </w:tc>
        <w:tc>
          <w:tcPr>
            <w:tcW w:w="957" w:type="dxa"/>
            <w:vMerge w:val="restart"/>
            <w:tcBorders>
              <w:tl2br w:val="nil"/>
              <w:tr2bl w:val="nil"/>
            </w:tcBorders>
          </w:tcPr>
          <w:p w14:paraId="4CE875DE">
            <w:pPr>
              <w:spacing w:line="254" w:lineRule="auto"/>
              <w:rPr>
                <w:sz w:val="18"/>
                <w:szCs w:val="18"/>
              </w:rPr>
            </w:pPr>
          </w:p>
          <w:p w14:paraId="4F3BBB6F">
            <w:pPr>
              <w:spacing w:line="254" w:lineRule="auto"/>
              <w:rPr>
                <w:sz w:val="18"/>
                <w:szCs w:val="18"/>
              </w:rPr>
            </w:pPr>
          </w:p>
          <w:p w14:paraId="04260C71">
            <w:pPr>
              <w:spacing w:line="254" w:lineRule="auto"/>
              <w:rPr>
                <w:sz w:val="18"/>
                <w:szCs w:val="18"/>
              </w:rPr>
            </w:pPr>
          </w:p>
          <w:p w14:paraId="346D9903">
            <w:pPr>
              <w:spacing w:line="255" w:lineRule="auto"/>
              <w:rPr>
                <w:sz w:val="18"/>
                <w:szCs w:val="18"/>
              </w:rPr>
            </w:pPr>
          </w:p>
          <w:p w14:paraId="30ACAA01">
            <w:pPr>
              <w:spacing w:line="255" w:lineRule="auto"/>
              <w:rPr>
                <w:sz w:val="18"/>
                <w:szCs w:val="18"/>
              </w:rPr>
            </w:pPr>
          </w:p>
          <w:p w14:paraId="3568692D">
            <w:pPr>
              <w:spacing w:line="255" w:lineRule="auto"/>
              <w:rPr>
                <w:sz w:val="18"/>
                <w:szCs w:val="18"/>
              </w:rPr>
            </w:pPr>
          </w:p>
          <w:p w14:paraId="0A60C043">
            <w:pPr>
              <w:spacing w:line="255" w:lineRule="auto"/>
              <w:rPr>
                <w:sz w:val="18"/>
                <w:szCs w:val="18"/>
              </w:rPr>
            </w:pPr>
          </w:p>
          <w:p w14:paraId="57F8F27F">
            <w:pPr>
              <w:spacing w:before="68" w:line="221" w:lineRule="auto"/>
              <w:rPr>
                <w:sz w:val="18"/>
                <w:szCs w:val="18"/>
              </w:rPr>
            </w:pPr>
            <w:r>
              <w:rPr>
                <w:spacing w:val="-9"/>
                <w:sz w:val="18"/>
                <w:szCs w:val="18"/>
              </w:rPr>
              <w:t>甲</w:t>
            </w:r>
            <w:r>
              <w:rPr>
                <w:spacing w:val="-8"/>
                <w:sz w:val="18"/>
                <w:szCs w:val="18"/>
              </w:rPr>
              <w:t>醇</w:t>
            </w:r>
          </w:p>
          <w:p w14:paraId="6778A703">
            <w:pPr>
              <w:spacing w:before="22" w:line="218" w:lineRule="auto"/>
              <w:rPr>
                <w:sz w:val="18"/>
                <w:szCs w:val="18"/>
              </w:rPr>
            </w:pPr>
            <w:r>
              <w:rPr>
                <w:sz w:val="18"/>
                <w:szCs w:val="18"/>
              </w:rPr>
              <w:t>氨</w:t>
            </w:r>
          </w:p>
          <w:p w14:paraId="021BAC37">
            <w:pPr>
              <w:spacing w:before="22" w:line="219" w:lineRule="auto"/>
              <w:rPr>
                <w:sz w:val="18"/>
                <w:szCs w:val="18"/>
              </w:rPr>
            </w:pPr>
            <w:r>
              <w:rPr>
                <w:spacing w:val="-2"/>
                <w:sz w:val="18"/>
                <w:szCs w:val="18"/>
              </w:rPr>
              <w:t>氢</w:t>
            </w:r>
            <w:r>
              <w:rPr>
                <w:spacing w:val="-1"/>
                <w:sz w:val="18"/>
                <w:szCs w:val="18"/>
              </w:rPr>
              <w:t>气</w:t>
            </w:r>
          </w:p>
        </w:tc>
        <w:tc>
          <w:tcPr>
            <w:tcW w:w="1313" w:type="dxa"/>
            <w:vMerge w:val="restart"/>
            <w:tcBorders>
              <w:tl2br w:val="nil"/>
              <w:tr2bl w:val="nil"/>
            </w:tcBorders>
          </w:tcPr>
          <w:p w14:paraId="4D8D0A36">
            <w:pPr>
              <w:spacing w:line="273" w:lineRule="auto"/>
              <w:rPr>
                <w:sz w:val="18"/>
                <w:szCs w:val="18"/>
              </w:rPr>
            </w:pPr>
          </w:p>
          <w:p w14:paraId="13773585">
            <w:pPr>
              <w:spacing w:line="274" w:lineRule="auto"/>
              <w:rPr>
                <w:sz w:val="18"/>
                <w:szCs w:val="18"/>
              </w:rPr>
            </w:pPr>
          </w:p>
          <w:p w14:paraId="7E481234">
            <w:pPr>
              <w:spacing w:line="274" w:lineRule="auto"/>
              <w:rPr>
                <w:sz w:val="18"/>
                <w:szCs w:val="18"/>
              </w:rPr>
            </w:pPr>
          </w:p>
          <w:p w14:paraId="49A25A1C">
            <w:pPr>
              <w:spacing w:line="274" w:lineRule="auto"/>
              <w:rPr>
                <w:sz w:val="18"/>
                <w:szCs w:val="18"/>
              </w:rPr>
            </w:pPr>
          </w:p>
          <w:p w14:paraId="0EB80F53">
            <w:pPr>
              <w:spacing w:line="274" w:lineRule="auto"/>
              <w:rPr>
                <w:sz w:val="18"/>
                <w:szCs w:val="18"/>
              </w:rPr>
            </w:pPr>
          </w:p>
          <w:p w14:paraId="284C0DD8">
            <w:pPr>
              <w:spacing w:line="274" w:lineRule="auto"/>
              <w:rPr>
                <w:sz w:val="18"/>
                <w:szCs w:val="18"/>
              </w:rPr>
            </w:pPr>
          </w:p>
          <w:p w14:paraId="444556FB">
            <w:pPr>
              <w:spacing w:line="274" w:lineRule="auto"/>
              <w:rPr>
                <w:sz w:val="18"/>
                <w:szCs w:val="18"/>
              </w:rPr>
            </w:pPr>
          </w:p>
          <w:p w14:paraId="447A8489">
            <w:pPr>
              <w:rPr>
                <w:sz w:val="18"/>
                <w:szCs w:val="18"/>
              </w:rPr>
            </w:pPr>
            <w:r>
              <w:rPr>
                <w:spacing w:val="-6"/>
                <w:sz w:val="18"/>
                <w:szCs w:val="18"/>
              </w:rPr>
              <w:t>易</w:t>
            </w:r>
            <w:r>
              <w:rPr>
                <w:spacing w:val="-4"/>
                <w:sz w:val="18"/>
                <w:szCs w:val="18"/>
              </w:rPr>
              <w:t>制</w:t>
            </w:r>
            <w:r>
              <w:rPr>
                <w:spacing w:val="-3"/>
                <w:sz w:val="18"/>
                <w:szCs w:val="18"/>
              </w:rPr>
              <w:t>爆硫磺</w:t>
            </w:r>
          </w:p>
          <w:p w14:paraId="136D93A1">
            <w:pPr>
              <w:rPr>
                <w:sz w:val="18"/>
                <w:szCs w:val="18"/>
              </w:rPr>
            </w:pPr>
            <w:r>
              <w:rPr>
                <w:spacing w:val="-6"/>
                <w:sz w:val="18"/>
                <w:szCs w:val="18"/>
              </w:rPr>
              <w:t>易</w:t>
            </w:r>
            <w:r>
              <w:rPr>
                <w:spacing w:val="-4"/>
                <w:sz w:val="18"/>
                <w:szCs w:val="18"/>
              </w:rPr>
              <w:t>制</w:t>
            </w:r>
            <w:r>
              <w:rPr>
                <w:spacing w:val="-3"/>
                <w:sz w:val="18"/>
                <w:szCs w:val="18"/>
              </w:rPr>
              <w:t>毒盐酸</w:t>
            </w:r>
          </w:p>
        </w:tc>
        <w:tc>
          <w:tcPr>
            <w:tcW w:w="1847" w:type="dxa"/>
            <w:vMerge w:val="restart"/>
            <w:tcBorders>
              <w:tl2br w:val="nil"/>
              <w:tr2bl w:val="nil"/>
            </w:tcBorders>
          </w:tcPr>
          <w:p w14:paraId="3CCE66EA">
            <w:pPr>
              <w:spacing w:line="248" w:lineRule="auto"/>
              <w:rPr>
                <w:sz w:val="18"/>
                <w:szCs w:val="18"/>
              </w:rPr>
            </w:pPr>
          </w:p>
          <w:p w14:paraId="6B3EAE71">
            <w:pPr>
              <w:spacing w:line="248" w:lineRule="auto"/>
              <w:rPr>
                <w:sz w:val="18"/>
                <w:szCs w:val="18"/>
              </w:rPr>
            </w:pPr>
          </w:p>
          <w:p w14:paraId="2CA0092D">
            <w:pPr>
              <w:spacing w:line="248" w:lineRule="auto"/>
              <w:rPr>
                <w:sz w:val="18"/>
                <w:szCs w:val="18"/>
              </w:rPr>
            </w:pPr>
          </w:p>
          <w:p w14:paraId="4B5D3D57">
            <w:pPr>
              <w:spacing w:line="248" w:lineRule="auto"/>
              <w:rPr>
                <w:sz w:val="18"/>
                <w:szCs w:val="18"/>
              </w:rPr>
            </w:pPr>
          </w:p>
          <w:p w14:paraId="5E58CA1A">
            <w:pPr>
              <w:spacing w:line="249" w:lineRule="auto"/>
              <w:rPr>
                <w:sz w:val="18"/>
                <w:szCs w:val="18"/>
              </w:rPr>
            </w:pPr>
          </w:p>
          <w:p w14:paraId="617DCD79">
            <w:pPr>
              <w:rPr>
                <w:sz w:val="18"/>
                <w:szCs w:val="18"/>
              </w:rPr>
            </w:pPr>
            <w:r>
              <w:rPr>
                <w:spacing w:val="-9"/>
                <w:sz w:val="18"/>
                <w:szCs w:val="18"/>
              </w:rPr>
              <w:t>甲</w:t>
            </w:r>
            <w:r>
              <w:rPr>
                <w:spacing w:val="-8"/>
                <w:sz w:val="18"/>
                <w:szCs w:val="18"/>
              </w:rPr>
              <w:t>醇</w:t>
            </w:r>
          </w:p>
          <w:p w14:paraId="739B5115">
            <w:pPr>
              <w:rPr>
                <w:sz w:val="18"/>
                <w:szCs w:val="18"/>
              </w:rPr>
            </w:pPr>
            <w:r>
              <w:rPr>
                <w:sz w:val="18"/>
                <w:szCs w:val="18"/>
              </w:rPr>
              <w:t>氨</w:t>
            </w:r>
          </w:p>
          <w:p w14:paraId="1A5A4836">
            <w:pPr>
              <w:rPr>
                <w:sz w:val="18"/>
                <w:szCs w:val="18"/>
              </w:rPr>
            </w:pPr>
            <w:r>
              <w:rPr>
                <w:spacing w:val="-2"/>
                <w:sz w:val="18"/>
                <w:szCs w:val="18"/>
              </w:rPr>
              <w:t>盐酸</w:t>
            </w:r>
          </w:p>
          <w:p w14:paraId="342794C1">
            <w:pPr>
              <w:rPr>
                <w:sz w:val="18"/>
                <w:szCs w:val="18"/>
              </w:rPr>
            </w:pPr>
            <w:r>
              <w:rPr>
                <w:spacing w:val="-2"/>
                <w:sz w:val="18"/>
                <w:szCs w:val="18"/>
              </w:rPr>
              <w:t>氢</w:t>
            </w:r>
            <w:r>
              <w:rPr>
                <w:spacing w:val="-1"/>
                <w:sz w:val="18"/>
                <w:szCs w:val="18"/>
              </w:rPr>
              <w:t>氧化钠</w:t>
            </w:r>
          </w:p>
          <w:p w14:paraId="4DAAB1A9">
            <w:pPr>
              <w:rPr>
                <w:sz w:val="18"/>
                <w:szCs w:val="18"/>
              </w:rPr>
            </w:pPr>
            <w:r>
              <w:rPr>
                <w:spacing w:val="-2"/>
                <w:sz w:val="18"/>
                <w:szCs w:val="18"/>
              </w:rPr>
              <w:t>氢</w:t>
            </w:r>
            <w:r>
              <w:rPr>
                <w:spacing w:val="-1"/>
                <w:sz w:val="18"/>
                <w:szCs w:val="18"/>
              </w:rPr>
              <w:t>气</w:t>
            </w:r>
          </w:p>
          <w:p w14:paraId="6C9ABEA3">
            <w:pPr>
              <w:rPr>
                <w:sz w:val="18"/>
                <w:szCs w:val="18"/>
              </w:rPr>
            </w:pPr>
            <w:r>
              <w:rPr>
                <w:spacing w:val="-2"/>
                <w:sz w:val="18"/>
                <w:szCs w:val="18"/>
              </w:rPr>
              <w:t>水煤</w:t>
            </w:r>
            <w:r>
              <w:rPr>
                <w:spacing w:val="-1"/>
                <w:sz w:val="18"/>
                <w:szCs w:val="18"/>
              </w:rPr>
              <w:t>气</w:t>
            </w:r>
          </w:p>
          <w:p w14:paraId="048465E2">
            <w:pPr>
              <w:rPr>
                <w:sz w:val="18"/>
                <w:szCs w:val="18"/>
              </w:rPr>
            </w:pPr>
            <w:r>
              <w:rPr>
                <w:spacing w:val="-2"/>
                <w:sz w:val="18"/>
                <w:szCs w:val="18"/>
              </w:rPr>
              <w:t>硫</w:t>
            </w:r>
            <w:r>
              <w:rPr>
                <w:spacing w:val="-1"/>
                <w:sz w:val="18"/>
                <w:szCs w:val="18"/>
              </w:rPr>
              <w:t>磺</w:t>
            </w:r>
          </w:p>
        </w:tc>
        <w:tc>
          <w:tcPr>
            <w:tcW w:w="757" w:type="dxa"/>
            <w:vMerge w:val="restart"/>
            <w:tcBorders>
              <w:tl2br w:val="nil"/>
              <w:tr2bl w:val="nil"/>
            </w:tcBorders>
          </w:tcPr>
          <w:p w14:paraId="5D52756F">
            <w:pPr>
              <w:spacing w:line="273" w:lineRule="auto"/>
              <w:rPr>
                <w:sz w:val="18"/>
                <w:szCs w:val="18"/>
              </w:rPr>
            </w:pPr>
          </w:p>
          <w:p w14:paraId="13FB956D">
            <w:pPr>
              <w:spacing w:line="274" w:lineRule="auto"/>
              <w:rPr>
                <w:sz w:val="18"/>
                <w:szCs w:val="18"/>
              </w:rPr>
            </w:pPr>
          </w:p>
          <w:p w14:paraId="5411FA9F">
            <w:pPr>
              <w:spacing w:line="274" w:lineRule="auto"/>
              <w:rPr>
                <w:sz w:val="18"/>
                <w:szCs w:val="18"/>
              </w:rPr>
            </w:pPr>
          </w:p>
          <w:p w14:paraId="5C32CD8B">
            <w:pPr>
              <w:spacing w:line="274" w:lineRule="auto"/>
              <w:rPr>
                <w:sz w:val="18"/>
                <w:szCs w:val="18"/>
              </w:rPr>
            </w:pPr>
          </w:p>
          <w:p w14:paraId="48AEAA29">
            <w:pPr>
              <w:spacing w:line="274" w:lineRule="auto"/>
              <w:rPr>
                <w:sz w:val="18"/>
                <w:szCs w:val="18"/>
              </w:rPr>
            </w:pPr>
          </w:p>
          <w:p w14:paraId="52BAC24C">
            <w:pPr>
              <w:spacing w:line="274" w:lineRule="auto"/>
              <w:rPr>
                <w:sz w:val="18"/>
                <w:szCs w:val="18"/>
              </w:rPr>
            </w:pPr>
          </w:p>
          <w:p w14:paraId="30E4897B">
            <w:pPr>
              <w:spacing w:line="274" w:lineRule="auto"/>
              <w:rPr>
                <w:sz w:val="18"/>
                <w:szCs w:val="18"/>
              </w:rPr>
            </w:pPr>
          </w:p>
          <w:p w14:paraId="6D47C923">
            <w:pPr>
              <w:spacing w:before="23" w:line="223" w:lineRule="auto"/>
              <w:rPr>
                <w:sz w:val="18"/>
                <w:szCs w:val="18"/>
              </w:rPr>
            </w:pPr>
            <w:r>
              <w:rPr>
                <w:sz w:val="18"/>
                <w:szCs w:val="18"/>
              </w:rPr>
              <w:t>区块一</w:t>
            </w:r>
          </w:p>
        </w:tc>
      </w:tr>
      <w:tr w14:paraId="778E3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jc w:val="center"/>
        </w:trPr>
        <w:tc>
          <w:tcPr>
            <w:tcW w:w="505" w:type="dxa"/>
            <w:vMerge w:val="continue"/>
            <w:tcBorders>
              <w:tl2br w:val="nil"/>
              <w:tr2bl w:val="nil"/>
            </w:tcBorders>
          </w:tcPr>
          <w:p w14:paraId="5EA74B09">
            <w:pPr>
              <w:rPr>
                <w:sz w:val="18"/>
                <w:szCs w:val="18"/>
              </w:rPr>
            </w:pPr>
          </w:p>
        </w:tc>
        <w:tc>
          <w:tcPr>
            <w:tcW w:w="1061" w:type="dxa"/>
            <w:vMerge w:val="continue"/>
            <w:tcBorders>
              <w:tl2br w:val="nil"/>
              <w:tr2bl w:val="nil"/>
            </w:tcBorders>
          </w:tcPr>
          <w:p w14:paraId="51D28C58">
            <w:pPr>
              <w:rPr>
                <w:sz w:val="18"/>
                <w:szCs w:val="18"/>
              </w:rPr>
            </w:pPr>
          </w:p>
        </w:tc>
        <w:tc>
          <w:tcPr>
            <w:tcW w:w="2016" w:type="dxa"/>
            <w:tcBorders>
              <w:tl2br w:val="nil"/>
              <w:tr2bl w:val="nil"/>
            </w:tcBorders>
          </w:tcPr>
          <w:p w14:paraId="2AFA1274">
            <w:pPr>
              <w:spacing w:before="187" w:line="249" w:lineRule="auto"/>
              <w:ind w:left="705" w:right="169" w:hanging="514"/>
              <w:rPr>
                <w:sz w:val="18"/>
                <w:szCs w:val="18"/>
              </w:rPr>
            </w:pPr>
            <w:r>
              <w:rPr>
                <w:rFonts w:eastAsia="Times New Roman"/>
                <w:spacing w:val="-3"/>
                <w:sz w:val="18"/>
                <w:szCs w:val="18"/>
              </w:rPr>
              <w:t>1</w:t>
            </w:r>
            <w:r>
              <w:rPr>
                <w:spacing w:val="-3"/>
                <w:sz w:val="18"/>
                <w:szCs w:val="18"/>
              </w:rPr>
              <w:t>万吨</w:t>
            </w:r>
            <w:r>
              <w:rPr>
                <w:rFonts w:eastAsia="Times New Roman"/>
                <w:spacing w:val="-3"/>
                <w:sz w:val="18"/>
                <w:szCs w:val="18"/>
              </w:rPr>
              <w:t>/</w:t>
            </w:r>
            <w:r>
              <w:rPr>
                <w:spacing w:val="-3"/>
                <w:sz w:val="18"/>
                <w:szCs w:val="18"/>
              </w:rPr>
              <w:t>年粗甲</w:t>
            </w:r>
            <w:r>
              <w:rPr>
                <w:sz w:val="18"/>
                <w:szCs w:val="18"/>
              </w:rPr>
              <w:t>醇</w:t>
            </w:r>
          </w:p>
        </w:tc>
        <w:tc>
          <w:tcPr>
            <w:tcW w:w="1578" w:type="dxa"/>
            <w:vMerge w:val="continue"/>
            <w:tcBorders>
              <w:tl2br w:val="nil"/>
              <w:tr2bl w:val="nil"/>
            </w:tcBorders>
          </w:tcPr>
          <w:p w14:paraId="5EA943EB">
            <w:pPr>
              <w:rPr>
                <w:sz w:val="18"/>
                <w:szCs w:val="18"/>
              </w:rPr>
            </w:pPr>
          </w:p>
        </w:tc>
        <w:tc>
          <w:tcPr>
            <w:tcW w:w="871" w:type="dxa"/>
            <w:vMerge w:val="continue"/>
            <w:tcBorders>
              <w:tl2br w:val="nil"/>
              <w:tr2bl w:val="nil"/>
            </w:tcBorders>
          </w:tcPr>
          <w:p w14:paraId="3C94AF98">
            <w:pPr>
              <w:rPr>
                <w:sz w:val="18"/>
                <w:szCs w:val="18"/>
              </w:rPr>
            </w:pPr>
          </w:p>
        </w:tc>
        <w:tc>
          <w:tcPr>
            <w:tcW w:w="1091" w:type="dxa"/>
            <w:vMerge w:val="continue"/>
            <w:tcBorders>
              <w:tl2br w:val="nil"/>
              <w:tr2bl w:val="nil"/>
            </w:tcBorders>
          </w:tcPr>
          <w:p w14:paraId="320AF316">
            <w:pPr>
              <w:rPr>
                <w:sz w:val="18"/>
                <w:szCs w:val="18"/>
              </w:rPr>
            </w:pPr>
          </w:p>
        </w:tc>
        <w:tc>
          <w:tcPr>
            <w:tcW w:w="859" w:type="dxa"/>
            <w:vMerge w:val="continue"/>
            <w:tcBorders>
              <w:tl2br w:val="nil"/>
              <w:tr2bl w:val="nil"/>
            </w:tcBorders>
          </w:tcPr>
          <w:p w14:paraId="19C5BE03">
            <w:pPr>
              <w:rPr>
                <w:sz w:val="18"/>
                <w:szCs w:val="18"/>
              </w:rPr>
            </w:pPr>
          </w:p>
        </w:tc>
        <w:tc>
          <w:tcPr>
            <w:tcW w:w="1076" w:type="dxa"/>
            <w:vMerge w:val="continue"/>
            <w:tcBorders>
              <w:tl2br w:val="nil"/>
              <w:tr2bl w:val="nil"/>
            </w:tcBorders>
          </w:tcPr>
          <w:p w14:paraId="7B05364B">
            <w:pPr>
              <w:rPr>
                <w:sz w:val="18"/>
                <w:szCs w:val="18"/>
              </w:rPr>
            </w:pPr>
          </w:p>
        </w:tc>
        <w:tc>
          <w:tcPr>
            <w:tcW w:w="1391" w:type="dxa"/>
            <w:vMerge w:val="continue"/>
            <w:tcBorders>
              <w:tl2br w:val="nil"/>
              <w:tr2bl w:val="nil"/>
            </w:tcBorders>
          </w:tcPr>
          <w:p w14:paraId="4EDCD792">
            <w:pPr>
              <w:rPr>
                <w:sz w:val="18"/>
                <w:szCs w:val="18"/>
              </w:rPr>
            </w:pPr>
          </w:p>
        </w:tc>
        <w:tc>
          <w:tcPr>
            <w:tcW w:w="957" w:type="dxa"/>
            <w:vMerge w:val="continue"/>
            <w:tcBorders>
              <w:tl2br w:val="nil"/>
              <w:tr2bl w:val="nil"/>
            </w:tcBorders>
          </w:tcPr>
          <w:p w14:paraId="6F3C2DAD">
            <w:pPr>
              <w:rPr>
                <w:sz w:val="18"/>
                <w:szCs w:val="18"/>
              </w:rPr>
            </w:pPr>
          </w:p>
        </w:tc>
        <w:tc>
          <w:tcPr>
            <w:tcW w:w="1313" w:type="dxa"/>
            <w:vMerge w:val="continue"/>
            <w:tcBorders>
              <w:tl2br w:val="nil"/>
              <w:tr2bl w:val="nil"/>
            </w:tcBorders>
          </w:tcPr>
          <w:p w14:paraId="44939046">
            <w:pPr>
              <w:rPr>
                <w:sz w:val="18"/>
                <w:szCs w:val="18"/>
              </w:rPr>
            </w:pPr>
          </w:p>
        </w:tc>
        <w:tc>
          <w:tcPr>
            <w:tcW w:w="1847" w:type="dxa"/>
            <w:vMerge w:val="continue"/>
            <w:tcBorders>
              <w:tl2br w:val="nil"/>
              <w:tr2bl w:val="nil"/>
            </w:tcBorders>
          </w:tcPr>
          <w:p w14:paraId="3B5522C5">
            <w:pPr>
              <w:rPr>
                <w:sz w:val="18"/>
                <w:szCs w:val="18"/>
              </w:rPr>
            </w:pPr>
          </w:p>
        </w:tc>
        <w:tc>
          <w:tcPr>
            <w:tcW w:w="757" w:type="dxa"/>
            <w:vMerge w:val="continue"/>
            <w:tcBorders>
              <w:tl2br w:val="nil"/>
              <w:tr2bl w:val="nil"/>
            </w:tcBorders>
          </w:tcPr>
          <w:p w14:paraId="0CD32BFF">
            <w:pPr>
              <w:rPr>
                <w:sz w:val="18"/>
                <w:szCs w:val="18"/>
              </w:rPr>
            </w:pPr>
          </w:p>
        </w:tc>
      </w:tr>
      <w:tr w14:paraId="61EC5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8" w:hRule="atLeast"/>
          <w:jc w:val="center"/>
        </w:trPr>
        <w:tc>
          <w:tcPr>
            <w:tcW w:w="505" w:type="dxa"/>
            <w:vMerge w:val="continue"/>
            <w:tcBorders>
              <w:tl2br w:val="nil"/>
              <w:tr2bl w:val="nil"/>
            </w:tcBorders>
          </w:tcPr>
          <w:p w14:paraId="6A5D1B75">
            <w:pPr>
              <w:rPr>
                <w:sz w:val="18"/>
                <w:szCs w:val="18"/>
              </w:rPr>
            </w:pPr>
          </w:p>
        </w:tc>
        <w:tc>
          <w:tcPr>
            <w:tcW w:w="1061" w:type="dxa"/>
            <w:vMerge w:val="continue"/>
            <w:tcBorders>
              <w:tl2br w:val="nil"/>
              <w:tr2bl w:val="nil"/>
            </w:tcBorders>
          </w:tcPr>
          <w:p w14:paraId="01A26993">
            <w:pPr>
              <w:rPr>
                <w:sz w:val="18"/>
                <w:szCs w:val="18"/>
              </w:rPr>
            </w:pPr>
          </w:p>
        </w:tc>
        <w:tc>
          <w:tcPr>
            <w:tcW w:w="2016" w:type="dxa"/>
            <w:vMerge w:val="restart"/>
            <w:tcBorders>
              <w:tl2br w:val="nil"/>
              <w:tr2bl w:val="nil"/>
            </w:tcBorders>
          </w:tcPr>
          <w:p w14:paraId="4DDD1DE1">
            <w:pPr>
              <w:overflowPunct/>
              <w:snapToGrid/>
              <w:spacing w:line="240" w:lineRule="auto"/>
              <w:rPr>
                <w:sz w:val="18"/>
                <w:szCs w:val="18"/>
              </w:rPr>
            </w:pPr>
            <w:r>
              <w:rPr>
                <w:rFonts w:eastAsia="Times New Roman"/>
                <w:spacing w:val="-1"/>
                <w:sz w:val="18"/>
                <w:szCs w:val="18"/>
              </w:rPr>
              <w:t>300</w:t>
            </w:r>
            <w:r>
              <w:rPr>
                <w:spacing w:val="-1"/>
                <w:sz w:val="18"/>
                <w:szCs w:val="18"/>
              </w:rPr>
              <w:t>吨</w:t>
            </w:r>
            <w:r>
              <w:rPr>
                <w:rFonts w:eastAsia="Times New Roman"/>
                <w:spacing w:val="-1"/>
                <w:sz w:val="18"/>
                <w:szCs w:val="18"/>
              </w:rPr>
              <w:t>/</w:t>
            </w:r>
            <w:r>
              <w:rPr>
                <w:spacing w:val="-1"/>
                <w:sz w:val="18"/>
                <w:szCs w:val="18"/>
              </w:rPr>
              <w:t>年</w:t>
            </w:r>
            <w:r>
              <w:rPr>
                <w:sz w:val="18"/>
                <w:szCs w:val="18"/>
              </w:rPr>
              <w:t>硫磺</w:t>
            </w:r>
          </w:p>
        </w:tc>
        <w:tc>
          <w:tcPr>
            <w:tcW w:w="1578" w:type="dxa"/>
            <w:vMerge w:val="continue"/>
            <w:tcBorders>
              <w:tl2br w:val="nil"/>
              <w:tr2bl w:val="nil"/>
            </w:tcBorders>
          </w:tcPr>
          <w:p w14:paraId="64CB7C16">
            <w:pPr>
              <w:rPr>
                <w:sz w:val="18"/>
                <w:szCs w:val="18"/>
              </w:rPr>
            </w:pPr>
          </w:p>
        </w:tc>
        <w:tc>
          <w:tcPr>
            <w:tcW w:w="871" w:type="dxa"/>
            <w:vMerge w:val="continue"/>
            <w:tcBorders>
              <w:tl2br w:val="nil"/>
              <w:tr2bl w:val="nil"/>
            </w:tcBorders>
          </w:tcPr>
          <w:p w14:paraId="63BCFCCB">
            <w:pPr>
              <w:rPr>
                <w:sz w:val="18"/>
                <w:szCs w:val="18"/>
              </w:rPr>
            </w:pPr>
          </w:p>
        </w:tc>
        <w:tc>
          <w:tcPr>
            <w:tcW w:w="1091" w:type="dxa"/>
            <w:vMerge w:val="continue"/>
            <w:tcBorders>
              <w:tl2br w:val="nil"/>
              <w:tr2bl w:val="nil"/>
            </w:tcBorders>
          </w:tcPr>
          <w:p w14:paraId="5614A1E9">
            <w:pPr>
              <w:rPr>
                <w:sz w:val="18"/>
                <w:szCs w:val="18"/>
              </w:rPr>
            </w:pPr>
          </w:p>
        </w:tc>
        <w:tc>
          <w:tcPr>
            <w:tcW w:w="859" w:type="dxa"/>
            <w:vMerge w:val="continue"/>
            <w:tcBorders>
              <w:tl2br w:val="nil"/>
              <w:tr2bl w:val="nil"/>
            </w:tcBorders>
          </w:tcPr>
          <w:p w14:paraId="7F79C98F">
            <w:pPr>
              <w:rPr>
                <w:sz w:val="18"/>
                <w:szCs w:val="18"/>
              </w:rPr>
            </w:pPr>
          </w:p>
        </w:tc>
        <w:tc>
          <w:tcPr>
            <w:tcW w:w="1076" w:type="dxa"/>
            <w:vMerge w:val="continue"/>
            <w:tcBorders>
              <w:tl2br w:val="nil"/>
              <w:tr2bl w:val="nil"/>
            </w:tcBorders>
          </w:tcPr>
          <w:p w14:paraId="06171F43">
            <w:pPr>
              <w:rPr>
                <w:sz w:val="18"/>
                <w:szCs w:val="18"/>
              </w:rPr>
            </w:pPr>
          </w:p>
        </w:tc>
        <w:tc>
          <w:tcPr>
            <w:tcW w:w="1391" w:type="dxa"/>
            <w:vMerge w:val="continue"/>
            <w:tcBorders>
              <w:tl2br w:val="nil"/>
              <w:tr2bl w:val="nil"/>
            </w:tcBorders>
          </w:tcPr>
          <w:p w14:paraId="7A327A47">
            <w:pPr>
              <w:rPr>
                <w:sz w:val="18"/>
                <w:szCs w:val="18"/>
              </w:rPr>
            </w:pPr>
          </w:p>
        </w:tc>
        <w:tc>
          <w:tcPr>
            <w:tcW w:w="957" w:type="dxa"/>
            <w:vMerge w:val="continue"/>
            <w:tcBorders>
              <w:tl2br w:val="nil"/>
              <w:tr2bl w:val="nil"/>
            </w:tcBorders>
          </w:tcPr>
          <w:p w14:paraId="47899450">
            <w:pPr>
              <w:rPr>
                <w:sz w:val="18"/>
                <w:szCs w:val="18"/>
              </w:rPr>
            </w:pPr>
          </w:p>
        </w:tc>
        <w:tc>
          <w:tcPr>
            <w:tcW w:w="1313" w:type="dxa"/>
            <w:vMerge w:val="continue"/>
            <w:tcBorders>
              <w:tl2br w:val="nil"/>
              <w:tr2bl w:val="nil"/>
            </w:tcBorders>
          </w:tcPr>
          <w:p w14:paraId="6B81D3EB">
            <w:pPr>
              <w:rPr>
                <w:sz w:val="18"/>
                <w:szCs w:val="18"/>
              </w:rPr>
            </w:pPr>
          </w:p>
        </w:tc>
        <w:tc>
          <w:tcPr>
            <w:tcW w:w="1847" w:type="dxa"/>
            <w:vMerge w:val="continue"/>
            <w:tcBorders>
              <w:tl2br w:val="nil"/>
              <w:tr2bl w:val="nil"/>
            </w:tcBorders>
          </w:tcPr>
          <w:p w14:paraId="69F1DF87">
            <w:pPr>
              <w:rPr>
                <w:sz w:val="18"/>
                <w:szCs w:val="18"/>
              </w:rPr>
            </w:pPr>
          </w:p>
        </w:tc>
        <w:tc>
          <w:tcPr>
            <w:tcW w:w="757" w:type="dxa"/>
            <w:vMerge w:val="continue"/>
            <w:tcBorders>
              <w:tl2br w:val="nil"/>
              <w:tr2bl w:val="nil"/>
            </w:tcBorders>
          </w:tcPr>
          <w:p w14:paraId="007C1911">
            <w:pPr>
              <w:rPr>
                <w:sz w:val="18"/>
                <w:szCs w:val="18"/>
              </w:rPr>
            </w:pPr>
          </w:p>
        </w:tc>
      </w:tr>
      <w:tr w14:paraId="651DF3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jc w:val="center"/>
        </w:trPr>
        <w:tc>
          <w:tcPr>
            <w:tcW w:w="505" w:type="dxa"/>
            <w:vMerge w:val="continue"/>
            <w:tcBorders>
              <w:tl2br w:val="nil"/>
              <w:tr2bl w:val="nil"/>
            </w:tcBorders>
          </w:tcPr>
          <w:p w14:paraId="7A43E045">
            <w:pPr>
              <w:rPr>
                <w:sz w:val="18"/>
                <w:szCs w:val="18"/>
              </w:rPr>
            </w:pPr>
          </w:p>
        </w:tc>
        <w:tc>
          <w:tcPr>
            <w:tcW w:w="1061" w:type="dxa"/>
            <w:vMerge w:val="continue"/>
            <w:tcBorders>
              <w:tl2br w:val="nil"/>
              <w:tr2bl w:val="nil"/>
            </w:tcBorders>
          </w:tcPr>
          <w:p w14:paraId="6094AE4C">
            <w:pPr>
              <w:rPr>
                <w:sz w:val="18"/>
                <w:szCs w:val="18"/>
              </w:rPr>
            </w:pPr>
          </w:p>
        </w:tc>
        <w:tc>
          <w:tcPr>
            <w:tcW w:w="2016" w:type="dxa"/>
            <w:vMerge w:val="continue"/>
            <w:tcBorders>
              <w:tl2br w:val="nil"/>
              <w:tr2bl w:val="nil"/>
            </w:tcBorders>
          </w:tcPr>
          <w:p w14:paraId="08FD44B4">
            <w:pPr>
              <w:rPr>
                <w:sz w:val="18"/>
                <w:szCs w:val="18"/>
              </w:rPr>
            </w:pPr>
          </w:p>
        </w:tc>
        <w:tc>
          <w:tcPr>
            <w:tcW w:w="1578" w:type="dxa"/>
            <w:vMerge w:val="continue"/>
            <w:tcBorders>
              <w:tl2br w:val="nil"/>
              <w:tr2bl w:val="nil"/>
            </w:tcBorders>
          </w:tcPr>
          <w:p w14:paraId="624379A0">
            <w:pPr>
              <w:rPr>
                <w:sz w:val="18"/>
                <w:szCs w:val="18"/>
              </w:rPr>
            </w:pPr>
          </w:p>
        </w:tc>
        <w:tc>
          <w:tcPr>
            <w:tcW w:w="871" w:type="dxa"/>
            <w:vMerge w:val="continue"/>
            <w:tcBorders>
              <w:tl2br w:val="nil"/>
              <w:tr2bl w:val="nil"/>
            </w:tcBorders>
          </w:tcPr>
          <w:p w14:paraId="1D954145">
            <w:pPr>
              <w:rPr>
                <w:sz w:val="18"/>
                <w:szCs w:val="18"/>
              </w:rPr>
            </w:pPr>
          </w:p>
        </w:tc>
        <w:tc>
          <w:tcPr>
            <w:tcW w:w="1091" w:type="dxa"/>
            <w:vMerge w:val="continue"/>
            <w:tcBorders>
              <w:tl2br w:val="nil"/>
              <w:tr2bl w:val="nil"/>
            </w:tcBorders>
          </w:tcPr>
          <w:p w14:paraId="688819F8">
            <w:pPr>
              <w:rPr>
                <w:sz w:val="18"/>
                <w:szCs w:val="18"/>
              </w:rPr>
            </w:pPr>
          </w:p>
        </w:tc>
        <w:tc>
          <w:tcPr>
            <w:tcW w:w="859" w:type="dxa"/>
            <w:vMerge w:val="continue"/>
            <w:tcBorders>
              <w:tl2br w:val="nil"/>
              <w:tr2bl w:val="nil"/>
            </w:tcBorders>
          </w:tcPr>
          <w:p w14:paraId="2DCF990D">
            <w:pPr>
              <w:rPr>
                <w:sz w:val="18"/>
                <w:szCs w:val="18"/>
              </w:rPr>
            </w:pPr>
          </w:p>
        </w:tc>
        <w:tc>
          <w:tcPr>
            <w:tcW w:w="1076" w:type="dxa"/>
            <w:vMerge w:val="restart"/>
            <w:tcBorders>
              <w:tl2br w:val="nil"/>
              <w:tr2bl w:val="nil"/>
            </w:tcBorders>
          </w:tcPr>
          <w:p w14:paraId="10AC78D0">
            <w:pPr>
              <w:spacing w:before="68" w:line="254" w:lineRule="auto"/>
              <w:ind w:left="227" w:right="214" w:firstLine="24"/>
              <w:rPr>
                <w:sz w:val="18"/>
                <w:szCs w:val="18"/>
              </w:rPr>
            </w:pPr>
            <w:r>
              <w:rPr>
                <w:spacing w:val="-2"/>
                <w:sz w:val="18"/>
                <w:szCs w:val="18"/>
              </w:rPr>
              <w:t>不涉及</w:t>
            </w:r>
          </w:p>
        </w:tc>
        <w:tc>
          <w:tcPr>
            <w:tcW w:w="1391" w:type="dxa"/>
            <w:vMerge w:val="restart"/>
            <w:tcBorders>
              <w:tl2br w:val="nil"/>
              <w:tr2bl w:val="nil"/>
            </w:tcBorders>
          </w:tcPr>
          <w:p w14:paraId="76EBB8AB">
            <w:pPr>
              <w:spacing w:before="68" w:line="218" w:lineRule="auto"/>
              <w:ind w:left="116"/>
              <w:rPr>
                <w:sz w:val="18"/>
                <w:szCs w:val="18"/>
              </w:rPr>
            </w:pPr>
            <w:r>
              <w:rPr>
                <w:spacing w:val="-2"/>
                <w:sz w:val="18"/>
                <w:szCs w:val="18"/>
              </w:rPr>
              <w:t>合</w:t>
            </w:r>
            <w:r>
              <w:rPr>
                <w:spacing w:val="-1"/>
                <w:sz w:val="18"/>
                <w:szCs w:val="18"/>
              </w:rPr>
              <w:t>成氨工艺</w:t>
            </w:r>
          </w:p>
        </w:tc>
        <w:tc>
          <w:tcPr>
            <w:tcW w:w="957" w:type="dxa"/>
            <w:vMerge w:val="continue"/>
            <w:tcBorders>
              <w:tl2br w:val="nil"/>
              <w:tr2bl w:val="nil"/>
            </w:tcBorders>
          </w:tcPr>
          <w:p w14:paraId="6B941CAC">
            <w:pPr>
              <w:rPr>
                <w:sz w:val="18"/>
                <w:szCs w:val="18"/>
              </w:rPr>
            </w:pPr>
          </w:p>
        </w:tc>
        <w:tc>
          <w:tcPr>
            <w:tcW w:w="1313" w:type="dxa"/>
            <w:vMerge w:val="continue"/>
            <w:tcBorders>
              <w:tl2br w:val="nil"/>
              <w:tr2bl w:val="nil"/>
            </w:tcBorders>
          </w:tcPr>
          <w:p w14:paraId="3ACAB9BC">
            <w:pPr>
              <w:rPr>
                <w:sz w:val="18"/>
                <w:szCs w:val="18"/>
              </w:rPr>
            </w:pPr>
          </w:p>
        </w:tc>
        <w:tc>
          <w:tcPr>
            <w:tcW w:w="1847" w:type="dxa"/>
            <w:vMerge w:val="continue"/>
            <w:tcBorders>
              <w:tl2br w:val="nil"/>
              <w:tr2bl w:val="nil"/>
            </w:tcBorders>
          </w:tcPr>
          <w:p w14:paraId="4E0918B0">
            <w:pPr>
              <w:rPr>
                <w:sz w:val="18"/>
                <w:szCs w:val="18"/>
              </w:rPr>
            </w:pPr>
          </w:p>
        </w:tc>
        <w:tc>
          <w:tcPr>
            <w:tcW w:w="757" w:type="dxa"/>
            <w:vMerge w:val="continue"/>
            <w:tcBorders>
              <w:tl2br w:val="nil"/>
              <w:tr2bl w:val="nil"/>
            </w:tcBorders>
          </w:tcPr>
          <w:p w14:paraId="7DC46323">
            <w:pPr>
              <w:rPr>
                <w:sz w:val="18"/>
                <w:szCs w:val="18"/>
              </w:rPr>
            </w:pPr>
          </w:p>
        </w:tc>
      </w:tr>
      <w:tr w14:paraId="1ED2E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505" w:type="dxa"/>
            <w:vMerge w:val="continue"/>
            <w:tcBorders>
              <w:tl2br w:val="nil"/>
              <w:tr2bl w:val="nil"/>
            </w:tcBorders>
          </w:tcPr>
          <w:p w14:paraId="30DEBE6F">
            <w:pPr>
              <w:rPr>
                <w:sz w:val="18"/>
                <w:szCs w:val="18"/>
              </w:rPr>
            </w:pPr>
          </w:p>
        </w:tc>
        <w:tc>
          <w:tcPr>
            <w:tcW w:w="1061" w:type="dxa"/>
            <w:vMerge w:val="continue"/>
            <w:tcBorders>
              <w:tl2br w:val="nil"/>
              <w:tr2bl w:val="nil"/>
            </w:tcBorders>
          </w:tcPr>
          <w:p w14:paraId="6677A22A">
            <w:pPr>
              <w:rPr>
                <w:sz w:val="18"/>
                <w:szCs w:val="18"/>
              </w:rPr>
            </w:pPr>
          </w:p>
        </w:tc>
        <w:tc>
          <w:tcPr>
            <w:tcW w:w="2016" w:type="dxa"/>
            <w:tcBorders>
              <w:tl2br w:val="nil"/>
              <w:tr2bl w:val="nil"/>
            </w:tcBorders>
          </w:tcPr>
          <w:p w14:paraId="13ABC1F4">
            <w:pPr>
              <w:spacing w:before="31" w:line="228" w:lineRule="auto"/>
              <w:ind w:left="702" w:right="116" w:hanging="580"/>
              <w:rPr>
                <w:sz w:val="18"/>
                <w:szCs w:val="18"/>
              </w:rPr>
            </w:pPr>
            <w:r>
              <w:rPr>
                <w:rFonts w:eastAsia="Times New Roman"/>
                <w:spacing w:val="-1"/>
                <w:sz w:val="18"/>
                <w:szCs w:val="18"/>
              </w:rPr>
              <w:t>66</w:t>
            </w:r>
            <w:r>
              <w:rPr>
                <w:spacing w:val="-1"/>
                <w:sz w:val="18"/>
                <w:szCs w:val="18"/>
              </w:rPr>
              <w:t>万吨</w:t>
            </w:r>
            <w:r>
              <w:rPr>
                <w:rFonts w:eastAsia="Times New Roman"/>
                <w:spacing w:val="-1"/>
                <w:sz w:val="18"/>
                <w:szCs w:val="18"/>
              </w:rPr>
              <w:t>/</w:t>
            </w:r>
            <w:r>
              <w:rPr>
                <w:spacing w:val="-1"/>
                <w:sz w:val="18"/>
                <w:szCs w:val="18"/>
              </w:rPr>
              <w:t>年氯</w:t>
            </w:r>
            <w:r>
              <w:rPr>
                <w:sz w:val="18"/>
                <w:szCs w:val="18"/>
              </w:rPr>
              <w:t>化铵</w:t>
            </w:r>
          </w:p>
        </w:tc>
        <w:tc>
          <w:tcPr>
            <w:tcW w:w="1578" w:type="dxa"/>
            <w:vMerge w:val="continue"/>
            <w:tcBorders>
              <w:tl2br w:val="nil"/>
              <w:tr2bl w:val="nil"/>
            </w:tcBorders>
          </w:tcPr>
          <w:p w14:paraId="09823701">
            <w:pPr>
              <w:rPr>
                <w:sz w:val="18"/>
                <w:szCs w:val="18"/>
              </w:rPr>
            </w:pPr>
          </w:p>
        </w:tc>
        <w:tc>
          <w:tcPr>
            <w:tcW w:w="871" w:type="dxa"/>
            <w:vMerge w:val="continue"/>
            <w:tcBorders>
              <w:tl2br w:val="nil"/>
              <w:tr2bl w:val="nil"/>
            </w:tcBorders>
          </w:tcPr>
          <w:p w14:paraId="2AF9B123">
            <w:pPr>
              <w:rPr>
                <w:sz w:val="18"/>
                <w:szCs w:val="18"/>
              </w:rPr>
            </w:pPr>
          </w:p>
        </w:tc>
        <w:tc>
          <w:tcPr>
            <w:tcW w:w="1091" w:type="dxa"/>
            <w:vMerge w:val="continue"/>
            <w:tcBorders>
              <w:tl2br w:val="nil"/>
              <w:tr2bl w:val="nil"/>
            </w:tcBorders>
          </w:tcPr>
          <w:p w14:paraId="530C4378">
            <w:pPr>
              <w:rPr>
                <w:sz w:val="18"/>
                <w:szCs w:val="18"/>
              </w:rPr>
            </w:pPr>
          </w:p>
        </w:tc>
        <w:tc>
          <w:tcPr>
            <w:tcW w:w="859" w:type="dxa"/>
            <w:vMerge w:val="continue"/>
            <w:tcBorders>
              <w:tl2br w:val="nil"/>
              <w:tr2bl w:val="nil"/>
            </w:tcBorders>
          </w:tcPr>
          <w:p w14:paraId="5D65B161">
            <w:pPr>
              <w:rPr>
                <w:sz w:val="18"/>
                <w:szCs w:val="18"/>
              </w:rPr>
            </w:pPr>
          </w:p>
        </w:tc>
        <w:tc>
          <w:tcPr>
            <w:tcW w:w="1076" w:type="dxa"/>
            <w:vMerge w:val="continue"/>
            <w:tcBorders>
              <w:tl2br w:val="nil"/>
              <w:tr2bl w:val="nil"/>
            </w:tcBorders>
          </w:tcPr>
          <w:p w14:paraId="71E030E4">
            <w:pPr>
              <w:rPr>
                <w:sz w:val="18"/>
                <w:szCs w:val="18"/>
              </w:rPr>
            </w:pPr>
          </w:p>
        </w:tc>
        <w:tc>
          <w:tcPr>
            <w:tcW w:w="1391" w:type="dxa"/>
            <w:vMerge w:val="continue"/>
            <w:tcBorders>
              <w:tl2br w:val="nil"/>
              <w:tr2bl w:val="nil"/>
            </w:tcBorders>
          </w:tcPr>
          <w:p w14:paraId="5BA5F1B8">
            <w:pPr>
              <w:rPr>
                <w:sz w:val="18"/>
                <w:szCs w:val="18"/>
              </w:rPr>
            </w:pPr>
          </w:p>
        </w:tc>
        <w:tc>
          <w:tcPr>
            <w:tcW w:w="957" w:type="dxa"/>
            <w:vMerge w:val="continue"/>
            <w:tcBorders>
              <w:tl2br w:val="nil"/>
              <w:tr2bl w:val="nil"/>
            </w:tcBorders>
          </w:tcPr>
          <w:p w14:paraId="0594AD67">
            <w:pPr>
              <w:rPr>
                <w:sz w:val="18"/>
                <w:szCs w:val="18"/>
              </w:rPr>
            </w:pPr>
          </w:p>
        </w:tc>
        <w:tc>
          <w:tcPr>
            <w:tcW w:w="1313" w:type="dxa"/>
            <w:vMerge w:val="continue"/>
            <w:tcBorders>
              <w:tl2br w:val="nil"/>
              <w:tr2bl w:val="nil"/>
            </w:tcBorders>
          </w:tcPr>
          <w:p w14:paraId="5500205E">
            <w:pPr>
              <w:rPr>
                <w:sz w:val="18"/>
                <w:szCs w:val="18"/>
              </w:rPr>
            </w:pPr>
          </w:p>
        </w:tc>
        <w:tc>
          <w:tcPr>
            <w:tcW w:w="1847" w:type="dxa"/>
            <w:vMerge w:val="continue"/>
            <w:tcBorders>
              <w:tl2br w:val="nil"/>
              <w:tr2bl w:val="nil"/>
            </w:tcBorders>
          </w:tcPr>
          <w:p w14:paraId="1B405989">
            <w:pPr>
              <w:rPr>
                <w:sz w:val="18"/>
                <w:szCs w:val="18"/>
              </w:rPr>
            </w:pPr>
          </w:p>
        </w:tc>
        <w:tc>
          <w:tcPr>
            <w:tcW w:w="757" w:type="dxa"/>
            <w:vMerge w:val="continue"/>
            <w:tcBorders>
              <w:tl2br w:val="nil"/>
              <w:tr2bl w:val="nil"/>
            </w:tcBorders>
          </w:tcPr>
          <w:p w14:paraId="1F4525B6">
            <w:pPr>
              <w:rPr>
                <w:sz w:val="18"/>
                <w:szCs w:val="18"/>
              </w:rPr>
            </w:pPr>
          </w:p>
        </w:tc>
      </w:tr>
      <w:tr w14:paraId="40968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05" w:type="dxa"/>
            <w:vMerge w:val="continue"/>
            <w:tcBorders>
              <w:tl2br w:val="nil"/>
              <w:tr2bl w:val="nil"/>
            </w:tcBorders>
          </w:tcPr>
          <w:p w14:paraId="16FD8587">
            <w:pPr>
              <w:rPr>
                <w:sz w:val="18"/>
                <w:szCs w:val="18"/>
              </w:rPr>
            </w:pPr>
          </w:p>
        </w:tc>
        <w:tc>
          <w:tcPr>
            <w:tcW w:w="1061" w:type="dxa"/>
            <w:vMerge w:val="continue"/>
            <w:tcBorders>
              <w:tl2br w:val="nil"/>
              <w:tr2bl w:val="nil"/>
            </w:tcBorders>
          </w:tcPr>
          <w:p w14:paraId="27236FBD">
            <w:pPr>
              <w:rPr>
                <w:sz w:val="18"/>
                <w:szCs w:val="18"/>
              </w:rPr>
            </w:pPr>
          </w:p>
        </w:tc>
        <w:tc>
          <w:tcPr>
            <w:tcW w:w="2016" w:type="dxa"/>
            <w:tcBorders>
              <w:tl2br w:val="nil"/>
              <w:tr2bl w:val="nil"/>
            </w:tcBorders>
          </w:tcPr>
          <w:p w14:paraId="59A8AEDF">
            <w:pPr>
              <w:spacing w:before="30" w:line="228" w:lineRule="auto"/>
              <w:ind w:left="701" w:right="116" w:hanging="579"/>
              <w:rPr>
                <w:sz w:val="18"/>
                <w:szCs w:val="18"/>
              </w:rPr>
            </w:pPr>
            <w:r>
              <w:rPr>
                <w:rFonts w:eastAsia="Times New Roman"/>
                <w:spacing w:val="-1"/>
                <w:sz w:val="18"/>
                <w:szCs w:val="18"/>
              </w:rPr>
              <w:t>60</w:t>
            </w:r>
            <w:r>
              <w:rPr>
                <w:spacing w:val="-1"/>
                <w:sz w:val="18"/>
                <w:szCs w:val="18"/>
              </w:rPr>
              <w:t>万吨</w:t>
            </w:r>
            <w:r>
              <w:rPr>
                <w:rFonts w:eastAsia="Times New Roman"/>
                <w:spacing w:val="-1"/>
                <w:sz w:val="18"/>
                <w:szCs w:val="18"/>
              </w:rPr>
              <w:t>/</w:t>
            </w:r>
            <w:r>
              <w:rPr>
                <w:spacing w:val="-1"/>
                <w:sz w:val="18"/>
                <w:szCs w:val="18"/>
              </w:rPr>
              <w:t>年碳</w:t>
            </w:r>
            <w:r>
              <w:rPr>
                <w:sz w:val="18"/>
                <w:szCs w:val="18"/>
              </w:rPr>
              <w:t>酸钠</w:t>
            </w:r>
          </w:p>
        </w:tc>
        <w:tc>
          <w:tcPr>
            <w:tcW w:w="1578" w:type="dxa"/>
            <w:vMerge w:val="continue"/>
            <w:tcBorders>
              <w:tl2br w:val="nil"/>
              <w:tr2bl w:val="nil"/>
            </w:tcBorders>
          </w:tcPr>
          <w:p w14:paraId="3C85D9AA">
            <w:pPr>
              <w:rPr>
                <w:sz w:val="18"/>
                <w:szCs w:val="18"/>
              </w:rPr>
            </w:pPr>
          </w:p>
        </w:tc>
        <w:tc>
          <w:tcPr>
            <w:tcW w:w="871" w:type="dxa"/>
            <w:vMerge w:val="continue"/>
            <w:tcBorders>
              <w:tl2br w:val="nil"/>
              <w:tr2bl w:val="nil"/>
            </w:tcBorders>
          </w:tcPr>
          <w:p w14:paraId="48C6CA70">
            <w:pPr>
              <w:rPr>
                <w:sz w:val="18"/>
                <w:szCs w:val="18"/>
              </w:rPr>
            </w:pPr>
          </w:p>
        </w:tc>
        <w:tc>
          <w:tcPr>
            <w:tcW w:w="1091" w:type="dxa"/>
            <w:vMerge w:val="continue"/>
            <w:tcBorders>
              <w:tl2br w:val="nil"/>
              <w:tr2bl w:val="nil"/>
            </w:tcBorders>
          </w:tcPr>
          <w:p w14:paraId="0DD06545">
            <w:pPr>
              <w:rPr>
                <w:sz w:val="18"/>
                <w:szCs w:val="18"/>
              </w:rPr>
            </w:pPr>
          </w:p>
        </w:tc>
        <w:tc>
          <w:tcPr>
            <w:tcW w:w="859" w:type="dxa"/>
            <w:vMerge w:val="continue"/>
            <w:tcBorders>
              <w:tl2br w:val="nil"/>
              <w:tr2bl w:val="nil"/>
            </w:tcBorders>
          </w:tcPr>
          <w:p w14:paraId="2E6240F9">
            <w:pPr>
              <w:rPr>
                <w:sz w:val="18"/>
                <w:szCs w:val="18"/>
              </w:rPr>
            </w:pPr>
          </w:p>
        </w:tc>
        <w:tc>
          <w:tcPr>
            <w:tcW w:w="1076" w:type="dxa"/>
            <w:vMerge w:val="continue"/>
            <w:tcBorders>
              <w:tl2br w:val="nil"/>
              <w:tr2bl w:val="nil"/>
            </w:tcBorders>
          </w:tcPr>
          <w:p w14:paraId="02DDB29A">
            <w:pPr>
              <w:rPr>
                <w:sz w:val="18"/>
                <w:szCs w:val="18"/>
              </w:rPr>
            </w:pPr>
          </w:p>
        </w:tc>
        <w:tc>
          <w:tcPr>
            <w:tcW w:w="1391" w:type="dxa"/>
            <w:vMerge w:val="continue"/>
            <w:tcBorders>
              <w:tl2br w:val="nil"/>
              <w:tr2bl w:val="nil"/>
            </w:tcBorders>
          </w:tcPr>
          <w:p w14:paraId="21B09750">
            <w:pPr>
              <w:rPr>
                <w:sz w:val="18"/>
                <w:szCs w:val="18"/>
              </w:rPr>
            </w:pPr>
          </w:p>
        </w:tc>
        <w:tc>
          <w:tcPr>
            <w:tcW w:w="957" w:type="dxa"/>
            <w:vMerge w:val="continue"/>
            <w:tcBorders>
              <w:tl2br w:val="nil"/>
              <w:tr2bl w:val="nil"/>
            </w:tcBorders>
          </w:tcPr>
          <w:p w14:paraId="3ACBFF19">
            <w:pPr>
              <w:rPr>
                <w:sz w:val="18"/>
                <w:szCs w:val="18"/>
              </w:rPr>
            </w:pPr>
          </w:p>
        </w:tc>
        <w:tc>
          <w:tcPr>
            <w:tcW w:w="1313" w:type="dxa"/>
            <w:vMerge w:val="continue"/>
            <w:tcBorders>
              <w:tl2br w:val="nil"/>
              <w:tr2bl w:val="nil"/>
            </w:tcBorders>
          </w:tcPr>
          <w:p w14:paraId="741A90A7">
            <w:pPr>
              <w:rPr>
                <w:sz w:val="18"/>
                <w:szCs w:val="18"/>
              </w:rPr>
            </w:pPr>
          </w:p>
        </w:tc>
        <w:tc>
          <w:tcPr>
            <w:tcW w:w="1847" w:type="dxa"/>
            <w:vMerge w:val="continue"/>
            <w:tcBorders>
              <w:tl2br w:val="nil"/>
              <w:tr2bl w:val="nil"/>
            </w:tcBorders>
          </w:tcPr>
          <w:p w14:paraId="07F1F7B3">
            <w:pPr>
              <w:rPr>
                <w:sz w:val="18"/>
                <w:szCs w:val="18"/>
              </w:rPr>
            </w:pPr>
          </w:p>
        </w:tc>
        <w:tc>
          <w:tcPr>
            <w:tcW w:w="757" w:type="dxa"/>
            <w:vMerge w:val="continue"/>
            <w:tcBorders>
              <w:tl2br w:val="nil"/>
              <w:tr2bl w:val="nil"/>
            </w:tcBorders>
          </w:tcPr>
          <w:p w14:paraId="51118624">
            <w:pPr>
              <w:rPr>
                <w:sz w:val="18"/>
                <w:szCs w:val="18"/>
              </w:rPr>
            </w:pPr>
          </w:p>
        </w:tc>
      </w:tr>
      <w:tr w14:paraId="4F6538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505" w:type="dxa"/>
            <w:vMerge w:val="continue"/>
            <w:tcBorders>
              <w:tl2br w:val="nil"/>
              <w:tr2bl w:val="nil"/>
            </w:tcBorders>
          </w:tcPr>
          <w:p w14:paraId="2131671F">
            <w:pPr>
              <w:rPr>
                <w:sz w:val="18"/>
                <w:szCs w:val="18"/>
              </w:rPr>
            </w:pPr>
          </w:p>
        </w:tc>
        <w:tc>
          <w:tcPr>
            <w:tcW w:w="1061" w:type="dxa"/>
            <w:vMerge w:val="continue"/>
            <w:tcBorders>
              <w:tl2br w:val="nil"/>
              <w:tr2bl w:val="nil"/>
            </w:tcBorders>
          </w:tcPr>
          <w:p w14:paraId="589651BD">
            <w:pPr>
              <w:rPr>
                <w:sz w:val="18"/>
                <w:szCs w:val="18"/>
              </w:rPr>
            </w:pPr>
          </w:p>
        </w:tc>
        <w:tc>
          <w:tcPr>
            <w:tcW w:w="2016" w:type="dxa"/>
            <w:tcBorders>
              <w:tl2br w:val="nil"/>
              <w:tr2bl w:val="nil"/>
            </w:tcBorders>
          </w:tcPr>
          <w:p w14:paraId="1841A1A5">
            <w:pPr>
              <w:spacing w:before="32" w:line="227" w:lineRule="auto"/>
              <w:ind w:left="596" w:right="169" w:hanging="421"/>
              <w:rPr>
                <w:sz w:val="18"/>
                <w:szCs w:val="18"/>
              </w:rPr>
            </w:pPr>
            <w:r>
              <w:rPr>
                <w:rFonts w:eastAsia="Times New Roman"/>
                <w:spacing w:val="-1"/>
                <w:sz w:val="18"/>
                <w:szCs w:val="18"/>
              </w:rPr>
              <w:t>3</w:t>
            </w:r>
            <w:r>
              <w:rPr>
                <w:spacing w:val="-1"/>
                <w:sz w:val="18"/>
                <w:szCs w:val="18"/>
              </w:rPr>
              <w:t>万吨</w:t>
            </w:r>
            <w:r>
              <w:rPr>
                <w:rFonts w:eastAsia="Times New Roman"/>
                <w:spacing w:val="-1"/>
                <w:sz w:val="18"/>
                <w:szCs w:val="18"/>
              </w:rPr>
              <w:t>/</w:t>
            </w:r>
            <w:r>
              <w:rPr>
                <w:spacing w:val="-1"/>
                <w:sz w:val="18"/>
                <w:szCs w:val="18"/>
              </w:rPr>
              <w:t>年碳酸</w:t>
            </w:r>
            <w:r>
              <w:rPr>
                <w:spacing w:val="-2"/>
                <w:sz w:val="18"/>
                <w:szCs w:val="18"/>
              </w:rPr>
              <w:t>氢</w:t>
            </w:r>
            <w:r>
              <w:rPr>
                <w:spacing w:val="-1"/>
                <w:sz w:val="18"/>
                <w:szCs w:val="18"/>
              </w:rPr>
              <w:t>钠</w:t>
            </w:r>
          </w:p>
        </w:tc>
        <w:tc>
          <w:tcPr>
            <w:tcW w:w="1578" w:type="dxa"/>
            <w:vMerge w:val="continue"/>
            <w:tcBorders>
              <w:tl2br w:val="nil"/>
              <w:tr2bl w:val="nil"/>
            </w:tcBorders>
          </w:tcPr>
          <w:p w14:paraId="10DA3595">
            <w:pPr>
              <w:rPr>
                <w:sz w:val="18"/>
                <w:szCs w:val="18"/>
              </w:rPr>
            </w:pPr>
          </w:p>
        </w:tc>
        <w:tc>
          <w:tcPr>
            <w:tcW w:w="871" w:type="dxa"/>
            <w:vMerge w:val="continue"/>
            <w:tcBorders>
              <w:tl2br w:val="nil"/>
              <w:tr2bl w:val="nil"/>
            </w:tcBorders>
          </w:tcPr>
          <w:p w14:paraId="77D8ECCC">
            <w:pPr>
              <w:rPr>
                <w:sz w:val="18"/>
                <w:szCs w:val="18"/>
              </w:rPr>
            </w:pPr>
          </w:p>
        </w:tc>
        <w:tc>
          <w:tcPr>
            <w:tcW w:w="1091" w:type="dxa"/>
            <w:vMerge w:val="continue"/>
            <w:tcBorders>
              <w:tl2br w:val="nil"/>
              <w:tr2bl w:val="nil"/>
            </w:tcBorders>
          </w:tcPr>
          <w:p w14:paraId="0B23784C">
            <w:pPr>
              <w:rPr>
                <w:sz w:val="18"/>
                <w:szCs w:val="18"/>
              </w:rPr>
            </w:pPr>
          </w:p>
        </w:tc>
        <w:tc>
          <w:tcPr>
            <w:tcW w:w="859" w:type="dxa"/>
            <w:vMerge w:val="continue"/>
            <w:tcBorders>
              <w:tl2br w:val="nil"/>
              <w:tr2bl w:val="nil"/>
            </w:tcBorders>
          </w:tcPr>
          <w:p w14:paraId="07CBFF53">
            <w:pPr>
              <w:rPr>
                <w:sz w:val="18"/>
                <w:szCs w:val="18"/>
              </w:rPr>
            </w:pPr>
          </w:p>
        </w:tc>
        <w:tc>
          <w:tcPr>
            <w:tcW w:w="1076" w:type="dxa"/>
            <w:vMerge w:val="continue"/>
            <w:tcBorders>
              <w:tl2br w:val="nil"/>
              <w:tr2bl w:val="nil"/>
            </w:tcBorders>
          </w:tcPr>
          <w:p w14:paraId="232E4EE9">
            <w:pPr>
              <w:rPr>
                <w:sz w:val="18"/>
                <w:szCs w:val="18"/>
              </w:rPr>
            </w:pPr>
          </w:p>
        </w:tc>
        <w:tc>
          <w:tcPr>
            <w:tcW w:w="1391" w:type="dxa"/>
            <w:vMerge w:val="continue"/>
            <w:tcBorders>
              <w:tl2br w:val="nil"/>
              <w:tr2bl w:val="nil"/>
            </w:tcBorders>
          </w:tcPr>
          <w:p w14:paraId="53126106">
            <w:pPr>
              <w:rPr>
                <w:sz w:val="18"/>
                <w:szCs w:val="18"/>
              </w:rPr>
            </w:pPr>
          </w:p>
        </w:tc>
        <w:tc>
          <w:tcPr>
            <w:tcW w:w="957" w:type="dxa"/>
            <w:vMerge w:val="continue"/>
            <w:tcBorders>
              <w:tl2br w:val="nil"/>
              <w:tr2bl w:val="nil"/>
            </w:tcBorders>
          </w:tcPr>
          <w:p w14:paraId="229D5D88">
            <w:pPr>
              <w:rPr>
                <w:sz w:val="18"/>
                <w:szCs w:val="18"/>
              </w:rPr>
            </w:pPr>
          </w:p>
        </w:tc>
        <w:tc>
          <w:tcPr>
            <w:tcW w:w="1313" w:type="dxa"/>
            <w:vMerge w:val="continue"/>
            <w:tcBorders>
              <w:tl2br w:val="nil"/>
              <w:tr2bl w:val="nil"/>
            </w:tcBorders>
          </w:tcPr>
          <w:p w14:paraId="5FF81147">
            <w:pPr>
              <w:rPr>
                <w:sz w:val="18"/>
                <w:szCs w:val="18"/>
              </w:rPr>
            </w:pPr>
          </w:p>
        </w:tc>
        <w:tc>
          <w:tcPr>
            <w:tcW w:w="1847" w:type="dxa"/>
            <w:vMerge w:val="continue"/>
            <w:tcBorders>
              <w:tl2br w:val="nil"/>
              <w:tr2bl w:val="nil"/>
            </w:tcBorders>
          </w:tcPr>
          <w:p w14:paraId="19B9DC6D">
            <w:pPr>
              <w:rPr>
                <w:sz w:val="18"/>
                <w:szCs w:val="18"/>
              </w:rPr>
            </w:pPr>
          </w:p>
        </w:tc>
        <w:tc>
          <w:tcPr>
            <w:tcW w:w="757" w:type="dxa"/>
            <w:vMerge w:val="continue"/>
            <w:tcBorders>
              <w:tl2br w:val="nil"/>
              <w:tr2bl w:val="nil"/>
            </w:tcBorders>
          </w:tcPr>
          <w:p w14:paraId="071E0C3F">
            <w:pPr>
              <w:rPr>
                <w:sz w:val="18"/>
                <w:szCs w:val="18"/>
              </w:rPr>
            </w:pPr>
          </w:p>
        </w:tc>
      </w:tr>
      <w:tr w14:paraId="78F7F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505" w:type="dxa"/>
            <w:vMerge w:val="restart"/>
            <w:tcBorders>
              <w:tl2br w:val="nil"/>
              <w:tr2bl w:val="nil"/>
            </w:tcBorders>
          </w:tcPr>
          <w:p w14:paraId="5D01B61E">
            <w:pPr>
              <w:spacing w:line="263" w:lineRule="auto"/>
              <w:rPr>
                <w:sz w:val="18"/>
                <w:szCs w:val="18"/>
              </w:rPr>
            </w:pPr>
          </w:p>
          <w:p w14:paraId="48B17642">
            <w:pPr>
              <w:spacing w:line="263" w:lineRule="auto"/>
              <w:rPr>
                <w:sz w:val="18"/>
                <w:szCs w:val="18"/>
              </w:rPr>
            </w:pPr>
          </w:p>
          <w:p w14:paraId="21146A2C">
            <w:pPr>
              <w:spacing w:line="263" w:lineRule="auto"/>
              <w:rPr>
                <w:sz w:val="18"/>
                <w:szCs w:val="18"/>
              </w:rPr>
            </w:pPr>
          </w:p>
          <w:p w14:paraId="2C8DA75D">
            <w:pPr>
              <w:spacing w:line="264" w:lineRule="auto"/>
              <w:rPr>
                <w:sz w:val="18"/>
                <w:szCs w:val="18"/>
              </w:rPr>
            </w:pPr>
          </w:p>
          <w:p w14:paraId="7CF078F3">
            <w:pPr>
              <w:spacing w:line="264" w:lineRule="auto"/>
              <w:rPr>
                <w:sz w:val="18"/>
                <w:szCs w:val="18"/>
              </w:rPr>
            </w:pPr>
          </w:p>
          <w:p w14:paraId="4C01FAEB">
            <w:pPr>
              <w:spacing w:line="264" w:lineRule="auto"/>
              <w:rPr>
                <w:sz w:val="18"/>
                <w:szCs w:val="18"/>
              </w:rPr>
            </w:pPr>
          </w:p>
          <w:p w14:paraId="69EF03FD">
            <w:pPr>
              <w:spacing w:line="264" w:lineRule="auto"/>
              <w:rPr>
                <w:sz w:val="18"/>
                <w:szCs w:val="18"/>
              </w:rPr>
            </w:pPr>
          </w:p>
          <w:p w14:paraId="3791B33D">
            <w:pPr>
              <w:spacing w:before="60" w:line="187" w:lineRule="auto"/>
              <w:ind w:left="393"/>
              <w:rPr>
                <w:rFonts w:eastAsia="Times New Roman"/>
                <w:sz w:val="18"/>
                <w:szCs w:val="18"/>
              </w:rPr>
            </w:pPr>
            <w:r>
              <w:rPr>
                <w:rFonts w:eastAsia="Times New Roman"/>
                <w:spacing w:val="-2"/>
                <w:sz w:val="18"/>
                <w:szCs w:val="18"/>
              </w:rPr>
              <w:t>2</w:t>
            </w:r>
            <w:r>
              <w:rPr>
                <w:rFonts w:eastAsia="Times New Roman"/>
                <w:spacing w:val="-1"/>
                <w:sz w:val="18"/>
                <w:szCs w:val="18"/>
              </w:rPr>
              <w:t>.</w:t>
            </w:r>
          </w:p>
        </w:tc>
        <w:tc>
          <w:tcPr>
            <w:tcW w:w="1061" w:type="dxa"/>
            <w:vMerge w:val="restart"/>
            <w:tcBorders>
              <w:tl2br w:val="nil"/>
              <w:tr2bl w:val="nil"/>
            </w:tcBorders>
          </w:tcPr>
          <w:p w14:paraId="4394D5AF">
            <w:pPr>
              <w:spacing w:line="268" w:lineRule="auto"/>
              <w:rPr>
                <w:sz w:val="18"/>
                <w:szCs w:val="18"/>
              </w:rPr>
            </w:pPr>
          </w:p>
          <w:p w14:paraId="59C97E29">
            <w:pPr>
              <w:spacing w:line="268" w:lineRule="auto"/>
              <w:rPr>
                <w:sz w:val="18"/>
                <w:szCs w:val="18"/>
              </w:rPr>
            </w:pPr>
          </w:p>
          <w:p w14:paraId="7441DB1F">
            <w:pPr>
              <w:spacing w:line="268" w:lineRule="auto"/>
              <w:rPr>
                <w:sz w:val="18"/>
                <w:szCs w:val="18"/>
              </w:rPr>
            </w:pPr>
          </w:p>
          <w:p w14:paraId="205BCD24">
            <w:pPr>
              <w:spacing w:line="268" w:lineRule="auto"/>
              <w:rPr>
                <w:sz w:val="18"/>
                <w:szCs w:val="18"/>
              </w:rPr>
            </w:pPr>
          </w:p>
          <w:p w14:paraId="09AFBF35">
            <w:pPr>
              <w:spacing w:line="268" w:lineRule="auto"/>
              <w:rPr>
                <w:sz w:val="18"/>
                <w:szCs w:val="18"/>
              </w:rPr>
            </w:pPr>
          </w:p>
          <w:p w14:paraId="001B1F34">
            <w:pPr>
              <w:spacing w:line="269" w:lineRule="auto"/>
              <w:rPr>
                <w:sz w:val="18"/>
                <w:szCs w:val="18"/>
              </w:rPr>
            </w:pPr>
          </w:p>
          <w:p w14:paraId="2BF70BA0">
            <w:pPr>
              <w:rPr>
                <w:sz w:val="18"/>
                <w:szCs w:val="18"/>
              </w:rPr>
            </w:pPr>
            <w:r>
              <w:rPr>
                <w:spacing w:val="-1"/>
                <w:sz w:val="18"/>
                <w:szCs w:val="18"/>
              </w:rPr>
              <w:t>恒诚制药</w:t>
            </w:r>
            <w:r>
              <w:rPr>
                <w:sz w:val="18"/>
                <w:szCs w:val="18"/>
              </w:rPr>
              <w:t>集团</w:t>
            </w:r>
            <w:r>
              <w:rPr>
                <w:spacing w:val="-1"/>
                <w:sz w:val="18"/>
                <w:szCs w:val="18"/>
              </w:rPr>
              <w:t>淮南有限公司</w:t>
            </w:r>
          </w:p>
        </w:tc>
        <w:tc>
          <w:tcPr>
            <w:tcW w:w="2016" w:type="dxa"/>
            <w:tcBorders>
              <w:tl2br w:val="nil"/>
              <w:tr2bl w:val="nil"/>
            </w:tcBorders>
          </w:tcPr>
          <w:p w14:paraId="26E8A4DD">
            <w:pPr>
              <w:spacing w:before="32" w:line="227" w:lineRule="auto"/>
              <w:ind w:left="177" w:right="169" w:firstLine="14"/>
              <w:rPr>
                <w:sz w:val="18"/>
                <w:szCs w:val="18"/>
              </w:rPr>
            </w:pPr>
            <w:r>
              <w:rPr>
                <w:rFonts w:eastAsia="Times New Roman"/>
                <w:spacing w:val="-4"/>
                <w:sz w:val="18"/>
                <w:szCs w:val="18"/>
              </w:rPr>
              <w:t>100</w:t>
            </w:r>
            <w:r>
              <w:rPr>
                <w:spacing w:val="-2"/>
                <w:sz w:val="18"/>
                <w:szCs w:val="18"/>
              </w:rPr>
              <w:t>吨</w:t>
            </w:r>
            <w:r>
              <w:rPr>
                <w:rFonts w:eastAsia="Times New Roman"/>
                <w:spacing w:val="-2"/>
                <w:sz w:val="18"/>
                <w:szCs w:val="18"/>
              </w:rPr>
              <w:t>/</w:t>
            </w:r>
            <w:r>
              <w:rPr>
                <w:spacing w:val="-2"/>
                <w:sz w:val="18"/>
                <w:szCs w:val="18"/>
              </w:rPr>
              <w:t>年氯硝</w:t>
            </w:r>
            <w:r>
              <w:rPr>
                <w:spacing w:val="20"/>
                <w:sz w:val="18"/>
                <w:szCs w:val="18"/>
              </w:rPr>
              <w:t>柳</w:t>
            </w:r>
            <w:r>
              <w:rPr>
                <w:spacing w:val="16"/>
                <w:sz w:val="18"/>
                <w:szCs w:val="18"/>
              </w:rPr>
              <w:t>胺(停产)</w:t>
            </w:r>
          </w:p>
        </w:tc>
        <w:tc>
          <w:tcPr>
            <w:tcW w:w="1578" w:type="dxa"/>
            <w:vMerge w:val="restart"/>
            <w:tcBorders>
              <w:tl2br w:val="nil"/>
              <w:tr2bl w:val="nil"/>
            </w:tcBorders>
          </w:tcPr>
          <w:p w14:paraId="167DD4BE">
            <w:pPr>
              <w:spacing w:line="243" w:lineRule="auto"/>
              <w:rPr>
                <w:sz w:val="18"/>
                <w:szCs w:val="18"/>
              </w:rPr>
            </w:pPr>
          </w:p>
          <w:p w14:paraId="11263B23">
            <w:pPr>
              <w:spacing w:line="244" w:lineRule="auto"/>
              <w:rPr>
                <w:sz w:val="18"/>
                <w:szCs w:val="18"/>
              </w:rPr>
            </w:pPr>
          </w:p>
          <w:p w14:paraId="6DE300F6">
            <w:pPr>
              <w:spacing w:line="244" w:lineRule="auto"/>
              <w:rPr>
                <w:sz w:val="18"/>
                <w:szCs w:val="18"/>
              </w:rPr>
            </w:pPr>
          </w:p>
          <w:p w14:paraId="6018BBCB">
            <w:pPr>
              <w:spacing w:line="244" w:lineRule="auto"/>
              <w:rPr>
                <w:sz w:val="18"/>
                <w:szCs w:val="18"/>
              </w:rPr>
            </w:pPr>
          </w:p>
          <w:p w14:paraId="616F9A36">
            <w:pPr>
              <w:spacing w:line="244" w:lineRule="auto"/>
              <w:rPr>
                <w:sz w:val="18"/>
                <w:szCs w:val="18"/>
              </w:rPr>
            </w:pPr>
          </w:p>
          <w:p w14:paraId="5C1FCDB7">
            <w:pPr>
              <w:rPr>
                <w:sz w:val="18"/>
                <w:szCs w:val="18"/>
              </w:rPr>
            </w:pPr>
            <w:r>
              <w:rPr>
                <w:rFonts w:eastAsia="Times New Roman"/>
                <w:spacing w:val="-1"/>
                <w:sz w:val="18"/>
                <w:szCs w:val="18"/>
              </w:rPr>
              <w:t>350</w:t>
            </w:r>
            <w:r>
              <w:rPr>
                <w:spacing w:val="-1"/>
                <w:sz w:val="18"/>
                <w:szCs w:val="18"/>
              </w:rPr>
              <w:t>吨</w:t>
            </w:r>
            <w:r>
              <w:rPr>
                <w:rFonts w:eastAsia="Times New Roman"/>
                <w:spacing w:val="-1"/>
                <w:sz w:val="18"/>
                <w:szCs w:val="18"/>
              </w:rPr>
              <w:t>/</w:t>
            </w:r>
            <w:r>
              <w:rPr>
                <w:spacing w:val="-1"/>
                <w:sz w:val="18"/>
                <w:szCs w:val="18"/>
              </w:rPr>
              <w:t>年甲</w:t>
            </w:r>
            <w:r>
              <w:rPr>
                <w:sz w:val="18"/>
                <w:szCs w:val="18"/>
              </w:rPr>
              <w:t xml:space="preserve">苯   </w:t>
            </w:r>
            <w:r>
              <w:rPr>
                <w:spacing w:val="9"/>
                <w:sz w:val="18"/>
                <w:szCs w:val="18"/>
              </w:rPr>
              <w:t>(溶剂回收，停产</w:t>
            </w:r>
            <w:r>
              <w:rPr>
                <w:spacing w:val="7"/>
                <w:sz w:val="18"/>
                <w:szCs w:val="18"/>
              </w:rPr>
              <w:t>)</w:t>
            </w:r>
          </w:p>
          <w:p w14:paraId="0D86D1AB">
            <w:pPr>
              <w:rPr>
                <w:sz w:val="18"/>
                <w:szCs w:val="18"/>
              </w:rPr>
            </w:pPr>
            <w:r>
              <w:rPr>
                <w:rFonts w:eastAsia="Times New Roman"/>
                <w:spacing w:val="-1"/>
                <w:sz w:val="18"/>
                <w:szCs w:val="18"/>
              </w:rPr>
              <w:t>350</w:t>
            </w:r>
            <w:r>
              <w:rPr>
                <w:spacing w:val="-1"/>
                <w:sz w:val="18"/>
                <w:szCs w:val="18"/>
              </w:rPr>
              <w:t>吨</w:t>
            </w:r>
            <w:r>
              <w:rPr>
                <w:rFonts w:eastAsia="Times New Roman"/>
                <w:spacing w:val="-1"/>
                <w:sz w:val="18"/>
                <w:szCs w:val="18"/>
              </w:rPr>
              <w:t>/</w:t>
            </w:r>
            <w:r>
              <w:rPr>
                <w:spacing w:val="-1"/>
                <w:sz w:val="18"/>
                <w:szCs w:val="18"/>
              </w:rPr>
              <w:t>年甲</w:t>
            </w:r>
            <w:r>
              <w:rPr>
                <w:sz w:val="18"/>
                <w:szCs w:val="18"/>
              </w:rPr>
              <w:t xml:space="preserve">醇   </w:t>
            </w:r>
            <w:r>
              <w:rPr>
                <w:spacing w:val="9"/>
                <w:sz w:val="18"/>
                <w:szCs w:val="18"/>
              </w:rPr>
              <w:t>(溶剂回收，停产</w:t>
            </w:r>
            <w:r>
              <w:rPr>
                <w:spacing w:val="7"/>
                <w:sz w:val="18"/>
                <w:szCs w:val="18"/>
              </w:rPr>
              <w:t>)</w:t>
            </w:r>
          </w:p>
        </w:tc>
        <w:tc>
          <w:tcPr>
            <w:tcW w:w="871" w:type="dxa"/>
            <w:vMerge w:val="restart"/>
            <w:tcBorders>
              <w:tl2br w:val="nil"/>
              <w:tr2bl w:val="nil"/>
            </w:tcBorders>
          </w:tcPr>
          <w:p w14:paraId="5B17E4F8">
            <w:pPr>
              <w:spacing w:line="263" w:lineRule="auto"/>
              <w:rPr>
                <w:sz w:val="18"/>
                <w:szCs w:val="18"/>
              </w:rPr>
            </w:pPr>
          </w:p>
          <w:p w14:paraId="60FCBD6F">
            <w:pPr>
              <w:spacing w:line="263" w:lineRule="auto"/>
              <w:rPr>
                <w:sz w:val="18"/>
                <w:szCs w:val="18"/>
              </w:rPr>
            </w:pPr>
          </w:p>
          <w:p w14:paraId="3722B20E">
            <w:pPr>
              <w:spacing w:line="263" w:lineRule="auto"/>
              <w:rPr>
                <w:sz w:val="18"/>
                <w:szCs w:val="18"/>
              </w:rPr>
            </w:pPr>
          </w:p>
          <w:p w14:paraId="3A0B9595">
            <w:pPr>
              <w:spacing w:line="263" w:lineRule="auto"/>
              <w:rPr>
                <w:sz w:val="18"/>
                <w:szCs w:val="18"/>
              </w:rPr>
            </w:pPr>
          </w:p>
          <w:p w14:paraId="0CA1EE09">
            <w:pPr>
              <w:spacing w:line="264" w:lineRule="auto"/>
              <w:rPr>
                <w:sz w:val="18"/>
                <w:szCs w:val="18"/>
              </w:rPr>
            </w:pPr>
          </w:p>
          <w:p w14:paraId="2D7CC5BF">
            <w:pPr>
              <w:spacing w:line="264" w:lineRule="auto"/>
              <w:rPr>
                <w:sz w:val="18"/>
                <w:szCs w:val="18"/>
              </w:rPr>
            </w:pPr>
          </w:p>
          <w:p w14:paraId="4B03D794">
            <w:pPr>
              <w:spacing w:line="264" w:lineRule="auto"/>
              <w:rPr>
                <w:sz w:val="18"/>
                <w:szCs w:val="18"/>
              </w:rPr>
            </w:pPr>
          </w:p>
          <w:p w14:paraId="532FF269">
            <w:pPr>
              <w:spacing w:before="61" w:line="187" w:lineRule="auto"/>
              <w:rPr>
                <w:rFonts w:eastAsia="Times New Roman"/>
                <w:sz w:val="18"/>
                <w:szCs w:val="18"/>
              </w:rPr>
            </w:pPr>
            <w:r>
              <w:rPr>
                <w:rFonts w:eastAsia="Times New Roman"/>
                <w:spacing w:val="-6"/>
                <w:sz w:val="18"/>
                <w:szCs w:val="18"/>
              </w:rPr>
              <w:t>1</w:t>
            </w:r>
            <w:r>
              <w:rPr>
                <w:rFonts w:eastAsia="Times New Roman"/>
                <w:spacing w:val="-5"/>
                <w:sz w:val="18"/>
                <w:szCs w:val="18"/>
              </w:rPr>
              <w:t>68</w:t>
            </w:r>
          </w:p>
        </w:tc>
        <w:tc>
          <w:tcPr>
            <w:tcW w:w="1091" w:type="dxa"/>
            <w:vMerge w:val="restart"/>
            <w:tcBorders>
              <w:tl2br w:val="nil"/>
              <w:tr2bl w:val="nil"/>
            </w:tcBorders>
          </w:tcPr>
          <w:p w14:paraId="3CE46993">
            <w:pPr>
              <w:spacing w:line="263" w:lineRule="auto"/>
              <w:rPr>
                <w:sz w:val="18"/>
                <w:szCs w:val="18"/>
              </w:rPr>
            </w:pPr>
          </w:p>
          <w:p w14:paraId="7EFE6BAD">
            <w:pPr>
              <w:spacing w:line="263" w:lineRule="auto"/>
              <w:rPr>
                <w:sz w:val="18"/>
                <w:szCs w:val="18"/>
              </w:rPr>
            </w:pPr>
          </w:p>
          <w:p w14:paraId="7D1E890B">
            <w:pPr>
              <w:spacing w:line="263" w:lineRule="auto"/>
              <w:rPr>
                <w:sz w:val="18"/>
                <w:szCs w:val="18"/>
              </w:rPr>
            </w:pPr>
          </w:p>
          <w:p w14:paraId="2879DB20">
            <w:pPr>
              <w:spacing w:line="264" w:lineRule="auto"/>
              <w:rPr>
                <w:sz w:val="18"/>
                <w:szCs w:val="18"/>
              </w:rPr>
            </w:pPr>
          </w:p>
          <w:p w14:paraId="71CC1A6C">
            <w:pPr>
              <w:spacing w:line="264" w:lineRule="auto"/>
              <w:rPr>
                <w:sz w:val="18"/>
                <w:szCs w:val="18"/>
              </w:rPr>
            </w:pPr>
          </w:p>
          <w:p w14:paraId="01465951">
            <w:pPr>
              <w:spacing w:line="264" w:lineRule="auto"/>
              <w:rPr>
                <w:sz w:val="18"/>
                <w:szCs w:val="18"/>
              </w:rPr>
            </w:pPr>
          </w:p>
          <w:p w14:paraId="1A01F08C">
            <w:pPr>
              <w:spacing w:line="264" w:lineRule="auto"/>
              <w:rPr>
                <w:sz w:val="18"/>
                <w:szCs w:val="18"/>
              </w:rPr>
            </w:pPr>
          </w:p>
          <w:p w14:paraId="236A9047">
            <w:pPr>
              <w:rPr>
                <w:rFonts w:eastAsia="Times New Roman"/>
                <w:sz w:val="18"/>
                <w:szCs w:val="18"/>
              </w:rPr>
            </w:pPr>
            <w:r>
              <w:rPr>
                <w:rFonts w:eastAsia="Times New Roman"/>
                <w:spacing w:val="-2"/>
                <w:sz w:val="18"/>
                <w:szCs w:val="18"/>
              </w:rPr>
              <w:t>72</w:t>
            </w:r>
            <w:r>
              <w:rPr>
                <w:rFonts w:eastAsia="Times New Roman"/>
                <w:spacing w:val="-1"/>
                <w:sz w:val="18"/>
                <w:szCs w:val="18"/>
              </w:rPr>
              <w:t>.6</w:t>
            </w:r>
          </w:p>
        </w:tc>
        <w:tc>
          <w:tcPr>
            <w:tcW w:w="859" w:type="dxa"/>
            <w:vMerge w:val="restart"/>
            <w:tcBorders>
              <w:tl2br w:val="nil"/>
              <w:tr2bl w:val="nil"/>
            </w:tcBorders>
          </w:tcPr>
          <w:p w14:paraId="41B1A912">
            <w:pPr>
              <w:spacing w:line="268" w:lineRule="auto"/>
              <w:rPr>
                <w:sz w:val="18"/>
                <w:szCs w:val="18"/>
              </w:rPr>
            </w:pPr>
          </w:p>
          <w:p w14:paraId="3FAA1BC8">
            <w:pPr>
              <w:spacing w:line="268" w:lineRule="auto"/>
              <w:rPr>
                <w:sz w:val="18"/>
                <w:szCs w:val="18"/>
              </w:rPr>
            </w:pPr>
          </w:p>
          <w:p w14:paraId="442D48E3">
            <w:pPr>
              <w:spacing w:line="268" w:lineRule="auto"/>
              <w:rPr>
                <w:sz w:val="18"/>
                <w:szCs w:val="18"/>
              </w:rPr>
            </w:pPr>
          </w:p>
          <w:p w14:paraId="35E3EF1F">
            <w:pPr>
              <w:spacing w:line="268" w:lineRule="auto"/>
              <w:rPr>
                <w:sz w:val="18"/>
                <w:szCs w:val="18"/>
              </w:rPr>
            </w:pPr>
          </w:p>
          <w:p w14:paraId="2C0D1789">
            <w:pPr>
              <w:spacing w:line="268" w:lineRule="auto"/>
              <w:rPr>
                <w:sz w:val="18"/>
                <w:szCs w:val="18"/>
              </w:rPr>
            </w:pPr>
          </w:p>
          <w:p w14:paraId="543CB00A">
            <w:pPr>
              <w:spacing w:line="269" w:lineRule="auto"/>
              <w:rPr>
                <w:sz w:val="18"/>
                <w:szCs w:val="18"/>
              </w:rPr>
            </w:pPr>
          </w:p>
          <w:p w14:paraId="3AC02AA5">
            <w:pPr>
              <w:spacing w:before="68" w:line="354" w:lineRule="auto"/>
              <w:ind w:left="157" w:right="142"/>
              <w:rPr>
                <w:sz w:val="18"/>
                <w:szCs w:val="18"/>
              </w:rPr>
            </w:pPr>
            <w:r>
              <w:rPr>
                <w:spacing w:val="-3"/>
                <w:sz w:val="18"/>
                <w:szCs w:val="18"/>
              </w:rPr>
              <w:t>部</w:t>
            </w:r>
            <w:r>
              <w:rPr>
                <w:spacing w:val="-2"/>
                <w:sz w:val="18"/>
                <w:szCs w:val="18"/>
              </w:rPr>
              <w:t>分停产</w:t>
            </w:r>
            <w:r>
              <w:rPr>
                <w:rFonts w:hint="eastAsia"/>
                <w:spacing w:val="-2"/>
                <w:sz w:val="18"/>
                <w:szCs w:val="18"/>
              </w:rPr>
              <w:t>、</w:t>
            </w:r>
            <w:r>
              <w:rPr>
                <w:spacing w:val="-3"/>
                <w:sz w:val="18"/>
                <w:szCs w:val="18"/>
              </w:rPr>
              <w:t>部</w:t>
            </w:r>
            <w:r>
              <w:rPr>
                <w:spacing w:val="-2"/>
                <w:sz w:val="18"/>
                <w:szCs w:val="18"/>
              </w:rPr>
              <w:t>分生产</w:t>
            </w:r>
          </w:p>
        </w:tc>
        <w:tc>
          <w:tcPr>
            <w:tcW w:w="1076" w:type="dxa"/>
            <w:vMerge w:val="restart"/>
            <w:tcBorders>
              <w:tl2br w:val="nil"/>
              <w:tr2bl w:val="nil"/>
            </w:tcBorders>
          </w:tcPr>
          <w:p w14:paraId="61C93B6E">
            <w:pPr>
              <w:spacing w:line="249" w:lineRule="auto"/>
              <w:rPr>
                <w:sz w:val="18"/>
                <w:szCs w:val="18"/>
              </w:rPr>
            </w:pPr>
          </w:p>
          <w:p w14:paraId="78B2FBC2">
            <w:pPr>
              <w:spacing w:line="249" w:lineRule="auto"/>
              <w:rPr>
                <w:sz w:val="18"/>
                <w:szCs w:val="18"/>
              </w:rPr>
            </w:pPr>
          </w:p>
          <w:p w14:paraId="3531A8E8">
            <w:pPr>
              <w:spacing w:line="249" w:lineRule="auto"/>
              <w:rPr>
                <w:sz w:val="18"/>
                <w:szCs w:val="18"/>
              </w:rPr>
            </w:pPr>
          </w:p>
          <w:p w14:paraId="32EC56E6">
            <w:pPr>
              <w:spacing w:line="249" w:lineRule="auto"/>
              <w:rPr>
                <w:sz w:val="18"/>
                <w:szCs w:val="18"/>
              </w:rPr>
            </w:pPr>
          </w:p>
          <w:p w14:paraId="7EFE6288">
            <w:pPr>
              <w:spacing w:line="249" w:lineRule="auto"/>
              <w:rPr>
                <w:sz w:val="18"/>
                <w:szCs w:val="18"/>
              </w:rPr>
            </w:pPr>
          </w:p>
          <w:p w14:paraId="64948D12">
            <w:pPr>
              <w:spacing w:line="249" w:lineRule="auto"/>
              <w:rPr>
                <w:sz w:val="18"/>
                <w:szCs w:val="18"/>
              </w:rPr>
            </w:pPr>
          </w:p>
          <w:p w14:paraId="69752665">
            <w:pPr>
              <w:spacing w:line="249" w:lineRule="auto"/>
              <w:rPr>
                <w:sz w:val="18"/>
                <w:szCs w:val="18"/>
              </w:rPr>
            </w:pPr>
          </w:p>
          <w:p w14:paraId="62D6998B">
            <w:pPr>
              <w:spacing w:before="69" w:line="222" w:lineRule="auto"/>
              <w:ind w:left="334"/>
              <w:rPr>
                <w:sz w:val="18"/>
                <w:szCs w:val="18"/>
              </w:rPr>
            </w:pPr>
            <w:r>
              <w:rPr>
                <w:spacing w:val="-2"/>
                <w:sz w:val="18"/>
                <w:szCs w:val="18"/>
              </w:rPr>
              <w:t>不涉及</w:t>
            </w:r>
          </w:p>
        </w:tc>
        <w:tc>
          <w:tcPr>
            <w:tcW w:w="1391" w:type="dxa"/>
            <w:vMerge w:val="restart"/>
            <w:tcBorders>
              <w:tl2br w:val="nil"/>
              <w:tr2bl w:val="nil"/>
            </w:tcBorders>
          </w:tcPr>
          <w:p w14:paraId="5FCDE073">
            <w:pPr>
              <w:spacing w:line="268" w:lineRule="auto"/>
              <w:rPr>
                <w:sz w:val="18"/>
                <w:szCs w:val="18"/>
              </w:rPr>
            </w:pPr>
          </w:p>
          <w:p w14:paraId="08E7AE20">
            <w:pPr>
              <w:spacing w:line="268" w:lineRule="auto"/>
              <w:rPr>
                <w:sz w:val="18"/>
                <w:szCs w:val="18"/>
              </w:rPr>
            </w:pPr>
          </w:p>
          <w:p w14:paraId="2E835CF9">
            <w:pPr>
              <w:spacing w:line="268" w:lineRule="auto"/>
              <w:rPr>
                <w:sz w:val="18"/>
                <w:szCs w:val="18"/>
              </w:rPr>
            </w:pPr>
          </w:p>
          <w:p w14:paraId="751FEBAF">
            <w:pPr>
              <w:spacing w:line="268" w:lineRule="auto"/>
              <w:rPr>
                <w:sz w:val="18"/>
                <w:szCs w:val="18"/>
              </w:rPr>
            </w:pPr>
          </w:p>
          <w:p w14:paraId="4F6F8DB5">
            <w:pPr>
              <w:spacing w:line="268" w:lineRule="auto"/>
              <w:rPr>
                <w:sz w:val="18"/>
                <w:szCs w:val="18"/>
              </w:rPr>
            </w:pPr>
          </w:p>
          <w:p w14:paraId="3A2BB44C">
            <w:pPr>
              <w:spacing w:line="269" w:lineRule="auto"/>
              <w:rPr>
                <w:sz w:val="18"/>
                <w:szCs w:val="18"/>
              </w:rPr>
            </w:pPr>
          </w:p>
          <w:p w14:paraId="6F4254D5">
            <w:pPr>
              <w:spacing w:before="68" w:line="254" w:lineRule="auto"/>
              <w:ind w:left="226" w:right="211" w:hanging="2"/>
              <w:rPr>
                <w:sz w:val="18"/>
                <w:szCs w:val="18"/>
              </w:rPr>
            </w:pPr>
            <w:r>
              <w:rPr>
                <w:spacing w:val="-4"/>
                <w:sz w:val="18"/>
                <w:szCs w:val="18"/>
              </w:rPr>
              <w:t>氯</w:t>
            </w:r>
            <w:r>
              <w:rPr>
                <w:spacing w:val="-2"/>
                <w:sz w:val="18"/>
                <w:szCs w:val="18"/>
              </w:rPr>
              <w:t>化工艺</w:t>
            </w:r>
            <w:r>
              <w:rPr>
                <w:spacing w:val="20"/>
                <w:sz w:val="18"/>
                <w:szCs w:val="18"/>
              </w:rPr>
              <w:t>(停产)</w:t>
            </w:r>
          </w:p>
        </w:tc>
        <w:tc>
          <w:tcPr>
            <w:tcW w:w="957" w:type="dxa"/>
            <w:vMerge w:val="restart"/>
            <w:tcBorders>
              <w:tl2br w:val="nil"/>
              <w:tr2bl w:val="nil"/>
            </w:tcBorders>
          </w:tcPr>
          <w:p w14:paraId="00101C22">
            <w:pPr>
              <w:spacing w:line="268" w:lineRule="auto"/>
              <w:rPr>
                <w:sz w:val="18"/>
                <w:szCs w:val="18"/>
              </w:rPr>
            </w:pPr>
          </w:p>
          <w:p w14:paraId="4C92C7D1">
            <w:pPr>
              <w:spacing w:line="268" w:lineRule="auto"/>
              <w:rPr>
                <w:sz w:val="18"/>
                <w:szCs w:val="18"/>
              </w:rPr>
            </w:pPr>
          </w:p>
          <w:p w14:paraId="7CE136D1">
            <w:pPr>
              <w:spacing w:line="268" w:lineRule="auto"/>
              <w:rPr>
                <w:sz w:val="18"/>
                <w:szCs w:val="18"/>
              </w:rPr>
            </w:pPr>
          </w:p>
          <w:p w14:paraId="05C19C1D">
            <w:pPr>
              <w:spacing w:line="268" w:lineRule="auto"/>
              <w:rPr>
                <w:sz w:val="18"/>
                <w:szCs w:val="18"/>
              </w:rPr>
            </w:pPr>
          </w:p>
          <w:p w14:paraId="6641F867">
            <w:pPr>
              <w:spacing w:line="268" w:lineRule="auto"/>
              <w:rPr>
                <w:sz w:val="18"/>
                <w:szCs w:val="18"/>
              </w:rPr>
            </w:pPr>
          </w:p>
          <w:p w14:paraId="4B1D6DFB">
            <w:pPr>
              <w:spacing w:line="269" w:lineRule="auto"/>
              <w:rPr>
                <w:sz w:val="18"/>
                <w:szCs w:val="18"/>
              </w:rPr>
            </w:pPr>
          </w:p>
          <w:p w14:paraId="301D6A29">
            <w:pPr>
              <w:spacing w:before="69" w:line="254" w:lineRule="auto"/>
              <w:ind w:right="10"/>
              <w:rPr>
                <w:spacing w:val="5"/>
                <w:sz w:val="18"/>
                <w:szCs w:val="18"/>
              </w:rPr>
            </w:pPr>
            <w:r>
              <w:rPr>
                <w:spacing w:val="7"/>
                <w:sz w:val="18"/>
                <w:szCs w:val="18"/>
              </w:rPr>
              <w:t>甲</w:t>
            </w:r>
            <w:r>
              <w:rPr>
                <w:spacing w:val="5"/>
                <w:sz w:val="18"/>
                <w:szCs w:val="18"/>
              </w:rPr>
              <w:t>苯(已清料)</w:t>
            </w:r>
          </w:p>
          <w:p w14:paraId="3C35CB0B">
            <w:pPr>
              <w:spacing w:before="69" w:line="254" w:lineRule="auto"/>
              <w:ind w:right="10"/>
              <w:rPr>
                <w:sz w:val="18"/>
                <w:szCs w:val="18"/>
              </w:rPr>
            </w:pPr>
            <w:r>
              <w:rPr>
                <w:spacing w:val="7"/>
                <w:sz w:val="18"/>
                <w:szCs w:val="18"/>
              </w:rPr>
              <w:t>甲</w:t>
            </w:r>
            <w:r>
              <w:rPr>
                <w:spacing w:val="5"/>
                <w:sz w:val="18"/>
                <w:szCs w:val="18"/>
              </w:rPr>
              <w:t>醇(已清料)</w:t>
            </w:r>
          </w:p>
        </w:tc>
        <w:tc>
          <w:tcPr>
            <w:tcW w:w="1313" w:type="dxa"/>
            <w:vMerge w:val="restart"/>
            <w:tcBorders>
              <w:tl2br w:val="nil"/>
              <w:tr2bl w:val="nil"/>
            </w:tcBorders>
          </w:tcPr>
          <w:p w14:paraId="249AF793">
            <w:pPr>
              <w:spacing w:line="268" w:lineRule="auto"/>
              <w:rPr>
                <w:sz w:val="18"/>
                <w:szCs w:val="18"/>
              </w:rPr>
            </w:pPr>
          </w:p>
          <w:p w14:paraId="24FCAAFA">
            <w:pPr>
              <w:spacing w:line="268" w:lineRule="auto"/>
              <w:rPr>
                <w:sz w:val="18"/>
                <w:szCs w:val="18"/>
              </w:rPr>
            </w:pPr>
          </w:p>
          <w:p w14:paraId="679742B0">
            <w:pPr>
              <w:spacing w:line="268" w:lineRule="auto"/>
              <w:rPr>
                <w:sz w:val="18"/>
                <w:szCs w:val="18"/>
              </w:rPr>
            </w:pPr>
          </w:p>
          <w:p w14:paraId="5821A4DC">
            <w:pPr>
              <w:spacing w:line="268" w:lineRule="auto"/>
              <w:rPr>
                <w:sz w:val="18"/>
                <w:szCs w:val="18"/>
              </w:rPr>
            </w:pPr>
          </w:p>
          <w:p w14:paraId="077B3C11">
            <w:pPr>
              <w:spacing w:line="268" w:lineRule="auto"/>
              <w:rPr>
                <w:sz w:val="18"/>
                <w:szCs w:val="18"/>
              </w:rPr>
            </w:pPr>
          </w:p>
          <w:p w14:paraId="57FC9319">
            <w:pPr>
              <w:spacing w:line="269" w:lineRule="auto"/>
              <w:rPr>
                <w:sz w:val="18"/>
                <w:szCs w:val="18"/>
              </w:rPr>
            </w:pPr>
          </w:p>
          <w:p w14:paraId="56FC3438">
            <w:pPr>
              <w:spacing w:before="68" w:line="254" w:lineRule="auto"/>
              <w:ind w:left="129" w:right="12"/>
              <w:rPr>
                <w:sz w:val="18"/>
                <w:szCs w:val="18"/>
              </w:rPr>
            </w:pPr>
            <w:r>
              <w:rPr>
                <w:spacing w:val="-2"/>
                <w:sz w:val="18"/>
                <w:szCs w:val="18"/>
              </w:rPr>
              <w:t>易制毒甲</w:t>
            </w:r>
            <w:r>
              <w:rPr>
                <w:spacing w:val="-1"/>
                <w:sz w:val="18"/>
                <w:szCs w:val="18"/>
              </w:rPr>
              <w:t>苯(已清料)</w:t>
            </w:r>
            <w:r>
              <w:rPr>
                <w:spacing w:val="-2"/>
                <w:sz w:val="18"/>
                <w:szCs w:val="18"/>
              </w:rPr>
              <w:t>易制毒盐</w:t>
            </w:r>
            <w:r>
              <w:rPr>
                <w:spacing w:val="-1"/>
                <w:sz w:val="18"/>
                <w:szCs w:val="18"/>
              </w:rPr>
              <w:t>酸(已清料)</w:t>
            </w:r>
          </w:p>
        </w:tc>
        <w:tc>
          <w:tcPr>
            <w:tcW w:w="1847" w:type="dxa"/>
            <w:vMerge w:val="restart"/>
            <w:tcBorders>
              <w:tl2br w:val="nil"/>
              <w:tr2bl w:val="nil"/>
            </w:tcBorders>
          </w:tcPr>
          <w:p w14:paraId="07BD8807">
            <w:pPr>
              <w:spacing w:line="331" w:lineRule="auto"/>
              <w:rPr>
                <w:sz w:val="18"/>
                <w:szCs w:val="18"/>
              </w:rPr>
            </w:pPr>
          </w:p>
          <w:p w14:paraId="7D97FF22">
            <w:pPr>
              <w:rPr>
                <w:sz w:val="18"/>
                <w:szCs w:val="18"/>
              </w:rPr>
            </w:pPr>
          </w:p>
          <w:p w14:paraId="0648D7E7">
            <w:pPr>
              <w:rPr>
                <w:sz w:val="18"/>
                <w:szCs w:val="18"/>
              </w:rPr>
            </w:pPr>
            <w:r>
              <w:rPr>
                <w:rFonts w:eastAsia="Times New Roman"/>
                <w:spacing w:val="-2"/>
                <w:sz w:val="18"/>
                <w:szCs w:val="18"/>
              </w:rPr>
              <w:t>2-</w:t>
            </w:r>
            <w:r>
              <w:rPr>
                <w:spacing w:val="-2"/>
                <w:sz w:val="18"/>
                <w:szCs w:val="18"/>
              </w:rPr>
              <w:t>氯</w:t>
            </w:r>
            <w:r>
              <w:rPr>
                <w:rFonts w:eastAsia="Times New Roman"/>
                <w:spacing w:val="-2"/>
                <w:sz w:val="18"/>
                <w:szCs w:val="18"/>
              </w:rPr>
              <w:t>-4-</w:t>
            </w:r>
            <w:r>
              <w:rPr>
                <w:spacing w:val="-2"/>
                <w:sz w:val="18"/>
                <w:szCs w:val="18"/>
              </w:rPr>
              <w:t>硝基苯胺(停产)氯化亚砜(已清</w:t>
            </w:r>
            <w:r>
              <w:rPr>
                <w:spacing w:val="-1"/>
                <w:sz w:val="18"/>
                <w:szCs w:val="18"/>
              </w:rPr>
              <w:t>料)</w:t>
            </w:r>
          </w:p>
          <w:p w14:paraId="78B518D1">
            <w:pPr>
              <w:rPr>
                <w:sz w:val="18"/>
                <w:szCs w:val="18"/>
              </w:rPr>
            </w:pPr>
            <w:r>
              <w:rPr>
                <w:spacing w:val="-10"/>
                <w:sz w:val="18"/>
                <w:szCs w:val="18"/>
              </w:rPr>
              <w:t>甲</w:t>
            </w:r>
            <w:r>
              <w:rPr>
                <w:spacing w:val="-7"/>
                <w:sz w:val="18"/>
                <w:szCs w:val="18"/>
              </w:rPr>
              <w:t>苯</w:t>
            </w:r>
            <w:r>
              <w:rPr>
                <w:spacing w:val="-5"/>
                <w:sz w:val="18"/>
                <w:szCs w:val="18"/>
              </w:rPr>
              <w:t>(已清料)</w:t>
            </w:r>
            <w:r>
              <w:rPr>
                <w:spacing w:val="-7"/>
                <w:sz w:val="18"/>
                <w:szCs w:val="18"/>
              </w:rPr>
              <w:t>醇</w:t>
            </w:r>
            <w:r>
              <w:rPr>
                <w:spacing w:val="-5"/>
                <w:sz w:val="18"/>
                <w:szCs w:val="18"/>
              </w:rPr>
              <w:t>已清料)</w:t>
            </w:r>
          </w:p>
          <w:p w14:paraId="74E8F31C">
            <w:pPr>
              <w:rPr>
                <w:sz w:val="18"/>
                <w:szCs w:val="18"/>
              </w:rPr>
            </w:pPr>
            <w:r>
              <w:rPr>
                <w:spacing w:val="-6"/>
                <w:sz w:val="18"/>
                <w:szCs w:val="18"/>
              </w:rPr>
              <w:t>乙</w:t>
            </w:r>
            <w:r>
              <w:rPr>
                <w:spacing w:val="-4"/>
                <w:sz w:val="18"/>
                <w:szCs w:val="18"/>
              </w:rPr>
              <w:t>醇胺(已清料)</w:t>
            </w:r>
            <w:r>
              <w:rPr>
                <w:spacing w:val="-2"/>
                <w:sz w:val="18"/>
                <w:szCs w:val="18"/>
              </w:rPr>
              <w:t>盐酸 (已清料)</w:t>
            </w:r>
          </w:p>
          <w:p w14:paraId="1E2CEDB2">
            <w:pPr>
              <w:rPr>
                <w:sz w:val="18"/>
                <w:szCs w:val="18"/>
              </w:rPr>
            </w:pPr>
            <w:r>
              <w:rPr>
                <w:spacing w:val="-2"/>
                <w:sz w:val="18"/>
                <w:szCs w:val="18"/>
              </w:rPr>
              <w:t>氢氧化钠(已清料)</w:t>
            </w:r>
            <w:r>
              <w:rPr>
                <w:spacing w:val="-7"/>
                <w:sz w:val="18"/>
                <w:szCs w:val="18"/>
              </w:rPr>
              <w:t>乙</w:t>
            </w:r>
            <w:r>
              <w:rPr>
                <w:spacing w:val="-5"/>
                <w:sz w:val="18"/>
                <w:szCs w:val="18"/>
              </w:rPr>
              <w:t>醇</w:t>
            </w:r>
          </w:p>
          <w:p w14:paraId="76199F1B">
            <w:pPr>
              <w:rPr>
                <w:sz w:val="18"/>
                <w:szCs w:val="18"/>
              </w:rPr>
            </w:pPr>
            <w:r>
              <w:rPr>
                <w:spacing w:val="-2"/>
                <w:sz w:val="18"/>
                <w:szCs w:val="18"/>
              </w:rPr>
              <w:t>无水哌嗪(</w:t>
            </w:r>
            <w:r>
              <w:rPr>
                <w:spacing w:val="-1"/>
                <w:sz w:val="18"/>
                <w:szCs w:val="18"/>
              </w:rPr>
              <w:t>已清料)</w:t>
            </w:r>
          </w:p>
        </w:tc>
        <w:tc>
          <w:tcPr>
            <w:tcW w:w="757" w:type="dxa"/>
            <w:vMerge w:val="restart"/>
            <w:tcBorders>
              <w:tl2br w:val="nil"/>
              <w:tr2bl w:val="nil"/>
            </w:tcBorders>
          </w:tcPr>
          <w:p w14:paraId="532FC673">
            <w:pPr>
              <w:spacing w:line="268" w:lineRule="auto"/>
              <w:rPr>
                <w:sz w:val="18"/>
                <w:szCs w:val="18"/>
              </w:rPr>
            </w:pPr>
          </w:p>
          <w:p w14:paraId="28254E27">
            <w:pPr>
              <w:spacing w:line="268" w:lineRule="auto"/>
              <w:rPr>
                <w:sz w:val="18"/>
                <w:szCs w:val="18"/>
              </w:rPr>
            </w:pPr>
          </w:p>
          <w:p w14:paraId="406EEE7B">
            <w:pPr>
              <w:spacing w:line="268" w:lineRule="auto"/>
              <w:rPr>
                <w:sz w:val="18"/>
                <w:szCs w:val="18"/>
              </w:rPr>
            </w:pPr>
          </w:p>
          <w:p w14:paraId="39D76110">
            <w:pPr>
              <w:spacing w:line="268" w:lineRule="auto"/>
              <w:rPr>
                <w:sz w:val="18"/>
                <w:szCs w:val="18"/>
              </w:rPr>
            </w:pPr>
          </w:p>
          <w:p w14:paraId="3014C749">
            <w:pPr>
              <w:spacing w:line="268" w:lineRule="auto"/>
              <w:rPr>
                <w:sz w:val="18"/>
                <w:szCs w:val="18"/>
              </w:rPr>
            </w:pPr>
          </w:p>
          <w:p w14:paraId="22E9B7A1">
            <w:pPr>
              <w:spacing w:line="269" w:lineRule="auto"/>
              <w:rPr>
                <w:sz w:val="18"/>
                <w:szCs w:val="18"/>
              </w:rPr>
            </w:pPr>
          </w:p>
          <w:p w14:paraId="05AAE0C4">
            <w:pPr>
              <w:spacing w:before="21" w:line="223" w:lineRule="auto"/>
              <w:rPr>
                <w:sz w:val="18"/>
                <w:szCs w:val="18"/>
              </w:rPr>
            </w:pPr>
            <w:r>
              <w:rPr>
                <w:sz w:val="18"/>
                <w:szCs w:val="18"/>
              </w:rPr>
              <w:t>区块一</w:t>
            </w:r>
          </w:p>
        </w:tc>
      </w:tr>
      <w:tr w14:paraId="51993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05" w:type="dxa"/>
            <w:vMerge w:val="continue"/>
            <w:tcBorders>
              <w:tl2br w:val="nil"/>
              <w:tr2bl w:val="nil"/>
            </w:tcBorders>
          </w:tcPr>
          <w:p w14:paraId="09395440">
            <w:pPr>
              <w:rPr>
                <w:sz w:val="18"/>
                <w:szCs w:val="18"/>
              </w:rPr>
            </w:pPr>
          </w:p>
        </w:tc>
        <w:tc>
          <w:tcPr>
            <w:tcW w:w="1061" w:type="dxa"/>
            <w:vMerge w:val="continue"/>
            <w:tcBorders>
              <w:tl2br w:val="nil"/>
              <w:tr2bl w:val="nil"/>
            </w:tcBorders>
          </w:tcPr>
          <w:p w14:paraId="7D4B12D4">
            <w:pPr>
              <w:rPr>
                <w:sz w:val="18"/>
                <w:szCs w:val="18"/>
              </w:rPr>
            </w:pPr>
          </w:p>
        </w:tc>
        <w:tc>
          <w:tcPr>
            <w:tcW w:w="2016" w:type="dxa"/>
            <w:tcBorders>
              <w:tl2br w:val="nil"/>
              <w:tr2bl w:val="nil"/>
            </w:tcBorders>
          </w:tcPr>
          <w:p w14:paraId="1EE1D6A5">
            <w:pPr>
              <w:spacing w:before="35" w:line="234" w:lineRule="auto"/>
              <w:ind w:left="171"/>
              <w:rPr>
                <w:sz w:val="18"/>
                <w:szCs w:val="18"/>
              </w:rPr>
            </w:pPr>
            <w:r>
              <w:rPr>
                <w:rFonts w:eastAsia="Times New Roman"/>
                <w:spacing w:val="-1"/>
                <w:sz w:val="18"/>
                <w:szCs w:val="18"/>
              </w:rPr>
              <w:t>25</w:t>
            </w:r>
            <w:r>
              <w:rPr>
                <w:rFonts w:eastAsia="Times New Roman"/>
                <w:sz w:val="18"/>
                <w:szCs w:val="18"/>
              </w:rPr>
              <w:t xml:space="preserve">0 </w:t>
            </w:r>
            <w:r>
              <w:rPr>
                <w:sz w:val="18"/>
                <w:szCs w:val="18"/>
              </w:rPr>
              <w:t>吨</w:t>
            </w:r>
            <w:r>
              <w:rPr>
                <w:rFonts w:eastAsia="Times New Roman"/>
                <w:sz w:val="18"/>
                <w:szCs w:val="18"/>
              </w:rPr>
              <w:t>/</w:t>
            </w:r>
            <w:r>
              <w:rPr>
                <w:sz w:val="18"/>
                <w:szCs w:val="18"/>
              </w:rPr>
              <w:t>年氯硝</w:t>
            </w:r>
          </w:p>
          <w:p w14:paraId="0B019D4E">
            <w:pPr>
              <w:spacing w:before="4" w:line="220" w:lineRule="auto"/>
              <w:ind w:left="177"/>
              <w:rPr>
                <w:sz w:val="18"/>
                <w:szCs w:val="18"/>
              </w:rPr>
            </w:pPr>
            <w:r>
              <w:rPr>
                <w:spacing w:val="-1"/>
                <w:sz w:val="18"/>
                <w:szCs w:val="18"/>
              </w:rPr>
              <w:t>柳胺乙醇胺</w:t>
            </w:r>
            <w:r>
              <w:rPr>
                <w:sz w:val="18"/>
                <w:szCs w:val="18"/>
              </w:rPr>
              <w:t>盐</w:t>
            </w:r>
          </w:p>
          <w:p w14:paraId="53410787">
            <w:pPr>
              <w:spacing w:before="23" w:line="214" w:lineRule="auto"/>
              <w:ind w:left="394"/>
              <w:rPr>
                <w:sz w:val="18"/>
                <w:szCs w:val="18"/>
              </w:rPr>
            </w:pPr>
            <w:r>
              <w:rPr>
                <w:spacing w:val="20"/>
                <w:sz w:val="18"/>
                <w:szCs w:val="18"/>
              </w:rPr>
              <w:t>(停产)</w:t>
            </w:r>
          </w:p>
        </w:tc>
        <w:tc>
          <w:tcPr>
            <w:tcW w:w="1578" w:type="dxa"/>
            <w:vMerge w:val="continue"/>
            <w:tcBorders>
              <w:tl2br w:val="nil"/>
              <w:tr2bl w:val="nil"/>
            </w:tcBorders>
          </w:tcPr>
          <w:p w14:paraId="26C812C7">
            <w:pPr>
              <w:rPr>
                <w:sz w:val="18"/>
                <w:szCs w:val="18"/>
              </w:rPr>
            </w:pPr>
          </w:p>
        </w:tc>
        <w:tc>
          <w:tcPr>
            <w:tcW w:w="871" w:type="dxa"/>
            <w:vMerge w:val="continue"/>
            <w:tcBorders>
              <w:tl2br w:val="nil"/>
              <w:tr2bl w:val="nil"/>
            </w:tcBorders>
          </w:tcPr>
          <w:p w14:paraId="27EF8C0A">
            <w:pPr>
              <w:rPr>
                <w:sz w:val="18"/>
                <w:szCs w:val="18"/>
              </w:rPr>
            </w:pPr>
          </w:p>
        </w:tc>
        <w:tc>
          <w:tcPr>
            <w:tcW w:w="1091" w:type="dxa"/>
            <w:vMerge w:val="continue"/>
            <w:tcBorders>
              <w:tl2br w:val="nil"/>
              <w:tr2bl w:val="nil"/>
            </w:tcBorders>
          </w:tcPr>
          <w:p w14:paraId="655C9101">
            <w:pPr>
              <w:rPr>
                <w:sz w:val="18"/>
                <w:szCs w:val="18"/>
              </w:rPr>
            </w:pPr>
          </w:p>
        </w:tc>
        <w:tc>
          <w:tcPr>
            <w:tcW w:w="859" w:type="dxa"/>
            <w:vMerge w:val="continue"/>
            <w:tcBorders>
              <w:tl2br w:val="nil"/>
              <w:tr2bl w:val="nil"/>
            </w:tcBorders>
          </w:tcPr>
          <w:p w14:paraId="3B56E10B">
            <w:pPr>
              <w:rPr>
                <w:sz w:val="18"/>
                <w:szCs w:val="18"/>
              </w:rPr>
            </w:pPr>
          </w:p>
        </w:tc>
        <w:tc>
          <w:tcPr>
            <w:tcW w:w="1076" w:type="dxa"/>
            <w:vMerge w:val="continue"/>
            <w:tcBorders>
              <w:tl2br w:val="nil"/>
              <w:tr2bl w:val="nil"/>
            </w:tcBorders>
          </w:tcPr>
          <w:p w14:paraId="59D89D6E">
            <w:pPr>
              <w:rPr>
                <w:sz w:val="18"/>
                <w:szCs w:val="18"/>
              </w:rPr>
            </w:pPr>
          </w:p>
        </w:tc>
        <w:tc>
          <w:tcPr>
            <w:tcW w:w="1391" w:type="dxa"/>
            <w:vMerge w:val="continue"/>
            <w:tcBorders>
              <w:tl2br w:val="nil"/>
              <w:tr2bl w:val="nil"/>
            </w:tcBorders>
          </w:tcPr>
          <w:p w14:paraId="6FDC670D">
            <w:pPr>
              <w:rPr>
                <w:sz w:val="18"/>
                <w:szCs w:val="18"/>
              </w:rPr>
            </w:pPr>
          </w:p>
        </w:tc>
        <w:tc>
          <w:tcPr>
            <w:tcW w:w="957" w:type="dxa"/>
            <w:vMerge w:val="continue"/>
            <w:tcBorders>
              <w:tl2br w:val="nil"/>
              <w:tr2bl w:val="nil"/>
            </w:tcBorders>
          </w:tcPr>
          <w:p w14:paraId="0A820B92">
            <w:pPr>
              <w:rPr>
                <w:sz w:val="18"/>
                <w:szCs w:val="18"/>
              </w:rPr>
            </w:pPr>
          </w:p>
        </w:tc>
        <w:tc>
          <w:tcPr>
            <w:tcW w:w="1313" w:type="dxa"/>
            <w:vMerge w:val="continue"/>
            <w:tcBorders>
              <w:tl2br w:val="nil"/>
              <w:tr2bl w:val="nil"/>
            </w:tcBorders>
          </w:tcPr>
          <w:p w14:paraId="697F622C">
            <w:pPr>
              <w:rPr>
                <w:sz w:val="18"/>
                <w:szCs w:val="18"/>
              </w:rPr>
            </w:pPr>
          </w:p>
        </w:tc>
        <w:tc>
          <w:tcPr>
            <w:tcW w:w="1847" w:type="dxa"/>
            <w:vMerge w:val="continue"/>
            <w:tcBorders>
              <w:tl2br w:val="nil"/>
              <w:tr2bl w:val="nil"/>
            </w:tcBorders>
          </w:tcPr>
          <w:p w14:paraId="1780BDB2">
            <w:pPr>
              <w:rPr>
                <w:sz w:val="18"/>
                <w:szCs w:val="18"/>
              </w:rPr>
            </w:pPr>
          </w:p>
        </w:tc>
        <w:tc>
          <w:tcPr>
            <w:tcW w:w="757" w:type="dxa"/>
            <w:vMerge w:val="continue"/>
            <w:tcBorders>
              <w:tl2br w:val="nil"/>
              <w:tr2bl w:val="nil"/>
            </w:tcBorders>
          </w:tcPr>
          <w:p w14:paraId="1C5DD338">
            <w:pPr>
              <w:rPr>
                <w:sz w:val="18"/>
                <w:szCs w:val="18"/>
              </w:rPr>
            </w:pPr>
          </w:p>
        </w:tc>
      </w:tr>
      <w:tr w14:paraId="6CF19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05" w:type="dxa"/>
            <w:vMerge w:val="continue"/>
            <w:tcBorders>
              <w:tl2br w:val="nil"/>
              <w:tr2bl w:val="nil"/>
            </w:tcBorders>
          </w:tcPr>
          <w:p w14:paraId="381C8400">
            <w:pPr>
              <w:rPr>
                <w:sz w:val="18"/>
                <w:szCs w:val="18"/>
              </w:rPr>
            </w:pPr>
          </w:p>
        </w:tc>
        <w:tc>
          <w:tcPr>
            <w:tcW w:w="1061" w:type="dxa"/>
            <w:vMerge w:val="continue"/>
            <w:tcBorders>
              <w:tl2br w:val="nil"/>
              <w:tr2bl w:val="nil"/>
            </w:tcBorders>
          </w:tcPr>
          <w:p w14:paraId="79C71819">
            <w:pPr>
              <w:rPr>
                <w:sz w:val="18"/>
                <w:szCs w:val="18"/>
              </w:rPr>
            </w:pPr>
          </w:p>
        </w:tc>
        <w:tc>
          <w:tcPr>
            <w:tcW w:w="2016" w:type="dxa"/>
            <w:tcBorders>
              <w:tl2br w:val="nil"/>
              <w:tr2bl w:val="nil"/>
            </w:tcBorders>
          </w:tcPr>
          <w:p w14:paraId="2B311DE7">
            <w:pPr>
              <w:spacing w:before="31" w:line="232" w:lineRule="auto"/>
              <w:ind w:left="178" w:right="158" w:hanging="12"/>
              <w:rPr>
                <w:sz w:val="18"/>
                <w:szCs w:val="18"/>
              </w:rPr>
            </w:pPr>
            <w:r>
              <w:rPr>
                <w:rFonts w:eastAsia="Times New Roman"/>
                <w:spacing w:val="-8"/>
                <w:sz w:val="18"/>
                <w:szCs w:val="18"/>
              </w:rPr>
              <w:t>6</w:t>
            </w:r>
            <w:r>
              <w:rPr>
                <w:rFonts w:eastAsia="Times New Roman"/>
                <w:spacing w:val="-5"/>
                <w:sz w:val="18"/>
                <w:szCs w:val="18"/>
              </w:rPr>
              <w:t>00</w:t>
            </w:r>
            <w:r>
              <w:rPr>
                <w:spacing w:val="-5"/>
                <w:sz w:val="18"/>
                <w:szCs w:val="18"/>
              </w:rPr>
              <w:t>吨</w:t>
            </w:r>
            <w:r>
              <w:rPr>
                <w:rFonts w:eastAsia="Times New Roman"/>
                <w:spacing w:val="-5"/>
                <w:sz w:val="18"/>
                <w:szCs w:val="18"/>
              </w:rPr>
              <w:t>/</w:t>
            </w:r>
            <w:r>
              <w:rPr>
                <w:spacing w:val="-5"/>
                <w:sz w:val="18"/>
                <w:szCs w:val="18"/>
              </w:rPr>
              <w:t>年</w:t>
            </w:r>
            <w:r>
              <w:rPr>
                <w:rFonts w:eastAsia="Times New Roman"/>
                <w:spacing w:val="-5"/>
                <w:sz w:val="18"/>
                <w:szCs w:val="18"/>
              </w:rPr>
              <w:t>50%</w:t>
            </w:r>
            <w:r>
              <w:rPr>
                <w:spacing w:val="-2"/>
                <w:sz w:val="18"/>
                <w:szCs w:val="18"/>
              </w:rPr>
              <w:t>杀螺</w:t>
            </w:r>
            <w:r>
              <w:rPr>
                <w:spacing w:val="-1"/>
                <w:sz w:val="18"/>
                <w:szCs w:val="18"/>
              </w:rPr>
              <w:t>胺乙醇胺</w:t>
            </w:r>
            <w:r>
              <w:rPr>
                <w:spacing w:val="-2"/>
                <w:sz w:val="18"/>
                <w:szCs w:val="18"/>
              </w:rPr>
              <w:t>盐</w:t>
            </w:r>
            <w:r>
              <w:rPr>
                <w:spacing w:val="-1"/>
                <w:sz w:val="18"/>
                <w:szCs w:val="18"/>
              </w:rPr>
              <w:t>可湿性粉剂</w:t>
            </w:r>
          </w:p>
        </w:tc>
        <w:tc>
          <w:tcPr>
            <w:tcW w:w="1578" w:type="dxa"/>
            <w:vMerge w:val="continue"/>
            <w:tcBorders>
              <w:tl2br w:val="nil"/>
              <w:tr2bl w:val="nil"/>
            </w:tcBorders>
          </w:tcPr>
          <w:p w14:paraId="68C0C221">
            <w:pPr>
              <w:rPr>
                <w:sz w:val="18"/>
                <w:szCs w:val="18"/>
              </w:rPr>
            </w:pPr>
          </w:p>
        </w:tc>
        <w:tc>
          <w:tcPr>
            <w:tcW w:w="871" w:type="dxa"/>
            <w:vMerge w:val="continue"/>
            <w:tcBorders>
              <w:tl2br w:val="nil"/>
              <w:tr2bl w:val="nil"/>
            </w:tcBorders>
          </w:tcPr>
          <w:p w14:paraId="00D9DB1D">
            <w:pPr>
              <w:rPr>
                <w:sz w:val="18"/>
                <w:szCs w:val="18"/>
              </w:rPr>
            </w:pPr>
          </w:p>
        </w:tc>
        <w:tc>
          <w:tcPr>
            <w:tcW w:w="1091" w:type="dxa"/>
            <w:vMerge w:val="continue"/>
            <w:tcBorders>
              <w:tl2br w:val="nil"/>
              <w:tr2bl w:val="nil"/>
            </w:tcBorders>
          </w:tcPr>
          <w:p w14:paraId="12C0B3F9">
            <w:pPr>
              <w:rPr>
                <w:sz w:val="18"/>
                <w:szCs w:val="18"/>
              </w:rPr>
            </w:pPr>
          </w:p>
        </w:tc>
        <w:tc>
          <w:tcPr>
            <w:tcW w:w="859" w:type="dxa"/>
            <w:vMerge w:val="continue"/>
            <w:tcBorders>
              <w:tl2br w:val="nil"/>
              <w:tr2bl w:val="nil"/>
            </w:tcBorders>
          </w:tcPr>
          <w:p w14:paraId="4CC08AA3">
            <w:pPr>
              <w:rPr>
                <w:sz w:val="18"/>
                <w:szCs w:val="18"/>
              </w:rPr>
            </w:pPr>
          </w:p>
        </w:tc>
        <w:tc>
          <w:tcPr>
            <w:tcW w:w="1076" w:type="dxa"/>
            <w:vMerge w:val="continue"/>
            <w:tcBorders>
              <w:tl2br w:val="nil"/>
              <w:tr2bl w:val="nil"/>
            </w:tcBorders>
          </w:tcPr>
          <w:p w14:paraId="24781752">
            <w:pPr>
              <w:rPr>
                <w:sz w:val="18"/>
                <w:szCs w:val="18"/>
              </w:rPr>
            </w:pPr>
          </w:p>
        </w:tc>
        <w:tc>
          <w:tcPr>
            <w:tcW w:w="1391" w:type="dxa"/>
            <w:vMerge w:val="continue"/>
            <w:tcBorders>
              <w:tl2br w:val="nil"/>
              <w:tr2bl w:val="nil"/>
            </w:tcBorders>
          </w:tcPr>
          <w:p w14:paraId="74A8F839">
            <w:pPr>
              <w:rPr>
                <w:sz w:val="18"/>
                <w:szCs w:val="18"/>
              </w:rPr>
            </w:pPr>
          </w:p>
        </w:tc>
        <w:tc>
          <w:tcPr>
            <w:tcW w:w="957" w:type="dxa"/>
            <w:vMerge w:val="continue"/>
            <w:tcBorders>
              <w:tl2br w:val="nil"/>
              <w:tr2bl w:val="nil"/>
            </w:tcBorders>
          </w:tcPr>
          <w:p w14:paraId="56550315">
            <w:pPr>
              <w:rPr>
                <w:sz w:val="18"/>
                <w:szCs w:val="18"/>
              </w:rPr>
            </w:pPr>
          </w:p>
        </w:tc>
        <w:tc>
          <w:tcPr>
            <w:tcW w:w="1313" w:type="dxa"/>
            <w:vMerge w:val="continue"/>
            <w:tcBorders>
              <w:tl2br w:val="nil"/>
              <w:tr2bl w:val="nil"/>
            </w:tcBorders>
          </w:tcPr>
          <w:p w14:paraId="46D55B22">
            <w:pPr>
              <w:rPr>
                <w:sz w:val="18"/>
                <w:szCs w:val="18"/>
              </w:rPr>
            </w:pPr>
          </w:p>
        </w:tc>
        <w:tc>
          <w:tcPr>
            <w:tcW w:w="1847" w:type="dxa"/>
            <w:vMerge w:val="continue"/>
            <w:tcBorders>
              <w:tl2br w:val="nil"/>
              <w:tr2bl w:val="nil"/>
            </w:tcBorders>
          </w:tcPr>
          <w:p w14:paraId="68522C41">
            <w:pPr>
              <w:rPr>
                <w:sz w:val="18"/>
                <w:szCs w:val="18"/>
              </w:rPr>
            </w:pPr>
          </w:p>
        </w:tc>
        <w:tc>
          <w:tcPr>
            <w:tcW w:w="757" w:type="dxa"/>
            <w:vMerge w:val="continue"/>
            <w:tcBorders>
              <w:tl2br w:val="nil"/>
              <w:tr2bl w:val="nil"/>
            </w:tcBorders>
          </w:tcPr>
          <w:p w14:paraId="4C4F3C43">
            <w:pPr>
              <w:rPr>
                <w:sz w:val="18"/>
                <w:szCs w:val="18"/>
              </w:rPr>
            </w:pPr>
          </w:p>
        </w:tc>
      </w:tr>
      <w:tr w14:paraId="5D2AEC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jc w:val="center"/>
        </w:trPr>
        <w:tc>
          <w:tcPr>
            <w:tcW w:w="505" w:type="dxa"/>
            <w:vMerge w:val="continue"/>
            <w:tcBorders>
              <w:tl2br w:val="nil"/>
              <w:tr2bl w:val="nil"/>
            </w:tcBorders>
          </w:tcPr>
          <w:p w14:paraId="48BD1D76">
            <w:pPr>
              <w:rPr>
                <w:sz w:val="18"/>
                <w:szCs w:val="18"/>
              </w:rPr>
            </w:pPr>
          </w:p>
        </w:tc>
        <w:tc>
          <w:tcPr>
            <w:tcW w:w="1061" w:type="dxa"/>
            <w:vMerge w:val="continue"/>
            <w:tcBorders>
              <w:tl2br w:val="nil"/>
              <w:tr2bl w:val="nil"/>
            </w:tcBorders>
          </w:tcPr>
          <w:p w14:paraId="539A1DBE">
            <w:pPr>
              <w:rPr>
                <w:sz w:val="18"/>
                <w:szCs w:val="18"/>
              </w:rPr>
            </w:pPr>
          </w:p>
        </w:tc>
        <w:tc>
          <w:tcPr>
            <w:tcW w:w="2016" w:type="dxa"/>
            <w:tcBorders>
              <w:tl2br w:val="nil"/>
              <w:tr2bl w:val="nil"/>
            </w:tcBorders>
          </w:tcPr>
          <w:p w14:paraId="2523AA80">
            <w:pPr>
              <w:spacing w:before="33" w:line="234" w:lineRule="auto"/>
              <w:ind w:left="165"/>
              <w:rPr>
                <w:sz w:val="18"/>
                <w:szCs w:val="18"/>
              </w:rPr>
            </w:pPr>
            <w:r>
              <w:rPr>
                <w:rFonts w:eastAsia="Times New Roman"/>
                <w:spacing w:val="-5"/>
                <w:sz w:val="18"/>
                <w:szCs w:val="18"/>
              </w:rPr>
              <w:t>300</w:t>
            </w:r>
            <w:r>
              <w:rPr>
                <w:spacing w:val="-5"/>
                <w:sz w:val="18"/>
                <w:szCs w:val="18"/>
              </w:rPr>
              <w:t>吨</w:t>
            </w:r>
            <w:r>
              <w:rPr>
                <w:rFonts w:eastAsia="Times New Roman"/>
                <w:spacing w:val="-5"/>
                <w:sz w:val="18"/>
                <w:szCs w:val="18"/>
              </w:rPr>
              <w:t>/</w:t>
            </w:r>
            <w:r>
              <w:rPr>
                <w:spacing w:val="-5"/>
                <w:sz w:val="18"/>
                <w:szCs w:val="18"/>
              </w:rPr>
              <w:t>年</w:t>
            </w:r>
            <w:r>
              <w:rPr>
                <w:rFonts w:eastAsia="Times New Roman"/>
                <w:spacing w:val="-5"/>
                <w:sz w:val="18"/>
                <w:szCs w:val="18"/>
              </w:rPr>
              <w:t>70%</w:t>
            </w:r>
            <w:r>
              <w:rPr>
                <w:spacing w:val="-2"/>
                <w:sz w:val="18"/>
                <w:szCs w:val="18"/>
              </w:rPr>
              <w:t>杀螺胺</w:t>
            </w:r>
            <w:r>
              <w:rPr>
                <w:spacing w:val="-1"/>
                <w:sz w:val="18"/>
                <w:szCs w:val="18"/>
              </w:rPr>
              <w:t>可湿性</w:t>
            </w:r>
            <w:r>
              <w:rPr>
                <w:spacing w:val="-2"/>
                <w:sz w:val="18"/>
                <w:szCs w:val="18"/>
              </w:rPr>
              <w:t>粉</w:t>
            </w:r>
            <w:r>
              <w:rPr>
                <w:spacing w:val="-1"/>
                <w:sz w:val="18"/>
                <w:szCs w:val="18"/>
              </w:rPr>
              <w:t>剂</w:t>
            </w:r>
          </w:p>
        </w:tc>
        <w:tc>
          <w:tcPr>
            <w:tcW w:w="1578" w:type="dxa"/>
            <w:vMerge w:val="continue"/>
            <w:tcBorders>
              <w:tl2br w:val="nil"/>
              <w:tr2bl w:val="nil"/>
            </w:tcBorders>
          </w:tcPr>
          <w:p w14:paraId="379477A5">
            <w:pPr>
              <w:rPr>
                <w:sz w:val="18"/>
                <w:szCs w:val="18"/>
              </w:rPr>
            </w:pPr>
          </w:p>
        </w:tc>
        <w:tc>
          <w:tcPr>
            <w:tcW w:w="871" w:type="dxa"/>
            <w:vMerge w:val="continue"/>
            <w:tcBorders>
              <w:tl2br w:val="nil"/>
              <w:tr2bl w:val="nil"/>
            </w:tcBorders>
          </w:tcPr>
          <w:p w14:paraId="6085FE12">
            <w:pPr>
              <w:rPr>
                <w:sz w:val="18"/>
                <w:szCs w:val="18"/>
              </w:rPr>
            </w:pPr>
          </w:p>
        </w:tc>
        <w:tc>
          <w:tcPr>
            <w:tcW w:w="1091" w:type="dxa"/>
            <w:vMerge w:val="continue"/>
            <w:tcBorders>
              <w:tl2br w:val="nil"/>
              <w:tr2bl w:val="nil"/>
            </w:tcBorders>
          </w:tcPr>
          <w:p w14:paraId="6406A97F">
            <w:pPr>
              <w:rPr>
                <w:sz w:val="18"/>
                <w:szCs w:val="18"/>
              </w:rPr>
            </w:pPr>
          </w:p>
        </w:tc>
        <w:tc>
          <w:tcPr>
            <w:tcW w:w="859" w:type="dxa"/>
            <w:vMerge w:val="continue"/>
            <w:tcBorders>
              <w:tl2br w:val="nil"/>
              <w:tr2bl w:val="nil"/>
            </w:tcBorders>
          </w:tcPr>
          <w:p w14:paraId="64F2B96B">
            <w:pPr>
              <w:rPr>
                <w:sz w:val="18"/>
                <w:szCs w:val="18"/>
              </w:rPr>
            </w:pPr>
          </w:p>
        </w:tc>
        <w:tc>
          <w:tcPr>
            <w:tcW w:w="1076" w:type="dxa"/>
            <w:vMerge w:val="continue"/>
            <w:tcBorders>
              <w:tl2br w:val="nil"/>
              <w:tr2bl w:val="nil"/>
            </w:tcBorders>
          </w:tcPr>
          <w:p w14:paraId="22958A98">
            <w:pPr>
              <w:rPr>
                <w:sz w:val="18"/>
                <w:szCs w:val="18"/>
              </w:rPr>
            </w:pPr>
          </w:p>
        </w:tc>
        <w:tc>
          <w:tcPr>
            <w:tcW w:w="1391" w:type="dxa"/>
            <w:vMerge w:val="continue"/>
            <w:tcBorders>
              <w:tl2br w:val="nil"/>
              <w:tr2bl w:val="nil"/>
            </w:tcBorders>
          </w:tcPr>
          <w:p w14:paraId="165E36C3">
            <w:pPr>
              <w:rPr>
                <w:sz w:val="18"/>
                <w:szCs w:val="18"/>
              </w:rPr>
            </w:pPr>
          </w:p>
        </w:tc>
        <w:tc>
          <w:tcPr>
            <w:tcW w:w="957" w:type="dxa"/>
            <w:vMerge w:val="continue"/>
            <w:tcBorders>
              <w:tl2br w:val="nil"/>
              <w:tr2bl w:val="nil"/>
            </w:tcBorders>
          </w:tcPr>
          <w:p w14:paraId="16D42E42">
            <w:pPr>
              <w:rPr>
                <w:sz w:val="18"/>
                <w:szCs w:val="18"/>
              </w:rPr>
            </w:pPr>
          </w:p>
        </w:tc>
        <w:tc>
          <w:tcPr>
            <w:tcW w:w="1313" w:type="dxa"/>
            <w:vMerge w:val="continue"/>
            <w:tcBorders>
              <w:tl2br w:val="nil"/>
              <w:tr2bl w:val="nil"/>
            </w:tcBorders>
          </w:tcPr>
          <w:p w14:paraId="3BCC6BA5">
            <w:pPr>
              <w:rPr>
                <w:sz w:val="18"/>
                <w:szCs w:val="18"/>
              </w:rPr>
            </w:pPr>
          </w:p>
        </w:tc>
        <w:tc>
          <w:tcPr>
            <w:tcW w:w="1847" w:type="dxa"/>
            <w:vMerge w:val="continue"/>
            <w:tcBorders>
              <w:tl2br w:val="nil"/>
              <w:tr2bl w:val="nil"/>
            </w:tcBorders>
          </w:tcPr>
          <w:p w14:paraId="12B09C20">
            <w:pPr>
              <w:rPr>
                <w:sz w:val="18"/>
                <w:szCs w:val="18"/>
              </w:rPr>
            </w:pPr>
          </w:p>
        </w:tc>
        <w:tc>
          <w:tcPr>
            <w:tcW w:w="757" w:type="dxa"/>
            <w:vMerge w:val="continue"/>
            <w:tcBorders>
              <w:tl2br w:val="nil"/>
              <w:tr2bl w:val="nil"/>
            </w:tcBorders>
          </w:tcPr>
          <w:p w14:paraId="2062A761">
            <w:pPr>
              <w:rPr>
                <w:sz w:val="18"/>
                <w:szCs w:val="18"/>
              </w:rPr>
            </w:pPr>
          </w:p>
        </w:tc>
      </w:tr>
      <w:tr w14:paraId="13CA8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jc w:val="center"/>
        </w:trPr>
        <w:tc>
          <w:tcPr>
            <w:tcW w:w="505" w:type="dxa"/>
            <w:vMerge w:val="continue"/>
            <w:tcBorders>
              <w:tl2br w:val="nil"/>
              <w:tr2bl w:val="nil"/>
            </w:tcBorders>
          </w:tcPr>
          <w:p w14:paraId="2F375E65">
            <w:pPr>
              <w:rPr>
                <w:sz w:val="18"/>
                <w:szCs w:val="18"/>
              </w:rPr>
            </w:pPr>
          </w:p>
        </w:tc>
        <w:tc>
          <w:tcPr>
            <w:tcW w:w="1061" w:type="dxa"/>
            <w:vMerge w:val="continue"/>
            <w:tcBorders>
              <w:tl2br w:val="nil"/>
              <w:tr2bl w:val="nil"/>
            </w:tcBorders>
          </w:tcPr>
          <w:p w14:paraId="7FB8C5BC">
            <w:pPr>
              <w:rPr>
                <w:sz w:val="18"/>
                <w:szCs w:val="18"/>
              </w:rPr>
            </w:pPr>
          </w:p>
        </w:tc>
        <w:tc>
          <w:tcPr>
            <w:tcW w:w="2016" w:type="dxa"/>
            <w:tcBorders>
              <w:tl2br w:val="nil"/>
              <w:tr2bl w:val="nil"/>
            </w:tcBorders>
          </w:tcPr>
          <w:p w14:paraId="4C5C354C">
            <w:pPr>
              <w:spacing w:before="34" w:line="234" w:lineRule="auto"/>
              <w:ind w:left="131"/>
              <w:rPr>
                <w:sz w:val="18"/>
                <w:szCs w:val="18"/>
              </w:rPr>
            </w:pPr>
            <w:r>
              <w:rPr>
                <w:rFonts w:eastAsia="Times New Roman"/>
                <w:spacing w:val="-12"/>
                <w:sz w:val="18"/>
                <w:szCs w:val="18"/>
              </w:rPr>
              <w:t>1</w:t>
            </w:r>
            <w:r>
              <w:rPr>
                <w:rFonts w:eastAsia="Times New Roman"/>
                <w:spacing w:val="-8"/>
                <w:sz w:val="18"/>
                <w:szCs w:val="18"/>
              </w:rPr>
              <w:t>0</w:t>
            </w:r>
            <w:r>
              <w:rPr>
                <w:rFonts w:eastAsia="Times New Roman"/>
                <w:spacing w:val="-6"/>
                <w:sz w:val="18"/>
                <w:szCs w:val="18"/>
              </w:rPr>
              <w:t>0</w:t>
            </w:r>
            <w:r>
              <w:rPr>
                <w:spacing w:val="-6"/>
                <w:sz w:val="18"/>
                <w:szCs w:val="18"/>
              </w:rPr>
              <w:t>吨</w:t>
            </w:r>
            <w:r>
              <w:rPr>
                <w:rFonts w:eastAsia="Times New Roman"/>
                <w:spacing w:val="-6"/>
                <w:sz w:val="18"/>
                <w:szCs w:val="18"/>
              </w:rPr>
              <w:t>/</w:t>
            </w:r>
            <w:r>
              <w:rPr>
                <w:spacing w:val="-6"/>
                <w:sz w:val="18"/>
                <w:szCs w:val="18"/>
              </w:rPr>
              <w:t>年</w:t>
            </w:r>
            <w:r>
              <w:rPr>
                <w:rFonts w:eastAsia="Times New Roman"/>
                <w:spacing w:val="-6"/>
                <w:sz w:val="18"/>
                <w:szCs w:val="18"/>
              </w:rPr>
              <w:t>4%</w:t>
            </w:r>
            <w:r>
              <w:rPr>
                <w:spacing w:val="-6"/>
                <w:sz w:val="18"/>
                <w:szCs w:val="18"/>
              </w:rPr>
              <w:t>杀</w:t>
            </w:r>
          </w:p>
          <w:p w14:paraId="40C48985">
            <w:pPr>
              <w:spacing w:before="7" w:line="221" w:lineRule="auto"/>
              <w:ind w:left="179"/>
              <w:rPr>
                <w:sz w:val="18"/>
                <w:szCs w:val="18"/>
              </w:rPr>
            </w:pPr>
            <w:r>
              <w:rPr>
                <w:spacing w:val="-2"/>
                <w:sz w:val="18"/>
                <w:szCs w:val="18"/>
              </w:rPr>
              <w:t>螺胺</w:t>
            </w:r>
            <w:r>
              <w:rPr>
                <w:spacing w:val="-1"/>
                <w:sz w:val="18"/>
                <w:szCs w:val="18"/>
              </w:rPr>
              <w:t>乙醇胺盐</w:t>
            </w:r>
            <w:r>
              <w:rPr>
                <w:spacing w:val="-2"/>
                <w:sz w:val="18"/>
                <w:szCs w:val="18"/>
              </w:rPr>
              <w:t>粉</w:t>
            </w:r>
            <w:r>
              <w:rPr>
                <w:spacing w:val="-1"/>
                <w:sz w:val="18"/>
                <w:szCs w:val="18"/>
              </w:rPr>
              <w:t>剂</w:t>
            </w:r>
          </w:p>
        </w:tc>
        <w:tc>
          <w:tcPr>
            <w:tcW w:w="1578" w:type="dxa"/>
            <w:vMerge w:val="continue"/>
            <w:tcBorders>
              <w:tl2br w:val="nil"/>
              <w:tr2bl w:val="nil"/>
            </w:tcBorders>
          </w:tcPr>
          <w:p w14:paraId="43C6F40C">
            <w:pPr>
              <w:rPr>
                <w:sz w:val="18"/>
                <w:szCs w:val="18"/>
              </w:rPr>
            </w:pPr>
          </w:p>
        </w:tc>
        <w:tc>
          <w:tcPr>
            <w:tcW w:w="871" w:type="dxa"/>
            <w:vMerge w:val="continue"/>
            <w:tcBorders>
              <w:tl2br w:val="nil"/>
              <w:tr2bl w:val="nil"/>
            </w:tcBorders>
          </w:tcPr>
          <w:p w14:paraId="1E432A9E">
            <w:pPr>
              <w:rPr>
                <w:sz w:val="18"/>
                <w:szCs w:val="18"/>
              </w:rPr>
            </w:pPr>
          </w:p>
        </w:tc>
        <w:tc>
          <w:tcPr>
            <w:tcW w:w="1091" w:type="dxa"/>
            <w:vMerge w:val="continue"/>
            <w:tcBorders>
              <w:tl2br w:val="nil"/>
              <w:tr2bl w:val="nil"/>
            </w:tcBorders>
          </w:tcPr>
          <w:p w14:paraId="041760DD">
            <w:pPr>
              <w:rPr>
                <w:sz w:val="18"/>
                <w:szCs w:val="18"/>
              </w:rPr>
            </w:pPr>
          </w:p>
        </w:tc>
        <w:tc>
          <w:tcPr>
            <w:tcW w:w="859" w:type="dxa"/>
            <w:vMerge w:val="continue"/>
            <w:tcBorders>
              <w:tl2br w:val="nil"/>
              <w:tr2bl w:val="nil"/>
            </w:tcBorders>
          </w:tcPr>
          <w:p w14:paraId="40DE4CC9">
            <w:pPr>
              <w:rPr>
                <w:sz w:val="18"/>
                <w:szCs w:val="18"/>
              </w:rPr>
            </w:pPr>
          </w:p>
        </w:tc>
        <w:tc>
          <w:tcPr>
            <w:tcW w:w="1076" w:type="dxa"/>
            <w:vMerge w:val="continue"/>
            <w:tcBorders>
              <w:tl2br w:val="nil"/>
              <w:tr2bl w:val="nil"/>
            </w:tcBorders>
          </w:tcPr>
          <w:p w14:paraId="0336DC8A">
            <w:pPr>
              <w:rPr>
                <w:sz w:val="18"/>
                <w:szCs w:val="18"/>
              </w:rPr>
            </w:pPr>
          </w:p>
        </w:tc>
        <w:tc>
          <w:tcPr>
            <w:tcW w:w="1391" w:type="dxa"/>
            <w:vMerge w:val="continue"/>
            <w:tcBorders>
              <w:tl2br w:val="nil"/>
              <w:tr2bl w:val="nil"/>
            </w:tcBorders>
          </w:tcPr>
          <w:p w14:paraId="038EB412">
            <w:pPr>
              <w:rPr>
                <w:sz w:val="18"/>
                <w:szCs w:val="18"/>
              </w:rPr>
            </w:pPr>
          </w:p>
        </w:tc>
        <w:tc>
          <w:tcPr>
            <w:tcW w:w="957" w:type="dxa"/>
            <w:vMerge w:val="continue"/>
            <w:tcBorders>
              <w:tl2br w:val="nil"/>
              <w:tr2bl w:val="nil"/>
            </w:tcBorders>
          </w:tcPr>
          <w:p w14:paraId="6F4995A3">
            <w:pPr>
              <w:rPr>
                <w:sz w:val="18"/>
                <w:szCs w:val="18"/>
              </w:rPr>
            </w:pPr>
          </w:p>
        </w:tc>
        <w:tc>
          <w:tcPr>
            <w:tcW w:w="1313" w:type="dxa"/>
            <w:vMerge w:val="continue"/>
            <w:tcBorders>
              <w:tl2br w:val="nil"/>
              <w:tr2bl w:val="nil"/>
            </w:tcBorders>
          </w:tcPr>
          <w:p w14:paraId="29C4E55F">
            <w:pPr>
              <w:rPr>
                <w:sz w:val="18"/>
                <w:szCs w:val="18"/>
              </w:rPr>
            </w:pPr>
          </w:p>
        </w:tc>
        <w:tc>
          <w:tcPr>
            <w:tcW w:w="1847" w:type="dxa"/>
            <w:vMerge w:val="continue"/>
            <w:tcBorders>
              <w:tl2br w:val="nil"/>
              <w:tr2bl w:val="nil"/>
            </w:tcBorders>
          </w:tcPr>
          <w:p w14:paraId="341D503D">
            <w:pPr>
              <w:rPr>
                <w:sz w:val="18"/>
                <w:szCs w:val="18"/>
              </w:rPr>
            </w:pPr>
          </w:p>
        </w:tc>
        <w:tc>
          <w:tcPr>
            <w:tcW w:w="757" w:type="dxa"/>
            <w:vMerge w:val="continue"/>
            <w:tcBorders>
              <w:tl2br w:val="nil"/>
              <w:tr2bl w:val="nil"/>
            </w:tcBorders>
          </w:tcPr>
          <w:p w14:paraId="2405EA25">
            <w:pPr>
              <w:rPr>
                <w:sz w:val="18"/>
                <w:szCs w:val="18"/>
              </w:rPr>
            </w:pPr>
          </w:p>
        </w:tc>
      </w:tr>
      <w:tr w14:paraId="009FE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505" w:type="dxa"/>
            <w:vMerge w:val="restart"/>
            <w:tcBorders>
              <w:tl2br w:val="nil"/>
              <w:tr2bl w:val="nil"/>
            </w:tcBorders>
          </w:tcPr>
          <w:p w14:paraId="4E16D1FF">
            <w:pPr>
              <w:spacing w:line="262" w:lineRule="auto"/>
              <w:rPr>
                <w:sz w:val="18"/>
                <w:szCs w:val="18"/>
              </w:rPr>
            </w:pPr>
          </w:p>
          <w:p w14:paraId="318D6104">
            <w:pPr>
              <w:spacing w:line="262" w:lineRule="auto"/>
              <w:rPr>
                <w:sz w:val="18"/>
                <w:szCs w:val="18"/>
              </w:rPr>
            </w:pPr>
          </w:p>
          <w:p w14:paraId="409F174E">
            <w:pPr>
              <w:spacing w:before="60" w:line="187" w:lineRule="auto"/>
              <w:ind w:left="397"/>
              <w:rPr>
                <w:rFonts w:eastAsia="Times New Roman"/>
                <w:sz w:val="18"/>
                <w:szCs w:val="18"/>
              </w:rPr>
            </w:pPr>
            <w:r>
              <w:rPr>
                <w:rFonts w:eastAsia="Times New Roman"/>
                <w:spacing w:val="-4"/>
                <w:sz w:val="18"/>
                <w:szCs w:val="18"/>
              </w:rPr>
              <w:t>3</w:t>
            </w:r>
            <w:r>
              <w:rPr>
                <w:rFonts w:eastAsia="Times New Roman"/>
                <w:spacing w:val="-2"/>
                <w:sz w:val="18"/>
                <w:szCs w:val="18"/>
              </w:rPr>
              <w:t>.</w:t>
            </w:r>
          </w:p>
        </w:tc>
        <w:tc>
          <w:tcPr>
            <w:tcW w:w="1061" w:type="dxa"/>
            <w:vMerge w:val="restart"/>
            <w:tcBorders>
              <w:tl2br w:val="nil"/>
              <w:tr2bl w:val="nil"/>
            </w:tcBorders>
          </w:tcPr>
          <w:p w14:paraId="74CA6A14">
            <w:pPr>
              <w:rPr>
                <w:sz w:val="18"/>
                <w:szCs w:val="18"/>
              </w:rPr>
            </w:pPr>
            <w:r>
              <w:rPr>
                <w:spacing w:val="-2"/>
                <w:sz w:val="18"/>
                <w:szCs w:val="18"/>
              </w:rPr>
              <w:t>安徽水</w:t>
            </w:r>
            <w:r>
              <w:rPr>
                <w:spacing w:val="-1"/>
                <w:sz w:val="18"/>
                <w:szCs w:val="18"/>
              </w:rPr>
              <w:t>卫士环保科技有限公</w:t>
            </w:r>
            <w:r>
              <w:rPr>
                <w:sz w:val="18"/>
                <w:szCs w:val="18"/>
              </w:rPr>
              <w:t>司</w:t>
            </w:r>
          </w:p>
        </w:tc>
        <w:tc>
          <w:tcPr>
            <w:tcW w:w="2016" w:type="dxa"/>
            <w:tcBorders>
              <w:tl2br w:val="nil"/>
              <w:tr2bl w:val="nil"/>
            </w:tcBorders>
          </w:tcPr>
          <w:p w14:paraId="6735208F">
            <w:pPr>
              <w:spacing w:before="77" w:line="245" w:lineRule="auto"/>
              <w:ind w:left="493" w:right="116" w:hanging="375"/>
              <w:rPr>
                <w:sz w:val="18"/>
                <w:szCs w:val="18"/>
              </w:rPr>
            </w:pPr>
            <w:r>
              <w:rPr>
                <w:rFonts w:eastAsia="Times New Roman"/>
                <w:spacing w:val="-1"/>
                <w:sz w:val="18"/>
                <w:szCs w:val="18"/>
              </w:rPr>
              <w:t>236</w:t>
            </w:r>
            <w:r>
              <w:rPr>
                <w:rFonts w:eastAsia="Times New Roman"/>
                <w:sz w:val="18"/>
                <w:szCs w:val="18"/>
              </w:rPr>
              <w:t>0</w:t>
            </w:r>
            <w:r>
              <w:rPr>
                <w:sz w:val="18"/>
                <w:szCs w:val="18"/>
              </w:rPr>
              <w:t>吨</w:t>
            </w:r>
            <w:r>
              <w:rPr>
                <w:rFonts w:eastAsia="Times New Roman"/>
                <w:sz w:val="18"/>
                <w:szCs w:val="18"/>
              </w:rPr>
              <w:t>/</w:t>
            </w:r>
            <w:r>
              <w:rPr>
                <w:sz w:val="18"/>
                <w:szCs w:val="18"/>
              </w:rPr>
              <w:t>年阻垢</w:t>
            </w:r>
            <w:r>
              <w:rPr>
                <w:spacing w:val="-2"/>
                <w:sz w:val="18"/>
                <w:szCs w:val="18"/>
              </w:rPr>
              <w:t>缓蚀</w:t>
            </w:r>
            <w:r>
              <w:rPr>
                <w:spacing w:val="-1"/>
                <w:sz w:val="18"/>
                <w:szCs w:val="18"/>
              </w:rPr>
              <w:t>剂</w:t>
            </w:r>
          </w:p>
        </w:tc>
        <w:tc>
          <w:tcPr>
            <w:tcW w:w="1578" w:type="dxa"/>
            <w:vMerge w:val="restart"/>
            <w:tcBorders>
              <w:tl2br w:val="nil"/>
              <w:tr2bl w:val="nil"/>
            </w:tcBorders>
          </w:tcPr>
          <w:p w14:paraId="15BE8BC3">
            <w:pPr>
              <w:spacing w:line="242" w:lineRule="auto"/>
              <w:rPr>
                <w:sz w:val="18"/>
                <w:szCs w:val="18"/>
              </w:rPr>
            </w:pPr>
          </w:p>
          <w:p w14:paraId="308DFEA2">
            <w:pPr>
              <w:spacing w:line="243" w:lineRule="auto"/>
              <w:rPr>
                <w:sz w:val="18"/>
                <w:szCs w:val="18"/>
              </w:rPr>
            </w:pPr>
          </w:p>
          <w:p w14:paraId="7AF8B3F6">
            <w:pPr>
              <w:spacing w:before="68" w:line="222" w:lineRule="auto"/>
              <w:ind w:left="730"/>
              <w:rPr>
                <w:sz w:val="18"/>
                <w:szCs w:val="18"/>
              </w:rPr>
            </w:pPr>
            <w:r>
              <w:rPr>
                <w:spacing w:val="-2"/>
                <w:sz w:val="18"/>
                <w:szCs w:val="18"/>
              </w:rPr>
              <w:t>不涉及</w:t>
            </w:r>
          </w:p>
        </w:tc>
        <w:tc>
          <w:tcPr>
            <w:tcW w:w="871" w:type="dxa"/>
            <w:vMerge w:val="restart"/>
            <w:tcBorders>
              <w:tl2br w:val="nil"/>
              <w:tr2bl w:val="nil"/>
            </w:tcBorders>
          </w:tcPr>
          <w:p w14:paraId="6CC16267">
            <w:pPr>
              <w:spacing w:line="262" w:lineRule="auto"/>
              <w:rPr>
                <w:sz w:val="18"/>
                <w:szCs w:val="18"/>
              </w:rPr>
            </w:pPr>
          </w:p>
          <w:p w14:paraId="67D6A88C">
            <w:pPr>
              <w:spacing w:line="262" w:lineRule="auto"/>
              <w:rPr>
                <w:sz w:val="18"/>
                <w:szCs w:val="18"/>
              </w:rPr>
            </w:pPr>
          </w:p>
          <w:p w14:paraId="20DBA429">
            <w:pPr>
              <w:spacing w:before="60" w:line="187" w:lineRule="auto"/>
              <w:ind w:left="479"/>
              <w:rPr>
                <w:rFonts w:eastAsia="Times New Roman"/>
                <w:sz w:val="18"/>
                <w:szCs w:val="18"/>
              </w:rPr>
            </w:pPr>
            <w:r>
              <w:rPr>
                <w:rFonts w:eastAsia="Times New Roman"/>
                <w:spacing w:val="-6"/>
                <w:sz w:val="18"/>
                <w:szCs w:val="18"/>
              </w:rPr>
              <w:t>15</w:t>
            </w:r>
          </w:p>
        </w:tc>
        <w:tc>
          <w:tcPr>
            <w:tcW w:w="1091" w:type="dxa"/>
            <w:vMerge w:val="restart"/>
            <w:tcBorders>
              <w:tl2br w:val="nil"/>
              <w:tr2bl w:val="nil"/>
            </w:tcBorders>
          </w:tcPr>
          <w:p w14:paraId="022A85B3">
            <w:pPr>
              <w:spacing w:line="262" w:lineRule="auto"/>
              <w:rPr>
                <w:sz w:val="18"/>
                <w:szCs w:val="18"/>
              </w:rPr>
            </w:pPr>
          </w:p>
          <w:p w14:paraId="72F6529F">
            <w:pPr>
              <w:spacing w:line="262" w:lineRule="auto"/>
              <w:rPr>
                <w:sz w:val="18"/>
                <w:szCs w:val="18"/>
              </w:rPr>
            </w:pPr>
          </w:p>
          <w:p w14:paraId="0A5A13C7">
            <w:pPr>
              <w:spacing w:before="60" w:line="187" w:lineRule="auto"/>
              <w:ind w:left="403"/>
              <w:rPr>
                <w:rFonts w:eastAsia="Times New Roman"/>
                <w:sz w:val="18"/>
                <w:szCs w:val="18"/>
              </w:rPr>
            </w:pPr>
            <w:r>
              <w:rPr>
                <w:rFonts w:eastAsia="Times New Roman"/>
                <w:spacing w:val="-5"/>
                <w:sz w:val="18"/>
                <w:szCs w:val="18"/>
              </w:rPr>
              <w:t>1</w:t>
            </w:r>
            <w:r>
              <w:rPr>
                <w:rFonts w:eastAsia="Times New Roman"/>
                <w:spacing w:val="-4"/>
                <w:sz w:val="18"/>
                <w:szCs w:val="18"/>
              </w:rPr>
              <w:t>6.6</w:t>
            </w:r>
          </w:p>
        </w:tc>
        <w:tc>
          <w:tcPr>
            <w:tcW w:w="859" w:type="dxa"/>
            <w:vMerge w:val="restart"/>
            <w:tcBorders>
              <w:tl2br w:val="nil"/>
              <w:tr2bl w:val="nil"/>
            </w:tcBorders>
          </w:tcPr>
          <w:p w14:paraId="4FB92966">
            <w:pPr>
              <w:spacing w:line="242" w:lineRule="auto"/>
              <w:rPr>
                <w:sz w:val="18"/>
                <w:szCs w:val="18"/>
              </w:rPr>
            </w:pPr>
          </w:p>
          <w:p w14:paraId="282E4D54">
            <w:pPr>
              <w:spacing w:line="243" w:lineRule="auto"/>
              <w:rPr>
                <w:sz w:val="18"/>
                <w:szCs w:val="18"/>
              </w:rPr>
            </w:pPr>
          </w:p>
          <w:p w14:paraId="19C6BA7C">
            <w:pPr>
              <w:spacing w:before="68" w:line="221" w:lineRule="auto"/>
              <w:ind w:left="366"/>
              <w:rPr>
                <w:sz w:val="18"/>
                <w:szCs w:val="18"/>
              </w:rPr>
            </w:pPr>
            <w:r>
              <w:rPr>
                <w:spacing w:val="-3"/>
                <w:sz w:val="18"/>
                <w:szCs w:val="18"/>
              </w:rPr>
              <w:t>投</w:t>
            </w:r>
            <w:r>
              <w:rPr>
                <w:spacing w:val="-2"/>
                <w:sz w:val="18"/>
                <w:szCs w:val="18"/>
              </w:rPr>
              <w:t>产</w:t>
            </w:r>
          </w:p>
        </w:tc>
        <w:tc>
          <w:tcPr>
            <w:tcW w:w="1076" w:type="dxa"/>
            <w:vMerge w:val="restart"/>
            <w:tcBorders>
              <w:tl2br w:val="nil"/>
              <w:tr2bl w:val="nil"/>
            </w:tcBorders>
          </w:tcPr>
          <w:p w14:paraId="5DC2EFE9">
            <w:pPr>
              <w:spacing w:line="425" w:lineRule="auto"/>
              <w:rPr>
                <w:sz w:val="18"/>
                <w:szCs w:val="18"/>
              </w:rPr>
            </w:pPr>
          </w:p>
          <w:p w14:paraId="4DEE38A9">
            <w:pPr>
              <w:spacing w:before="69" w:line="222" w:lineRule="auto"/>
              <w:ind w:left="334"/>
              <w:rPr>
                <w:sz w:val="18"/>
                <w:szCs w:val="18"/>
              </w:rPr>
            </w:pPr>
            <w:r>
              <w:rPr>
                <w:spacing w:val="-2"/>
                <w:sz w:val="18"/>
                <w:szCs w:val="18"/>
              </w:rPr>
              <w:t>不涉及</w:t>
            </w:r>
          </w:p>
        </w:tc>
        <w:tc>
          <w:tcPr>
            <w:tcW w:w="1391" w:type="dxa"/>
            <w:vMerge w:val="restart"/>
            <w:tcBorders>
              <w:tl2br w:val="nil"/>
              <w:tr2bl w:val="nil"/>
            </w:tcBorders>
          </w:tcPr>
          <w:p w14:paraId="5EA0C251">
            <w:pPr>
              <w:spacing w:line="425" w:lineRule="auto"/>
              <w:rPr>
                <w:sz w:val="18"/>
                <w:szCs w:val="18"/>
              </w:rPr>
            </w:pPr>
          </w:p>
          <w:p w14:paraId="0B96A3E4">
            <w:pPr>
              <w:spacing w:before="69" w:line="222" w:lineRule="auto"/>
              <w:rPr>
                <w:sz w:val="18"/>
                <w:szCs w:val="18"/>
              </w:rPr>
            </w:pPr>
            <w:r>
              <w:rPr>
                <w:spacing w:val="-2"/>
                <w:sz w:val="18"/>
                <w:szCs w:val="18"/>
              </w:rPr>
              <w:t>不涉及</w:t>
            </w:r>
          </w:p>
        </w:tc>
        <w:tc>
          <w:tcPr>
            <w:tcW w:w="957" w:type="dxa"/>
            <w:vMerge w:val="restart"/>
            <w:tcBorders>
              <w:tl2br w:val="nil"/>
              <w:tr2bl w:val="nil"/>
            </w:tcBorders>
          </w:tcPr>
          <w:p w14:paraId="09C0BD2D">
            <w:pPr>
              <w:spacing w:line="425" w:lineRule="auto"/>
              <w:rPr>
                <w:sz w:val="18"/>
                <w:szCs w:val="18"/>
              </w:rPr>
            </w:pPr>
          </w:p>
          <w:p w14:paraId="7AAB9589">
            <w:pPr>
              <w:spacing w:before="69" w:line="222" w:lineRule="auto"/>
              <w:rPr>
                <w:sz w:val="18"/>
                <w:szCs w:val="18"/>
              </w:rPr>
            </w:pPr>
            <w:r>
              <w:rPr>
                <w:spacing w:val="-2"/>
                <w:sz w:val="18"/>
                <w:szCs w:val="18"/>
              </w:rPr>
              <w:t>不涉及</w:t>
            </w:r>
          </w:p>
        </w:tc>
        <w:tc>
          <w:tcPr>
            <w:tcW w:w="1313" w:type="dxa"/>
            <w:vMerge w:val="restart"/>
            <w:tcBorders>
              <w:tl2br w:val="nil"/>
              <w:tr2bl w:val="nil"/>
            </w:tcBorders>
          </w:tcPr>
          <w:p w14:paraId="3DD2E45C">
            <w:pPr>
              <w:spacing w:line="425" w:lineRule="auto"/>
              <w:rPr>
                <w:sz w:val="18"/>
                <w:szCs w:val="18"/>
              </w:rPr>
            </w:pPr>
          </w:p>
          <w:p w14:paraId="7FA8D649">
            <w:pPr>
              <w:spacing w:before="69" w:line="222" w:lineRule="auto"/>
              <w:ind w:left="757"/>
              <w:rPr>
                <w:sz w:val="18"/>
                <w:szCs w:val="18"/>
              </w:rPr>
            </w:pPr>
            <w:r>
              <w:rPr>
                <w:spacing w:val="-2"/>
                <w:sz w:val="18"/>
                <w:szCs w:val="18"/>
              </w:rPr>
              <w:t>不涉及</w:t>
            </w:r>
          </w:p>
        </w:tc>
        <w:tc>
          <w:tcPr>
            <w:tcW w:w="1847" w:type="dxa"/>
            <w:vMerge w:val="restart"/>
            <w:tcBorders>
              <w:tl2br w:val="nil"/>
              <w:tr2bl w:val="nil"/>
            </w:tcBorders>
          </w:tcPr>
          <w:p w14:paraId="018E1790">
            <w:pPr>
              <w:spacing w:line="426" w:lineRule="auto"/>
              <w:rPr>
                <w:sz w:val="18"/>
                <w:szCs w:val="18"/>
              </w:rPr>
            </w:pPr>
          </w:p>
          <w:p w14:paraId="41974CF5">
            <w:pPr>
              <w:spacing w:before="68" w:line="219" w:lineRule="auto"/>
              <w:rPr>
                <w:sz w:val="18"/>
                <w:szCs w:val="18"/>
              </w:rPr>
            </w:pPr>
            <w:r>
              <w:rPr>
                <w:spacing w:val="-2"/>
                <w:sz w:val="18"/>
                <w:szCs w:val="18"/>
              </w:rPr>
              <w:t>氢</w:t>
            </w:r>
            <w:r>
              <w:rPr>
                <w:spacing w:val="-1"/>
                <w:sz w:val="18"/>
                <w:szCs w:val="18"/>
              </w:rPr>
              <w:t>氧化钠</w:t>
            </w:r>
          </w:p>
        </w:tc>
        <w:tc>
          <w:tcPr>
            <w:tcW w:w="757" w:type="dxa"/>
            <w:vMerge w:val="restart"/>
            <w:tcBorders>
              <w:tl2br w:val="nil"/>
              <w:tr2bl w:val="nil"/>
            </w:tcBorders>
          </w:tcPr>
          <w:p w14:paraId="40ACBC1D">
            <w:pPr>
              <w:spacing w:line="289" w:lineRule="auto"/>
              <w:rPr>
                <w:sz w:val="18"/>
                <w:szCs w:val="18"/>
              </w:rPr>
            </w:pPr>
          </w:p>
          <w:p w14:paraId="2E71626A">
            <w:pPr>
              <w:spacing w:before="23" w:line="223" w:lineRule="auto"/>
              <w:rPr>
                <w:sz w:val="18"/>
                <w:szCs w:val="18"/>
              </w:rPr>
            </w:pPr>
            <w:r>
              <w:rPr>
                <w:sz w:val="18"/>
                <w:szCs w:val="18"/>
              </w:rPr>
              <w:t>区块一</w:t>
            </w:r>
          </w:p>
        </w:tc>
      </w:tr>
      <w:tr w14:paraId="04F8F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jc w:val="center"/>
        </w:trPr>
        <w:tc>
          <w:tcPr>
            <w:tcW w:w="505" w:type="dxa"/>
            <w:vMerge w:val="continue"/>
            <w:tcBorders>
              <w:tl2br w:val="nil"/>
              <w:tr2bl w:val="nil"/>
            </w:tcBorders>
          </w:tcPr>
          <w:p w14:paraId="6EF1966B">
            <w:pPr>
              <w:rPr>
                <w:sz w:val="18"/>
                <w:szCs w:val="18"/>
              </w:rPr>
            </w:pPr>
          </w:p>
        </w:tc>
        <w:tc>
          <w:tcPr>
            <w:tcW w:w="1061" w:type="dxa"/>
            <w:vMerge w:val="continue"/>
            <w:tcBorders>
              <w:tl2br w:val="nil"/>
              <w:tr2bl w:val="nil"/>
            </w:tcBorders>
          </w:tcPr>
          <w:p w14:paraId="6F79C49F">
            <w:pPr>
              <w:rPr>
                <w:sz w:val="18"/>
                <w:szCs w:val="18"/>
              </w:rPr>
            </w:pPr>
          </w:p>
        </w:tc>
        <w:tc>
          <w:tcPr>
            <w:tcW w:w="2016" w:type="dxa"/>
            <w:tcBorders>
              <w:tl2br w:val="nil"/>
              <w:tr2bl w:val="nil"/>
            </w:tcBorders>
          </w:tcPr>
          <w:p w14:paraId="314CC825">
            <w:pPr>
              <w:spacing w:before="40" w:line="230" w:lineRule="auto"/>
              <w:ind w:right="169"/>
              <w:rPr>
                <w:sz w:val="18"/>
                <w:szCs w:val="18"/>
              </w:rPr>
            </w:pPr>
            <w:r>
              <w:rPr>
                <w:rFonts w:eastAsia="Times New Roman"/>
                <w:spacing w:val="-1"/>
                <w:sz w:val="18"/>
                <w:szCs w:val="18"/>
              </w:rPr>
              <w:t>980</w:t>
            </w:r>
            <w:r>
              <w:rPr>
                <w:spacing w:val="-1"/>
                <w:sz w:val="18"/>
                <w:szCs w:val="18"/>
              </w:rPr>
              <w:t>吨</w:t>
            </w:r>
            <w:r>
              <w:rPr>
                <w:rFonts w:eastAsia="Times New Roman"/>
                <w:spacing w:val="-1"/>
                <w:sz w:val="18"/>
                <w:szCs w:val="18"/>
              </w:rPr>
              <w:t>/</w:t>
            </w:r>
            <w:r>
              <w:rPr>
                <w:spacing w:val="-1"/>
                <w:sz w:val="18"/>
                <w:szCs w:val="18"/>
              </w:rPr>
              <w:t>年阻</w:t>
            </w:r>
            <w:r>
              <w:rPr>
                <w:sz w:val="18"/>
                <w:szCs w:val="18"/>
              </w:rPr>
              <w:t xml:space="preserve">垢 </w:t>
            </w:r>
            <w:r>
              <w:rPr>
                <w:spacing w:val="-2"/>
                <w:sz w:val="18"/>
                <w:szCs w:val="18"/>
              </w:rPr>
              <w:t>分散</w:t>
            </w:r>
            <w:r>
              <w:rPr>
                <w:spacing w:val="-1"/>
                <w:sz w:val="18"/>
                <w:szCs w:val="18"/>
              </w:rPr>
              <w:t>剂</w:t>
            </w:r>
          </w:p>
        </w:tc>
        <w:tc>
          <w:tcPr>
            <w:tcW w:w="1578" w:type="dxa"/>
            <w:vMerge w:val="continue"/>
            <w:tcBorders>
              <w:tl2br w:val="nil"/>
              <w:tr2bl w:val="nil"/>
            </w:tcBorders>
          </w:tcPr>
          <w:p w14:paraId="7CD21103">
            <w:pPr>
              <w:rPr>
                <w:sz w:val="18"/>
                <w:szCs w:val="18"/>
              </w:rPr>
            </w:pPr>
          </w:p>
        </w:tc>
        <w:tc>
          <w:tcPr>
            <w:tcW w:w="871" w:type="dxa"/>
            <w:vMerge w:val="continue"/>
            <w:tcBorders>
              <w:tl2br w:val="nil"/>
              <w:tr2bl w:val="nil"/>
            </w:tcBorders>
          </w:tcPr>
          <w:p w14:paraId="62A250C1">
            <w:pPr>
              <w:rPr>
                <w:sz w:val="18"/>
                <w:szCs w:val="18"/>
              </w:rPr>
            </w:pPr>
          </w:p>
        </w:tc>
        <w:tc>
          <w:tcPr>
            <w:tcW w:w="1091" w:type="dxa"/>
            <w:vMerge w:val="continue"/>
            <w:tcBorders>
              <w:tl2br w:val="nil"/>
              <w:tr2bl w:val="nil"/>
            </w:tcBorders>
          </w:tcPr>
          <w:p w14:paraId="5F2B64D3">
            <w:pPr>
              <w:rPr>
                <w:sz w:val="18"/>
                <w:szCs w:val="18"/>
              </w:rPr>
            </w:pPr>
          </w:p>
        </w:tc>
        <w:tc>
          <w:tcPr>
            <w:tcW w:w="859" w:type="dxa"/>
            <w:vMerge w:val="continue"/>
            <w:tcBorders>
              <w:tl2br w:val="nil"/>
              <w:tr2bl w:val="nil"/>
            </w:tcBorders>
          </w:tcPr>
          <w:p w14:paraId="0BC9F0EA">
            <w:pPr>
              <w:rPr>
                <w:sz w:val="18"/>
                <w:szCs w:val="18"/>
              </w:rPr>
            </w:pPr>
          </w:p>
        </w:tc>
        <w:tc>
          <w:tcPr>
            <w:tcW w:w="1076" w:type="dxa"/>
            <w:vMerge w:val="continue"/>
            <w:tcBorders>
              <w:tl2br w:val="nil"/>
              <w:tr2bl w:val="nil"/>
            </w:tcBorders>
          </w:tcPr>
          <w:p w14:paraId="061711D5">
            <w:pPr>
              <w:rPr>
                <w:sz w:val="18"/>
                <w:szCs w:val="18"/>
              </w:rPr>
            </w:pPr>
          </w:p>
        </w:tc>
        <w:tc>
          <w:tcPr>
            <w:tcW w:w="1391" w:type="dxa"/>
            <w:vMerge w:val="continue"/>
            <w:tcBorders>
              <w:tl2br w:val="nil"/>
              <w:tr2bl w:val="nil"/>
            </w:tcBorders>
          </w:tcPr>
          <w:p w14:paraId="63B2C6C7">
            <w:pPr>
              <w:rPr>
                <w:sz w:val="18"/>
                <w:szCs w:val="18"/>
              </w:rPr>
            </w:pPr>
          </w:p>
        </w:tc>
        <w:tc>
          <w:tcPr>
            <w:tcW w:w="957" w:type="dxa"/>
            <w:vMerge w:val="continue"/>
            <w:tcBorders>
              <w:tl2br w:val="nil"/>
              <w:tr2bl w:val="nil"/>
            </w:tcBorders>
          </w:tcPr>
          <w:p w14:paraId="795B0060">
            <w:pPr>
              <w:rPr>
                <w:sz w:val="18"/>
                <w:szCs w:val="18"/>
              </w:rPr>
            </w:pPr>
          </w:p>
        </w:tc>
        <w:tc>
          <w:tcPr>
            <w:tcW w:w="1313" w:type="dxa"/>
            <w:vMerge w:val="continue"/>
            <w:tcBorders>
              <w:tl2br w:val="nil"/>
              <w:tr2bl w:val="nil"/>
            </w:tcBorders>
          </w:tcPr>
          <w:p w14:paraId="195A426B">
            <w:pPr>
              <w:rPr>
                <w:sz w:val="18"/>
                <w:szCs w:val="18"/>
              </w:rPr>
            </w:pPr>
          </w:p>
        </w:tc>
        <w:tc>
          <w:tcPr>
            <w:tcW w:w="1847" w:type="dxa"/>
            <w:vMerge w:val="continue"/>
            <w:tcBorders>
              <w:tl2br w:val="nil"/>
              <w:tr2bl w:val="nil"/>
            </w:tcBorders>
          </w:tcPr>
          <w:p w14:paraId="03EE6D4C">
            <w:pPr>
              <w:rPr>
                <w:sz w:val="18"/>
                <w:szCs w:val="18"/>
              </w:rPr>
            </w:pPr>
          </w:p>
        </w:tc>
        <w:tc>
          <w:tcPr>
            <w:tcW w:w="757" w:type="dxa"/>
            <w:vMerge w:val="continue"/>
            <w:tcBorders>
              <w:tl2br w:val="nil"/>
              <w:tr2bl w:val="nil"/>
            </w:tcBorders>
          </w:tcPr>
          <w:p w14:paraId="7C7479D6">
            <w:pPr>
              <w:rPr>
                <w:sz w:val="18"/>
                <w:szCs w:val="18"/>
              </w:rPr>
            </w:pPr>
          </w:p>
        </w:tc>
      </w:tr>
      <w:tr w14:paraId="1042F1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505" w:type="dxa"/>
            <w:vMerge w:val="restart"/>
            <w:tcBorders>
              <w:tl2br w:val="nil"/>
              <w:tr2bl w:val="nil"/>
            </w:tcBorders>
          </w:tcPr>
          <w:p w14:paraId="6A541756">
            <w:pPr>
              <w:spacing w:line="244" w:lineRule="auto"/>
              <w:rPr>
                <w:sz w:val="18"/>
                <w:szCs w:val="18"/>
              </w:rPr>
            </w:pPr>
          </w:p>
          <w:p w14:paraId="6EF9A779">
            <w:pPr>
              <w:spacing w:line="244" w:lineRule="auto"/>
              <w:rPr>
                <w:sz w:val="18"/>
                <w:szCs w:val="18"/>
              </w:rPr>
            </w:pPr>
          </w:p>
          <w:p w14:paraId="2676D31B">
            <w:pPr>
              <w:spacing w:line="245" w:lineRule="auto"/>
              <w:rPr>
                <w:sz w:val="18"/>
                <w:szCs w:val="18"/>
              </w:rPr>
            </w:pPr>
          </w:p>
          <w:p w14:paraId="0AA8C192">
            <w:pPr>
              <w:spacing w:line="245" w:lineRule="auto"/>
              <w:rPr>
                <w:sz w:val="18"/>
                <w:szCs w:val="18"/>
              </w:rPr>
            </w:pPr>
          </w:p>
          <w:p w14:paraId="378BBB98">
            <w:pPr>
              <w:spacing w:before="61" w:line="187" w:lineRule="auto"/>
              <w:ind w:left="391"/>
              <w:rPr>
                <w:rFonts w:eastAsia="Times New Roman"/>
                <w:sz w:val="18"/>
                <w:szCs w:val="18"/>
              </w:rPr>
            </w:pPr>
            <w:r>
              <w:rPr>
                <w:rFonts w:eastAsia="Times New Roman"/>
                <w:spacing w:val="-1"/>
                <w:sz w:val="18"/>
                <w:szCs w:val="18"/>
              </w:rPr>
              <w:t>4.</w:t>
            </w:r>
          </w:p>
        </w:tc>
        <w:tc>
          <w:tcPr>
            <w:tcW w:w="1061" w:type="dxa"/>
            <w:vMerge w:val="restart"/>
            <w:tcBorders>
              <w:tl2br w:val="nil"/>
              <w:tr2bl w:val="nil"/>
            </w:tcBorders>
          </w:tcPr>
          <w:p w14:paraId="37FBD919">
            <w:pPr>
              <w:spacing w:line="248" w:lineRule="auto"/>
              <w:rPr>
                <w:sz w:val="18"/>
                <w:szCs w:val="18"/>
              </w:rPr>
            </w:pPr>
          </w:p>
          <w:p w14:paraId="1AF5309C">
            <w:pPr>
              <w:rPr>
                <w:sz w:val="18"/>
                <w:szCs w:val="18"/>
              </w:rPr>
            </w:pPr>
            <w:r>
              <w:rPr>
                <w:spacing w:val="-7"/>
                <w:sz w:val="18"/>
                <w:szCs w:val="18"/>
              </w:rPr>
              <w:t>国</w:t>
            </w:r>
            <w:r>
              <w:rPr>
                <w:spacing w:val="-4"/>
                <w:sz w:val="18"/>
                <w:szCs w:val="18"/>
              </w:rPr>
              <w:t>药集团国瑞</w:t>
            </w:r>
            <w:r>
              <w:rPr>
                <w:spacing w:val="-2"/>
                <w:sz w:val="18"/>
                <w:szCs w:val="18"/>
              </w:rPr>
              <w:t>药业有</w:t>
            </w:r>
            <w:r>
              <w:rPr>
                <w:spacing w:val="-1"/>
                <w:sz w:val="18"/>
                <w:szCs w:val="18"/>
              </w:rPr>
              <w:t>限公司</w:t>
            </w:r>
          </w:p>
        </w:tc>
        <w:tc>
          <w:tcPr>
            <w:tcW w:w="2016" w:type="dxa"/>
            <w:tcBorders>
              <w:tl2br w:val="nil"/>
              <w:tr2bl w:val="nil"/>
            </w:tcBorders>
          </w:tcPr>
          <w:p w14:paraId="4374F135">
            <w:pPr>
              <w:spacing w:before="226" w:line="247" w:lineRule="auto"/>
              <w:ind w:right="169"/>
              <w:rPr>
                <w:sz w:val="18"/>
                <w:szCs w:val="18"/>
              </w:rPr>
            </w:pPr>
            <w:r>
              <w:rPr>
                <w:rFonts w:eastAsia="Times New Roman"/>
                <w:spacing w:val="-1"/>
                <w:sz w:val="18"/>
                <w:szCs w:val="18"/>
              </w:rPr>
              <w:t>2</w:t>
            </w:r>
            <w:r>
              <w:rPr>
                <w:spacing w:val="-1"/>
                <w:sz w:val="18"/>
                <w:szCs w:val="18"/>
              </w:rPr>
              <w:t>亿支</w:t>
            </w:r>
            <w:r>
              <w:rPr>
                <w:rFonts w:eastAsia="Times New Roman"/>
                <w:sz w:val="18"/>
                <w:szCs w:val="18"/>
              </w:rPr>
              <w:t>/</w:t>
            </w:r>
            <w:r>
              <w:rPr>
                <w:sz w:val="18"/>
                <w:szCs w:val="18"/>
              </w:rPr>
              <w:t>年冻干</w:t>
            </w:r>
            <w:r>
              <w:rPr>
                <w:spacing w:val="-1"/>
                <w:sz w:val="18"/>
                <w:szCs w:val="18"/>
              </w:rPr>
              <w:t>粉针剂</w:t>
            </w:r>
          </w:p>
        </w:tc>
        <w:tc>
          <w:tcPr>
            <w:tcW w:w="1578" w:type="dxa"/>
            <w:vMerge w:val="restart"/>
            <w:tcBorders>
              <w:tl2br w:val="nil"/>
              <w:tr2bl w:val="nil"/>
            </w:tcBorders>
          </w:tcPr>
          <w:p w14:paraId="111CD1F8">
            <w:pPr>
              <w:spacing w:line="266" w:lineRule="auto"/>
              <w:rPr>
                <w:sz w:val="18"/>
                <w:szCs w:val="18"/>
              </w:rPr>
            </w:pPr>
          </w:p>
          <w:p w14:paraId="52F25B14">
            <w:pPr>
              <w:spacing w:line="267" w:lineRule="auto"/>
              <w:rPr>
                <w:sz w:val="18"/>
                <w:szCs w:val="18"/>
              </w:rPr>
            </w:pPr>
          </w:p>
          <w:p w14:paraId="0663C3B3">
            <w:pPr>
              <w:spacing w:line="267" w:lineRule="auto"/>
              <w:rPr>
                <w:sz w:val="18"/>
                <w:szCs w:val="18"/>
              </w:rPr>
            </w:pPr>
          </w:p>
          <w:p w14:paraId="3A290888">
            <w:pPr>
              <w:rPr>
                <w:sz w:val="18"/>
                <w:szCs w:val="18"/>
              </w:rPr>
            </w:pPr>
            <w:r>
              <w:rPr>
                <w:rFonts w:eastAsia="Times New Roman"/>
                <w:spacing w:val="-1"/>
                <w:sz w:val="18"/>
                <w:szCs w:val="18"/>
              </w:rPr>
              <w:t>5000</w:t>
            </w:r>
            <w:r>
              <w:rPr>
                <w:spacing w:val="-1"/>
                <w:sz w:val="18"/>
                <w:szCs w:val="18"/>
              </w:rPr>
              <w:t>万支</w:t>
            </w:r>
            <w:r>
              <w:rPr>
                <w:rFonts w:eastAsia="Times New Roman"/>
                <w:spacing w:val="-1"/>
                <w:sz w:val="18"/>
                <w:szCs w:val="18"/>
              </w:rPr>
              <w:t>/</w:t>
            </w:r>
            <w:r>
              <w:rPr>
                <w:spacing w:val="-1"/>
                <w:sz w:val="18"/>
                <w:szCs w:val="18"/>
              </w:rPr>
              <w:t>年</w:t>
            </w:r>
            <w:r>
              <w:rPr>
                <w:sz w:val="18"/>
                <w:szCs w:val="18"/>
              </w:rPr>
              <w:t>无水乙</w:t>
            </w:r>
            <w:r>
              <w:rPr>
                <w:spacing w:val="-2"/>
                <w:sz w:val="18"/>
                <w:szCs w:val="18"/>
              </w:rPr>
              <w:t>醇注射剂</w:t>
            </w:r>
          </w:p>
        </w:tc>
        <w:tc>
          <w:tcPr>
            <w:tcW w:w="871" w:type="dxa"/>
            <w:vMerge w:val="restart"/>
            <w:tcBorders>
              <w:tl2br w:val="nil"/>
              <w:tr2bl w:val="nil"/>
            </w:tcBorders>
          </w:tcPr>
          <w:p w14:paraId="36976D4A">
            <w:pPr>
              <w:spacing w:line="244" w:lineRule="auto"/>
              <w:rPr>
                <w:sz w:val="18"/>
                <w:szCs w:val="18"/>
              </w:rPr>
            </w:pPr>
          </w:p>
          <w:p w14:paraId="1C772AC5">
            <w:pPr>
              <w:spacing w:line="244" w:lineRule="auto"/>
              <w:rPr>
                <w:sz w:val="18"/>
                <w:szCs w:val="18"/>
              </w:rPr>
            </w:pPr>
          </w:p>
          <w:p w14:paraId="36D574CE">
            <w:pPr>
              <w:spacing w:line="245" w:lineRule="auto"/>
              <w:rPr>
                <w:sz w:val="18"/>
                <w:szCs w:val="18"/>
              </w:rPr>
            </w:pPr>
          </w:p>
          <w:p w14:paraId="382576DB">
            <w:pPr>
              <w:spacing w:line="245" w:lineRule="auto"/>
              <w:rPr>
                <w:sz w:val="18"/>
                <w:szCs w:val="18"/>
              </w:rPr>
            </w:pPr>
          </w:p>
          <w:p w14:paraId="1C80A095">
            <w:pPr>
              <w:spacing w:before="61" w:line="187" w:lineRule="auto"/>
              <w:ind w:left="410"/>
              <w:rPr>
                <w:rFonts w:eastAsia="Times New Roman"/>
                <w:sz w:val="18"/>
                <w:szCs w:val="18"/>
              </w:rPr>
            </w:pPr>
            <w:r>
              <w:rPr>
                <w:rFonts w:eastAsia="Times New Roman"/>
                <w:spacing w:val="-2"/>
                <w:sz w:val="18"/>
                <w:szCs w:val="18"/>
              </w:rPr>
              <w:t>76</w:t>
            </w:r>
            <w:r>
              <w:rPr>
                <w:rFonts w:eastAsia="Times New Roman"/>
                <w:spacing w:val="-1"/>
                <w:sz w:val="18"/>
                <w:szCs w:val="18"/>
              </w:rPr>
              <w:t>0</w:t>
            </w:r>
          </w:p>
        </w:tc>
        <w:tc>
          <w:tcPr>
            <w:tcW w:w="1091" w:type="dxa"/>
            <w:vMerge w:val="restart"/>
            <w:tcBorders>
              <w:tl2br w:val="nil"/>
              <w:tr2bl w:val="nil"/>
            </w:tcBorders>
          </w:tcPr>
          <w:p w14:paraId="02F6C4C7">
            <w:pPr>
              <w:spacing w:line="244" w:lineRule="auto"/>
              <w:rPr>
                <w:sz w:val="18"/>
                <w:szCs w:val="18"/>
              </w:rPr>
            </w:pPr>
          </w:p>
          <w:p w14:paraId="651DB7BC">
            <w:pPr>
              <w:spacing w:line="245" w:lineRule="auto"/>
              <w:rPr>
                <w:sz w:val="18"/>
                <w:szCs w:val="18"/>
              </w:rPr>
            </w:pPr>
          </w:p>
          <w:p w14:paraId="14D33900">
            <w:pPr>
              <w:spacing w:line="245" w:lineRule="auto"/>
              <w:rPr>
                <w:sz w:val="18"/>
                <w:szCs w:val="18"/>
              </w:rPr>
            </w:pPr>
          </w:p>
          <w:p w14:paraId="1D6CE409">
            <w:pPr>
              <w:spacing w:line="245" w:lineRule="auto"/>
              <w:rPr>
                <w:sz w:val="18"/>
                <w:szCs w:val="18"/>
              </w:rPr>
            </w:pPr>
          </w:p>
          <w:p w14:paraId="57E0EE21">
            <w:pPr>
              <w:spacing w:before="60" w:line="187" w:lineRule="auto"/>
              <w:ind w:left="410"/>
              <w:rPr>
                <w:rFonts w:eastAsia="Times New Roman"/>
                <w:sz w:val="18"/>
                <w:szCs w:val="18"/>
              </w:rPr>
            </w:pPr>
            <w:r>
              <w:rPr>
                <w:rFonts w:eastAsia="Times New Roman"/>
                <w:spacing w:val="-1"/>
                <w:sz w:val="18"/>
                <w:szCs w:val="18"/>
              </w:rPr>
              <w:t>24</w:t>
            </w:r>
            <w:r>
              <w:rPr>
                <w:rFonts w:eastAsia="Times New Roman"/>
                <w:sz w:val="18"/>
                <w:szCs w:val="18"/>
              </w:rPr>
              <w:t>2</w:t>
            </w:r>
          </w:p>
        </w:tc>
        <w:tc>
          <w:tcPr>
            <w:tcW w:w="859" w:type="dxa"/>
            <w:vMerge w:val="restart"/>
            <w:tcBorders>
              <w:tl2br w:val="nil"/>
              <w:tr2bl w:val="nil"/>
            </w:tcBorders>
          </w:tcPr>
          <w:p w14:paraId="52A55553">
            <w:pPr>
              <w:spacing w:line="312" w:lineRule="auto"/>
              <w:rPr>
                <w:sz w:val="18"/>
                <w:szCs w:val="18"/>
              </w:rPr>
            </w:pPr>
          </w:p>
          <w:p w14:paraId="60C673FC">
            <w:pPr>
              <w:spacing w:line="312" w:lineRule="auto"/>
              <w:rPr>
                <w:sz w:val="18"/>
                <w:szCs w:val="18"/>
              </w:rPr>
            </w:pPr>
          </w:p>
          <w:p w14:paraId="136EED88">
            <w:pPr>
              <w:spacing w:line="313" w:lineRule="auto"/>
              <w:rPr>
                <w:sz w:val="18"/>
                <w:szCs w:val="18"/>
              </w:rPr>
            </w:pPr>
          </w:p>
          <w:p w14:paraId="225D36D5">
            <w:pPr>
              <w:spacing w:before="68" w:line="221" w:lineRule="auto"/>
              <w:ind w:left="366"/>
              <w:rPr>
                <w:sz w:val="18"/>
                <w:szCs w:val="18"/>
              </w:rPr>
            </w:pPr>
            <w:r>
              <w:rPr>
                <w:spacing w:val="-3"/>
                <w:sz w:val="18"/>
                <w:szCs w:val="18"/>
              </w:rPr>
              <w:t>投</w:t>
            </w:r>
            <w:r>
              <w:rPr>
                <w:spacing w:val="-2"/>
                <w:sz w:val="18"/>
                <w:szCs w:val="18"/>
              </w:rPr>
              <w:t>产</w:t>
            </w:r>
          </w:p>
        </w:tc>
        <w:tc>
          <w:tcPr>
            <w:tcW w:w="1076" w:type="dxa"/>
            <w:vMerge w:val="restart"/>
            <w:tcBorders>
              <w:tl2br w:val="nil"/>
              <w:tr2bl w:val="nil"/>
            </w:tcBorders>
          </w:tcPr>
          <w:p w14:paraId="67008B88">
            <w:pPr>
              <w:spacing w:line="292" w:lineRule="auto"/>
              <w:rPr>
                <w:sz w:val="18"/>
                <w:szCs w:val="18"/>
              </w:rPr>
            </w:pPr>
          </w:p>
          <w:p w14:paraId="1131BAFF">
            <w:pPr>
              <w:spacing w:line="292" w:lineRule="auto"/>
              <w:rPr>
                <w:sz w:val="18"/>
                <w:szCs w:val="18"/>
              </w:rPr>
            </w:pPr>
          </w:p>
          <w:p w14:paraId="38B7C02A">
            <w:pPr>
              <w:spacing w:line="293" w:lineRule="auto"/>
              <w:rPr>
                <w:sz w:val="18"/>
                <w:szCs w:val="18"/>
              </w:rPr>
            </w:pPr>
          </w:p>
          <w:p w14:paraId="6C9BDC37">
            <w:pPr>
              <w:spacing w:before="69" w:line="222" w:lineRule="auto"/>
              <w:ind w:left="334"/>
              <w:rPr>
                <w:sz w:val="18"/>
                <w:szCs w:val="18"/>
              </w:rPr>
            </w:pPr>
            <w:r>
              <w:rPr>
                <w:spacing w:val="-2"/>
                <w:sz w:val="18"/>
                <w:szCs w:val="18"/>
              </w:rPr>
              <w:t>不涉及</w:t>
            </w:r>
          </w:p>
        </w:tc>
        <w:tc>
          <w:tcPr>
            <w:tcW w:w="1391" w:type="dxa"/>
            <w:vMerge w:val="restart"/>
            <w:tcBorders>
              <w:tl2br w:val="nil"/>
              <w:tr2bl w:val="nil"/>
            </w:tcBorders>
          </w:tcPr>
          <w:p w14:paraId="7F324086">
            <w:pPr>
              <w:spacing w:before="175" w:line="217" w:lineRule="auto"/>
              <w:ind w:left="116"/>
              <w:rPr>
                <w:spacing w:val="-2"/>
                <w:sz w:val="18"/>
                <w:szCs w:val="18"/>
              </w:rPr>
            </w:pPr>
            <w:r>
              <w:rPr>
                <w:spacing w:val="-2"/>
                <w:sz w:val="18"/>
                <w:szCs w:val="18"/>
              </w:rPr>
              <w:t>重</w:t>
            </w:r>
            <w:r>
              <w:rPr>
                <w:spacing w:val="-1"/>
                <w:sz w:val="18"/>
                <w:szCs w:val="18"/>
              </w:rPr>
              <w:t>氮化工艺</w:t>
            </w:r>
          </w:p>
          <w:p w14:paraId="399B0A08">
            <w:pPr>
              <w:spacing w:before="264" w:line="222" w:lineRule="auto"/>
              <w:ind w:left="222"/>
              <w:rPr>
                <w:sz w:val="18"/>
                <w:szCs w:val="18"/>
              </w:rPr>
            </w:pPr>
            <w:r>
              <w:rPr>
                <w:spacing w:val="-2"/>
                <w:sz w:val="18"/>
                <w:szCs w:val="18"/>
              </w:rPr>
              <w:t>硝化工</w:t>
            </w:r>
            <w:r>
              <w:rPr>
                <w:spacing w:val="-1"/>
                <w:sz w:val="18"/>
                <w:szCs w:val="18"/>
              </w:rPr>
              <w:t>艺</w:t>
            </w:r>
          </w:p>
          <w:p w14:paraId="70525AE8">
            <w:pPr>
              <w:spacing w:before="299" w:line="221" w:lineRule="auto"/>
              <w:ind w:left="116"/>
              <w:rPr>
                <w:sz w:val="18"/>
                <w:szCs w:val="18"/>
              </w:rPr>
            </w:pPr>
            <w:r>
              <w:rPr>
                <w:spacing w:val="-2"/>
                <w:sz w:val="18"/>
                <w:szCs w:val="18"/>
              </w:rPr>
              <w:t>烷</w:t>
            </w:r>
            <w:r>
              <w:rPr>
                <w:spacing w:val="-1"/>
                <w:sz w:val="18"/>
                <w:szCs w:val="18"/>
              </w:rPr>
              <w:t>基化工艺</w:t>
            </w:r>
          </w:p>
        </w:tc>
        <w:tc>
          <w:tcPr>
            <w:tcW w:w="957" w:type="dxa"/>
            <w:vMerge w:val="restart"/>
            <w:tcBorders>
              <w:tl2br w:val="nil"/>
              <w:tr2bl w:val="nil"/>
            </w:tcBorders>
          </w:tcPr>
          <w:p w14:paraId="390DC277">
            <w:pPr>
              <w:spacing w:before="134" w:line="221" w:lineRule="auto"/>
              <w:jc w:val="center"/>
              <w:rPr>
                <w:sz w:val="18"/>
                <w:szCs w:val="18"/>
              </w:rPr>
            </w:pPr>
            <w:r>
              <w:rPr>
                <w:spacing w:val="-2"/>
                <w:sz w:val="18"/>
                <w:szCs w:val="18"/>
              </w:rPr>
              <w:t>三</w:t>
            </w:r>
            <w:r>
              <w:rPr>
                <w:spacing w:val="-1"/>
                <w:sz w:val="18"/>
                <w:szCs w:val="18"/>
              </w:rPr>
              <w:t>氯甲烷</w:t>
            </w:r>
          </w:p>
          <w:p w14:paraId="29DEFDE9">
            <w:pPr>
              <w:spacing w:before="20" w:line="221" w:lineRule="auto"/>
              <w:jc w:val="center"/>
              <w:rPr>
                <w:spacing w:val="-1"/>
                <w:sz w:val="18"/>
                <w:szCs w:val="18"/>
              </w:rPr>
            </w:pPr>
            <w:r>
              <w:rPr>
                <w:spacing w:val="-1"/>
                <w:sz w:val="18"/>
                <w:szCs w:val="18"/>
              </w:rPr>
              <w:t>三氯化磷</w:t>
            </w:r>
          </w:p>
          <w:p w14:paraId="24ADE050">
            <w:pPr>
              <w:spacing w:before="20" w:line="221" w:lineRule="auto"/>
              <w:jc w:val="center"/>
              <w:rPr>
                <w:sz w:val="18"/>
                <w:szCs w:val="18"/>
              </w:rPr>
            </w:pPr>
            <w:r>
              <w:rPr>
                <w:spacing w:val="-1"/>
                <w:sz w:val="18"/>
                <w:szCs w:val="18"/>
              </w:rPr>
              <w:t>乙</w:t>
            </w:r>
            <w:r>
              <w:rPr>
                <w:sz w:val="18"/>
                <w:szCs w:val="18"/>
              </w:rPr>
              <w:t>醚</w:t>
            </w:r>
          </w:p>
          <w:p w14:paraId="7793F5AA">
            <w:pPr>
              <w:spacing w:before="20" w:line="221" w:lineRule="auto"/>
              <w:jc w:val="center"/>
              <w:rPr>
                <w:spacing w:val="-8"/>
                <w:sz w:val="18"/>
                <w:szCs w:val="18"/>
              </w:rPr>
            </w:pPr>
            <w:r>
              <w:rPr>
                <w:spacing w:val="-9"/>
                <w:sz w:val="18"/>
                <w:szCs w:val="18"/>
              </w:rPr>
              <w:t>甲</w:t>
            </w:r>
            <w:r>
              <w:rPr>
                <w:spacing w:val="-8"/>
                <w:sz w:val="18"/>
                <w:szCs w:val="18"/>
              </w:rPr>
              <w:t>醇</w:t>
            </w:r>
          </w:p>
          <w:p w14:paraId="2866929C">
            <w:pPr>
              <w:spacing w:before="20" w:line="221" w:lineRule="auto"/>
              <w:jc w:val="center"/>
              <w:rPr>
                <w:sz w:val="18"/>
                <w:szCs w:val="18"/>
              </w:rPr>
            </w:pPr>
            <w:r>
              <w:rPr>
                <w:spacing w:val="-2"/>
                <w:sz w:val="18"/>
                <w:szCs w:val="18"/>
              </w:rPr>
              <w:t>氢</w:t>
            </w:r>
            <w:r>
              <w:rPr>
                <w:spacing w:val="-1"/>
                <w:sz w:val="18"/>
                <w:szCs w:val="18"/>
              </w:rPr>
              <w:t>气</w:t>
            </w:r>
          </w:p>
          <w:p w14:paraId="2B7B88AD">
            <w:pPr>
              <w:spacing w:before="24" w:line="222" w:lineRule="auto"/>
              <w:jc w:val="center"/>
              <w:rPr>
                <w:sz w:val="18"/>
                <w:szCs w:val="18"/>
              </w:rPr>
            </w:pPr>
            <w:r>
              <w:rPr>
                <w:spacing w:val="-7"/>
                <w:sz w:val="18"/>
                <w:szCs w:val="18"/>
              </w:rPr>
              <w:t>乙</w:t>
            </w:r>
            <w:r>
              <w:rPr>
                <w:spacing w:val="-5"/>
                <w:sz w:val="18"/>
                <w:szCs w:val="18"/>
              </w:rPr>
              <w:t>酸乙酯</w:t>
            </w:r>
          </w:p>
          <w:p w14:paraId="23E0E546">
            <w:pPr>
              <w:spacing w:before="18" w:line="220" w:lineRule="auto"/>
              <w:jc w:val="center"/>
              <w:rPr>
                <w:sz w:val="18"/>
                <w:szCs w:val="18"/>
              </w:rPr>
            </w:pPr>
            <w:r>
              <w:rPr>
                <w:spacing w:val="-2"/>
                <w:sz w:val="18"/>
                <w:szCs w:val="18"/>
              </w:rPr>
              <w:t>天然气</w:t>
            </w:r>
          </w:p>
          <w:p w14:paraId="21D16671">
            <w:pPr>
              <w:spacing w:before="23" w:line="220" w:lineRule="auto"/>
              <w:jc w:val="center"/>
              <w:rPr>
                <w:sz w:val="18"/>
                <w:szCs w:val="18"/>
              </w:rPr>
            </w:pPr>
            <w:r>
              <w:rPr>
                <w:spacing w:val="-9"/>
                <w:sz w:val="18"/>
                <w:szCs w:val="18"/>
              </w:rPr>
              <w:t>甲</w:t>
            </w:r>
            <w:r>
              <w:rPr>
                <w:spacing w:val="-8"/>
                <w:sz w:val="18"/>
                <w:szCs w:val="18"/>
              </w:rPr>
              <w:t>苯</w:t>
            </w:r>
          </w:p>
        </w:tc>
        <w:tc>
          <w:tcPr>
            <w:tcW w:w="1313" w:type="dxa"/>
            <w:vMerge w:val="restart"/>
            <w:tcBorders>
              <w:tl2br w:val="nil"/>
              <w:tr2bl w:val="nil"/>
            </w:tcBorders>
          </w:tcPr>
          <w:p w14:paraId="7D63DDCF">
            <w:pPr>
              <w:spacing w:before="134" w:line="239" w:lineRule="auto"/>
              <w:rPr>
                <w:sz w:val="18"/>
                <w:szCs w:val="18"/>
              </w:rPr>
            </w:pPr>
            <w:r>
              <w:rPr>
                <w:spacing w:val="-6"/>
                <w:sz w:val="18"/>
                <w:szCs w:val="18"/>
              </w:rPr>
              <w:t>易</w:t>
            </w:r>
            <w:r>
              <w:rPr>
                <w:spacing w:val="-4"/>
                <w:sz w:val="18"/>
                <w:szCs w:val="18"/>
              </w:rPr>
              <w:t>制</w:t>
            </w:r>
            <w:r>
              <w:rPr>
                <w:spacing w:val="-3"/>
                <w:sz w:val="18"/>
                <w:szCs w:val="18"/>
              </w:rPr>
              <w:t>毒丙酮</w:t>
            </w:r>
          </w:p>
          <w:p w14:paraId="718E3EAC">
            <w:pPr>
              <w:spacing w:line="220" w:lineRule="auto"/>
              <w:rPr>
                <w:sz w:val="18"/>
                <w:szCs w:val="18"/>
              </w:rPr>
            </w:pPr>
            <w:r>
              <w:rPr>
                <w:spacing w:val="-6"/>
                <w:sz w:val="18"/>
                <w:szCs w:val="18"/>
              </w:rPr>
              <w:t>易</w:t>
            </w:r>
            <w:r>
              <w:rPr>
                <w:spacing w:val="-4"/>
                <w:sz w:val="18"/>
                <w:szCs w:val="18"/>
              </w:rPr>
              <w:t>制</w:t>
            </w:r>
            <w:r>
              <w:rPr>
                <w:spacing w:val="-3"/>
                <w:sz w:val="18"/>
                <w:szCs w:val="18"/>
              </w:rPr>
              <w:t>毒盐酸</w:t>
            </w:r>
          </w:p>
          <w:p w14:paraId="1647E86C">
            <w:pPr>
              <w:spacing w:before="22" w:line="220" w:lineRule="auto"/>
              <w:rPr>
                <w:sz w:val="18"/>
                <w:szCs w:val="18"/>
              </w:rPr>
            </w:pPr>
            <w:r>
              <w:rPr>
                <w:spacing w:val="-6"/>
                <w:sz w:val="18"/>
                <w:szCs w:val="18"/>
              </w:rPr>
              <w:t>易</w:t>
            </w:r>
            <w:r>
              <w:rPr>
                <w:spacing w:val="-4"/>
                <w:sz w:val="18"/>
                <w:szCs w:val="18"/>
              </w:rPr>
              <w:t>制</w:t>
            </w:r>
            <w:r>
              <w:rPr>
                <w:spacing w:val="-3"/>
                <w:sz w:val="18"/>
                <w:szCs w:val="18"/>
              </w:rPr>
              <w:t>毒甲苯</w:t>
            </w:r>
          </w:p>
          <w:p w14:paraId="576F4190">
            <w:pPr>
              <w:spacing w:before="20" w:line="221" w:lineRule="auto"/>
              <w:rPr>
                <w:sz w:val="18"/>
                <w:szCs w:val="18"/>
              </w:rPr>
            </w:pPr>
            <w:r>
              <w:rPr>
                <w:spacing w:val="-4"/>
                <w:sz w:val="18"/>
                <w:szCs w:val="18"/>
              </w:rPr>
              <w:t>易</w:t>
            </w:r>
            <w:r>
              <w:rPr>
                <w:spacing w:val="-3"/>
                <w:sz w:val="18"/>
                <w:szCs w:val="18"/>
              </w:rPr>
              <w:t>制毒乙酸酐</w:t>
            </w:r>
          </w:p>
          <w:p w14:paraId="55677F03">
            <w:pPr>
              <w:spacing w:before="30" w:line="219" w:lineRule="auto"/>
              <w:rPr>
                <w:spacing w:val="-3"/>
                <w:sz w:val="18"/>
                <w:szCs w:val="18"/>
              </w:rPr>
            </w:pPr>
            <w:r>
              <w:rPr>
                <w:spacing w:val="-4"/>
                <w:sz w:val="18"/>
                <w:szCs w:val="18"/>
              </w:rPr>
              <w:t>易制</w:t>
            </w:r>
            <w:r>
              <w:rPr>
                <w:spacing w:val="-3"/>
                <w:sz w:val="18"/>
                <w:szCs w:val="18"/>
              </w:rPr>
              <w:t>毒</w:t>
            </w:r>
            <w:r>
              <w:rPr>
                <w:spacing w:val="-2"/>
                <w:sz w:val="18"/>
                <w:szCs w:val="18"/>
              </w:rPr>
              <w:t>三氯甲烷</w:t>
            </w:r>
            <w:r>
              <w:rPr>
                <w:spacing w:val="-6"/>
                <w:sz w:val="18"/>
                <w:szCs w:val="18"/>
              </w:rPr>
              <w:t>易</w:t>
            </w:r>
            <w:r>
              <w:rPr>
                <w:spacing w:val="-3"/>
                <w:sz w:val="18"/>
                <w:szCs w:val="18"/>
              </w:rPr>
              <w:t>制毒乙醚</w:t>
            </w:r>
          </w:p>
          <w:p w14:paraId="5CE0727E">
            <w:pPr>
              <w:spacing w:before="30" w:line="219" w:lineRule="auto"/>
              <w:rPr>
                <w:sz w:val="18"/>
                <w:szCs w:val="18"/>
              </w:rPr>
            </w:pPr>
            <w:r>
              <w:rPr>
                <w:spacing w:val="-6"/>
                <w:sz w:val="18"/>
                <w:szCs w:val="18"/>
              </w:rPr>
              <w:t>易</w:t>
            </w:r>
            <w:r>
              <w:rPr>
                <w:spacing w:val="-3"/>
                <w:sz w:val="18"/>
                <w:szCs w:val="18"/>
              </w:rPr>
              <w:t>制毒硫酸</w:t>
            </w:r>
            <w:r>
              <w:rPr>
                <w:spacing w:val="-4"/>
                <w:sz w:val="18"/>
                <w:szCs w:val="18"/>
              </w:rPr>
              <w:t>易制</w:t>
            </w:r>
            <w:r>
              <w:rPr>
                <w:spacing w:val="-3"/>
                <w:sz w:val="18"/>
                <w:szCs w:val="18"/>
              </w:rPr>
              <w:t>爆</w:t>
            </w:r>
            <w:r>
              <w:rPr>
                <w:spacing w:val="-2"/>
                <w:sz w:val="18"/>
                <w:szCs w:val="18"/>
              </w:rPr>
              <w:t>硼氢化钠</w:t>
            </w:r>
          </w:p>
          <w:p w14:paraId="32F96F68">
            <w:pPr>
              <w:rPr>
                <w:sz w:val="18"/>
                <w:szCs w:val="18"/>
              </w:rPr>
            </w:pPr>
            <w:r>
              <w:rPr>
                <w:spacing w:val="-6"/>
                <w:sz w:val="18"/>
                <w:szCs w:val="18"/>
              </w:rPr>
              <w:t>易</w:t>
            </w:r>
            <w:r>
              <w:rPr>
                <w:spacing w:val="-4"/>
                <w:sz w:val="18"/>
                <w:szCs w:val="18"/>
              </w:rPr>
              <w:t>制</w:t>
            </w:r>
            <w:r>
              <w:rPr>
                <w:spacing w:val="-3"/>
                <w:sz w:val="18"/>
                <w:szCs w:val="18"/>
              </w:rPr>
              <w:t>爆硫磺</w:t>
            </w:r>
          </w:p>
          <w:p w14:paraId="5C533A3E">
            <w:pPr>
              <w:rPr>
                <w:sz w:val="18"/>
                <w:szCs w:val="18"/>
              </w:rPr>
            </w:pPr>
            <w:r>
              <w:rPr>
                <w:spacing w:val="-1"/>
                <w:sz w:val="18"/>
                <w:szCs w:val="18"/>
              </w:rPr>
              <w:t>剧毒三氯化磷</w:t>
            </w:r>
          </w:p>
          <w:p w14:paraId="0DD4CEB0">
            <w:pPr>
              <w:rPr>
                <w:sz w:val="18"/>
                <w:szCs w:val="18"/>
              </w:rPr>
            </w:pPr>
            <w:r>
              <w:rPr>
                <w:spacing w:val="-2"/>
                <w:sz w:val="18"/>
                <w:szCs w:val="18"/>
              </w:rPr>
              <w:t>剧</w:t>
            </w:r>
            <w:r>
              <w:rPr>
                <w:spacing w:val="-1"/>
                <w:sz w:val="18"/>
                <w:szCs w:val="18"/>
              </w:rPr>
              <w:t>毒氯化汞</w:t>
            </w:r>
          </w:p>
          <w:p w14:paraId="6280B3D1">
            <w:pPr>
              <w:rPr>
                <w:sz w:val="18"/>
                <w:szCs w:val="18"/>
              </w:rPr>
            </w:pPr>
            <w:r>
              <w:rPr>
                <w:spacing w:val="-2"/>
                <w:sz w:val="18"/>
                <w:szCs w:val="18"/>
              </w:rPr>
              <w:t>剧</w:t>
            </w:r>
            <w:r>
              <w:rPr>
                <w:spacing w:val="-1"/>
                <w:sz w:val="18"/>
                <w:szCs w:val="18"/>
              </w:rPr>
              <w:t>毒乙酸汞</w:t>
            </w:r>
          </w:p>
          <w:p w14:paraId="0FB669E9">
            <w:pPr>
              <w:rPr>
                <w:sz w:val="18"/>
                <w:szCs w:val="18"/>
              </w:rPr>
            </w:pPr>
            <w:r>
              <w:rPr>
                <w:spacing w:val="-1"/>
                <w:sz w:val="18"/>
                <w:szCs w:val="18"/>
              </w:rPr>
              <w:t>剧毒叠氮化钠</w:t>
            </w:r>
          </w:p>
          <w:p w14:paraId="300F8259">
            <w:pPr>
              <w:rPr>
                <w:sz w:val="18"/>
                <w:szCs w:val="18"/>
              </w:rPr>
            </w:pPr>
            <w:r>
              <w:rPr>
                <w:spacing w:val="-1"/>
                <w:sz w:val="18"/>
                <w:szCs w:val="18"/>
              </w:rPr>
              <w:t>剧毒三氧化二</w:t>
            </w:r>
            <w:r>
              <w:rPr>
                <w:sz w:val="18"/>
                <w:szCs w:val="18"/>
              </w:rPr>
              <w:t>砷</w:t>
            </w:r>
          </w:p>
          <w:p w14:paraId="45AA6F88">
            <w:pPr>
              <w:rPr>
                <w:sz w:val="18"/>
                <w:szCs w:val="18"/>
              </w:rPr>
            </w:pPr>
            <w:r>
              <w:rPr>
                <w:spacing w:val="-3"/>
                <w:sz w:val="18"/>
                <w:szCs w:val="18"/>
              </w:rPr>
              <w:t>高</w:t>
            </w:r>
            <w:r>
              <w:rPr>
                <w:spacing w:val="-2"/>
                <w:sz w:val="18"/>
                <w:szCs w:val="18"/>
              </w:rPr>
              <w:t>毒氯化汞</w:t>
            </w:r>
          </w:p>
          <w:p w14:paraId="53A2B426">
            <w:pPr>
              <w:rPr>
                <w:sz w:val="18"/>
                <w:szCs w:val="18"/>
              </w:rPr>
            </w:pPr>
            <w:r>
              <w:rPr>
                <w:spacing w:val="-2"/>
                <w:sz w:val="18"/>
                <w:szCs w:val="18"/>
              </w:rPr>
              <w:t>高毒三氧</w:t>
            </w:r>
            <w:r>
              <w:rPr>
                <w:spacing w:val="-1"/>
                <w:sz w:val="18"/>
                <w:szCs w:val="18"/>
              </w:rPr>
              <w:t>化二砷</w:t>
            </w:r>
          </w:p>
          <w:p w14:paraId="064C8337">
            <w:pPr>
              <w:rPr>
                <w:sz w:val="18"/>
                <w:szCs w:val="18"/>
              </w:rPr>
            </w:pPr>
            <w:r>
              <w:rPr>
                <w:spacing w:val="-1"/>
                <w:sz w:val="18"/>
                <w:szCs w:val="18"/>
              </w:rPr>
              <w:t>监控三氯化磷</w:t>
            </w:r>
          </w:p>
        </w:tc>
        <w:tc>
          <w:tcPr>
            <w:tcW w:w="1847" w:type="dxa"/>
            <w:vMerge w:val="restart"/>
            <w:tcBorders>
              <w:tl2br w:val="nil"/>
              <w:tr2bl w:val="nil"/>
            </w:tcBorders>
          </w:tcPr>
          <w:p w14:paraId="008D86EE">
            <w:pPr>
              <w:rPr>
                <w:sz w:val="18"/>
                <w:szCs w:val="18"/>
              </w:rPr>
            </w:pPr>
            <w:r>
              <w:rPr>
                <w:spacing w:val="-7"/>
                <w:sz w:val="18"/>
                <w:szCs w:val="18"/>
              </w:rPr>
              <w:t>四</w:t>
            </w:r>
            <w:r>
              <w:rPr>
                <w:spacing w:val="-6"/>
                <w:sz w:val="18"/>
                <w:szCs w:val="18"/>
              </w:rPr>
              <w:t>氢呋喃、</w:t>
            </w:r>
            <w:r>
              <w:rPr>
                <w:spacing w:val="-2"/>
                <w:sz w:val="18"/>
                <w:szCs w:val="18"/>
              </w:rPr>
              <w:t>氢</w:t>
            </w:r>
            <w:r>
              <w:rPr>
                <w:spacing w:val="-1"/>
                <w:sz w:val="18"/>
                <w:szCs w:val="18"/>
              </w:rPr>
              <w:t>氧化钠</w:t>
            </w:r>
          </w:p>
          <w:p w14:paraId="022FB92D">
            <w:pPr>
              <w:rPr>
                <w:sz w:val="18"/>
                <w:szCs w:val="18"/>
              </w:rPr>
            </w:pPr>
            <w:r>
              <w:rPr>
                <w:spacing w:val="-4"/>
                <w:sz w:val="18"/>
                <w:szCs w:val="18"/>
              </w:rPr>
              <w:t>丙</w:t>
            </w:r>
            <w:r>
              <w:rPr>
                <w:spacing w:val="-2"/>
                <w:sz w:val="18"/>
                <w:szCs w:val="18"/>
              </w:rPr>
              <w:t>酮、正丙醇</w:t>
            </w:r>
            <w:r>
              <w:rPr>
                <w:rFonts w:hint="eastAsia"/>
                <w:spacing w:val="-2"/>
                <w:sz w:val="18"/>
                <w:szCs w:val="18"/>
              </w:rPr>
              <w:t>、</w:t>
            </w:r>
            <w:r>
              <w:rPr>
                <w:spacing w:val="-5"/>
                <w:sz w:val="18"/>
                <w:szCs w:val="18"/>
              </w:rPr>
              <w:t>乙酸酐、</w:t>
            </w:r>
            <w:r>
              <w:rPr>
                <w:spacing w:val="-2"/>
                <w:sz w:val="18"/>
                <w:szCs w:val="18"/>
              </w:rPr>
              <w:t>盐酸</w:t>
            </w:r>
            <w:r>
              <w:rPr>
                <w:rFonts w:hint="eastAsia"/>
                <w:spacing w:val="-2"/>
                <w:sz w:val="18"/>
                <w:szCs w:val="18"/>
              </w:rPr>
              <w:t>、</w:t>
            </w:r>
            <w:r>
              <w:rPr>
                <w:spacing w:val="-2"/>
                <w:sz w:val="18"/>
                <w:szCs w:val="18"/>
              </w:rPr>
              <w:t>三</w:t>
            </w:r>
            <w:r>
              <w:rPr>
                <w:spacing w:val="-1"/>
                <w:sz w:val="18"/>
                <w:szCs w:val="18"/>
              </w:rPr>
              <w:t>氯甲烷</w:t>
            </w:r>
            <w:r>
              <w:rPr>
                <w:spacing w:val="-7"/>
                <w:sz w:val="18"/>
                <w:szCs w:val="18"/>
              </w:rPr>
              <w:t>乙</w:t>
            </w:r>
            <w:r>
              <w:rPr>
                <w:spacing w:val="-5"/>
                <w:sz w:val="18"/>
                <w:szCs w:val="18"/>
              </w:rPr>
              <w:t>醇</w:t>
            </w:r>
          </w:p>
          <w:p w14:paraId="6788A89D">
            <w:pPr>
              <w:rPr>
                <w:sz w:val="18"/>
                <w:szCs w:val="18"/>
              </w:rPr>
            </w:pPr>
            <w:r>
              <w:rPr>
                <w:spacing w:val="-1"/>
                <w:sz w:val="18"/>
                <w:szCs w:val="18"/>
              </w:rPr>
              <w:t>黄色氧化</w:t>
            </w:r>
            <w:r>
              <w:rPr>
                <w:sz w:val="18"/>
                <w:szCs w:val="18"/>
              </w:rPr>
              <w:t>汞</w:t>
            </w:r>
            <w:r>
              <w:rPr>
                <w:rFonts w:hint="eastAsia"/>
                <w:sz w:val="18"/>
                <w:szCs w:val="18"/>
              </w:rPr>
              <w:t>、</w:t>
            </w:r>
            <w:r>
              <w:rPr>
                <w:spacing w:val="-2"/>
                <w:sz w:val="18"/>
                <w:szCs w:val="18"/>
              </w:rPr>
              <w:t>异丁</w:t>
            </w:r>
            <w:r>
              <w:rPr>
                <w:spacing w:val="-1"/>
                <w:sz w:val="18"/>
                <w:szCs w:val="18"/>
              </w:rPr>
              <w:t>醇、</w:t>
            </w:r>
            <w:r>
              <w:rPr>
                <w:spacing w:val="-2"/>
                <w:sz w:val="18"/>
                <w:szCs w:val="18"/>
              </w:rPr>
              <w:t>溴乙酸乙</w:t>
            </w:r>
            <w:r>
              <w:rPr>
                <w:spacing w:val="-1"/>
                <w:sz w:val="18"/>
                <w:szCs w:val="18"/>
              </w:rPr>
              <w:t>酯</w:t>
            </w:r>
            <w:r>
              <w:rPr>
                <w:rFonts w:hint="eastAsia"/>
                <w:spacing w:val="-1"/>
                <w:sz w:val="18"/>
                <w:szCs w:val="18"/>
              </w:rPr>
              <w:t>、</w:t>
            </w:r>
            <w:r>
              <w:rPr>
                <w:spacing w:val="-2"/>
                <w:sz w:val="18"/>
                <w:szCs w:val="18"/>
              </w:rPr>
              <w:t>三</w:t>
            </w:r>
            <w:r>
              <w:rPr>
                <w:spacing w:val="-1"/>
                <w:sz w:val="18"/>
                <w:szCs w:val="18"/>
              </w:rPr>
              <w:t>氯化磷</w:t>
            </w:r>
          </w:p>
          <w:p w14:paraId="1F2CF9A3">
            <w:pPr>
              <w:rPr>
                <w:sz w:val="18"/>
                <w:szCs w:val="18"/>
              </w:rPr>
            </w:pPr>
            <w:r>
              <w:rPr>
                <w:spacing w:val="-2"/>
                <w:sz w:val="18"/>
                <w:szCs w:val="18"/>
              </w:rPr>
              <w:t>原甲酸三</w:t>
            </w:r>
            <w:r>
              <w:rPr>
                <w:spacing w:val="-1"/>
                <w:sz w:val="18"/>
                <w:szCs w:val="18"/>
              </w:rPr>
              <w:t>乙酯</w:t>
            </w:r>
            <w:r>
              <w:rPr>
                <w:rFonts w:hint="eastAsia"/>
                <w:spacing w:val="-1"/>
                <w:sz w:val="18"/>
                <w:szCs w:val="18"/>
              </w:rPr>
              <w:t>、</w:t>
            </w:r>
            <w:r>
              <w:rPr>
                <w:spacing w:val="-2"/>
                <w:sz w:val="18"/>
                <w:szCs w:val="18"/>
              </w:rPr>
              <w:t>氯化汞、</w:t>
            </w:r>
            <w:r>
              <w:rPr>
                <w:spacing w:val="-5"/>
                <w:sz w:val="18"/>
                <w:szCs w:val="18"/>
              </w:rPr>
              <w:t>乙酸汞</w:t>
            </w:r>
            <w:r>
              <w:rPr>
                <w:rFonts w:hint="eastAsia"/>
                <w:spacing w:val="-5"/>
                <w:sz w:val="18"/>
                <w:szCs w:val="18"/>
              </w:rPr>
              <w:t>、</w:t>
            </w:r>
            <w:r>
              <w:rPr>
                <w:spacing w:val="-2"/>
                <w:sz w:val="18"/>
                <w:szCs w:val="18"/>
              </w:rPr>
              <w:t>叠氮化钠、</w:t>
            </w:r>
            <w:r>
              <w:rPr>
                <w:spacing w:val="-7"/>
                <w:sz w:val="18"/>
                <w:szCs w:val="18"/>
              </w:rPr>
              <w:t>乙</w:t>
            </w:r>
            <w:r>
              <w:rPr>
                <w:spacing w:val="-5"/>
                <w:sz w:val="18"/>
                <w:szCs w:val="18"/>
              </w:rPr>
              <w:t>醚</w:t>
            </w:r>
          </w:p>
          <w:p w14:paraId="3295280D">
            <w:pPr>
              <w:rPr>
                <w:sz w:val="18"/>
                <w:szCs w:val="18"/>
              </w:rPr>
            </w:pPr>
            <w:r>
              <w:rPr>
                <w:spacing w:val="-3"/>
                <w:sz w:val="18"/>
                <w:szCs w:val="18"/>
              </w:rPr>
              <w:t>苯</w:t>
            </w:r>
            <w:r>
              <w:rPr>
                <w:spacing w:val="-2"/>
                <w:sz w:val="18"/>
                <w:szCs w:val="18"/>
              </w:rPr>
              <w:t>肼、</w:t>
            </w:r>
            <w:r>
              <w:rPr>
                <w:spacing w:val="-1"/>
                <w:sz w:val="18"/>
                <w:szCs w:val="18"/>
              </w:rPr>
              <w:t>三氧化二砷</w:t>
            </w:r>
          </w:p>
          <w:p w14:paraId="4D5F1C5E">
            <w:pPr>
              <w:rPr>
                <w:sz w:val="18"/>
                <w:szCs w:val="18"/>
              </w:rPr>
            </w:pPr>
            <w:r>
              <w:rPr>
                <w:rFonts w:eastAsia="Times New Roman"/>
                <w:sz w:val="18"/>
                <w:szCs w:val="18"/>
              </w:rPr>
              <w:t>N</w:t>
            </w:r>
            <w:r>
              <w:rPr>
                <w:rFonts w:eastAsia="Times New Roman"/>
                <w:spacing w:val="1"/>
                <w:sz w:val="18"/>
                <w:szCs w:val="18"/>
              </w:rPr>
              <w:t>,</w:t>
            </w:r>
            <w:r>
              <w:rPr>
                <w:rFonts w:eastAsia="Times New Roman"/>
                <w:sz w:val="18"/>
                <w:szCs w:val="18"/>
              </w:rPr>
              <w:t>N</w:t>
            </w:r>
            <w:r>
              <w:rPr>
                <w:rFonts w:eastAsia="Times New Roman"/>
                <w:spacing w:val="1"/>
                <w:sz w:val="18"/>
                <w:szCs w:val="18"/>
              </w:rPr>
              <w:t>-</w:t>
            </w:r>
            <w:r>
              <w:rPr>
                <w:spacing w:val="1"/>
                <w:sz w:val="18"/>
                <w:szCs w:val="18"/>
              </w:rPr>
              <w:t>二甲基</w:t>
            </w:r>
            <w:r>
              <w:rPr>
                <w:sz w:val="18"/>
                <w:szCs w:val="18"/>
              </w:rPr>
              <w:t>甲酰胺</w:t>
            </w:r>
          </w:p>
          <w:p w14:paraId="6883177C">
            <w:pPr>
              <w:rPr>
                <w:sz w:val="18"/>
                <w:szCs w:val="18"/>
              </w:rPr>
            </w:pPr>
            <w:r>
              <w:rPr>
                <w:spacing w:val="-2"/>
                <w:sz w:val="18"/>
                <w:szCs w:val="18"/>
              </w:rPr>
              <w:t>氨</w:t>
            </w:r>
            <w:r>
              <w:rPr>
                <w:spacing w:val="-1"/>
                <w:sz w:val="18"/>
                <w:szCs w:val="18"/>
              </w:rPr>
              <w:t>水、</w:t>
            </w:r>
            <w:r>
              <w:rPr>
                <w:spacing w:val="-9"/>
                <w:sz w:val="18"/>
                <w:szCs w:val="18"/>
              </w:rPr>
              <w:t>甲</w:t>
            </w:r>
            <w:r>
              <w:rPr>
                <w:spacing w:val="-8"/>
                <w:sz w:val="18"/>
                <w:szCs w:val="18"/>
              </w:rPr>
              <w:t>醇</w:t>
            </w:r>
            <w:r>
              <w:rPr>
                <w:rFonts w:hint="eastAsia"/>
                <w:spacing w:val="-8"/>
                <w:sz w:val="18"/>
                <w:szCs w:val="18"/>
              </w:rPr>
              <w:t>、</w:t>
            </w:r>
            <w:r>
              <w:rPr>
                <w:spacing w:val="-3"/>
                <w:sz w:val="18"/>
                <w:szCs w:val="18"/>
              </w:rPr>
              <w:t>二</w:t>
            </w:r>
            <w:r>
              <w:rPr>
                <w:spacing w:val="-2"/>
                <w:sz w:val="18"/>
                <w:szCs w:val="18"/>
              </w:rPr>
              <w:t>氯甲烷、</w:t>
            </w:r>
            <w:r>
              <w:rPr>
                <w:spacing w:val="-3"/>
                <w:sz w:val="18"/>
                <w:szCs w:val="18"/>
              </w:rPr>
              <w:t>氯</w:t>
            </w:r>
            <w:r>
              <w:rPr>
                <w:spacing w:val="-2"/>
                <w:sz w:val="18"/>
                <w:szCs w:val="18"/>
              </w:rPr>
              <w:t>化亚砜</w:t>
            </w:r>
            <w:r>
              <w:rPr>
                <w:rFonts w:hint="eastAsia"/>
                <w:spacing w:val="-2"/>
                <w:sz w:val="18"/>
                <w:szCs w:val="18"/>
              </w:rPr>
              <w:t>、</w:t>
            </w:r>
            <w:r>
              <w:rPr>
                <w:spacing w:val="-2"/>
                <w:sz w:val="18"/>
                <w:szCs w:val="18"/>
              </w:rPr>
              <w:t>正庚烷、异丙</w:t>
            </w:r>
            <w:r>
              <w:rPr>
                <w:spacing w:val="-1"/>
                <w:sz w:val="18"/>
                <w:szCs w:val="18"/>
              </w:rPr>
              <w:t>醇</w:t>
            </w:r>
            <w:r>
              <w:rPr>
                <w:rFonts w:hint="eastAsia"/>
                <w:spacing w:val="-1"/>
                <w:sz w:val="18"/>
                <w:szCs w:val="18"/>
              </w:rPr>
              <w:t>、</w:t>
            </w:r>
            <w:r>
              <w:rPr>
                <w:spacing w:val="-2"/>
                <w:sz w:val="18"/>
                <w:szCs w:val="18"/>
              </w:rPr>
              <w:t>氢</w:t>
            </w:r>
            <w:r>
              <w:rPr>
                <w:spacing w:val="-1"/>
                <w:sz w:val="18"/>
                <w:szCs w:val="18"/>
              </w:rPr>
              <w:t>气、</w:t>
            </w:r>
            <w:r>
              <w:rPr>
                <w:spacing w:val="-7"/>
                <w:sz w:val="18"/>
                <w:szCs w:val="18"/>
              </w:rPr>
              <w:t>乙</w:t>
            </w:r>
            <w:r>
              <w:rPr>
                <w:spacing w:val="-5"/>
                <w:sz w:val="18"/>
                <w:szCs w:val="18"/>
              </w:rPr>
              <w:t>酸乙酯</w:t>
            </w:r>
          </w:p>
          <w:p w14:paraId="18BF62C9">
            <w:pPr>
              <w:rPr>
                <w:sz w:val="18"/>
                <w:szCs w:val="18"/>
              </w:rPr>
            </w:pPr>
            <w:r>
              <w:rPr>
                <w:spacing w:val="-2"/>
                <w:sz w:val="18"/>
                <w:szCs w:val="18"/>
              </w:rPr>
              <w:t>亚硫</w:t>
            </w:r>
            <w:r>
              <w:rPr>
                <w:spacing w:val="-1"/>
                <w:sz w:val="18"/>
                <w:szCs w:val="18"/>
              </w:rPr>
              <w:t>酸氢钠、</w:t>
            </w:r>
            <w:r>
              <w:rPr>
                <w:spacing w:val="-9"/>
                <w:sz w:val="18"/>
                <w:szCs w:val="18"/>
              </w:rPr>
              <w:t>甲</w:t>
            </w:r>
            <w:r>
              <w:rPr>
                <w:spacing w:val="-8"/>
                <w:sz w:val="18"/>
                <w:szCs w:val="18"/>
              </w:rPr>
              <w:t>苯</w:t>
            </w:r>
          </w:p>
          <w:p w14:paraId="677F1B04">
            <w:pPr>
              <w:rPr>
                <w:sz w:val="18"/>
                <w:szCs w:val="18"/>
              </w:rPr>
            </w:pPr>
            <w:r>
              <w:rPr>
                <w:spacing w:val="-1"/>
                <w:sz w:val="18"/>
                <w:szCs w:val="18"/>
              </w:rPr>
              <w:t>硼氢化钠、</w:t>
            </w:r>
            <w:r>
              <w:rPr>
                <w:spacing w:val="-3"/>
                <w:sz w:val="18"/>
                <w:szCs w:val="18"/>
              </w:rPr>
              <w:t>丁</w:t>
            </w:r>
            <w:r>
              <w:rPr>
                <w:spacing w:val="-2"/>
                <w:sz w:val="18"/>
                <w:szCs w:val="18"/>
              </w:rPr>
              <w:t>酮</w:t>
            </w:r>
          </w:p>
          <w:p w14:paraId="1F58AEB6">
            <w:pPr>
              <w:rPr>
                <w:sz w:val="18"/>
                <w:szCs w:val="18"/>
              </w:rPr>
            </w:pPr>
            <w:r>
              <w:rPr>
                <w:rFonts w:eastAsia="Times New Roman"/>
                <w:spacing w:val="-10"/>
                <w:sz w:val="18"/>
                <w:szCs w:val="18"/>
              </w:rPr>
              <w:t>4</w:t>
            </w:r>
            <w:r>
              <w:rPr>
                <w:rFonts w:eastAsia="Times New Roman"/>
                <w:spacing w:val="-6"/>
                <w:sz w:val="18"/>
                <w:szCs w:val="18"/>
              </w:rPr>
              <w:t>-</w:t>
            </w:r>
            <w:r>
              <w:rPr>
                <w:spacing w:val="-6"/>
                <w:sz w:val="18"/>
                <w:szCs w:val="18"/>
              </w:rPr>
              <w:t>甲基吡啶、</w:t>
            </w:r>
            <w:r>
              <w:rPr>
                <w:spacing w:val="-7"/>
                <w:sz w:val="18"/>
                <w:szCs w:val="18"/>
              </w:rPr>
              <w:t>乙</w:t>
            </w:r>
            <w:r>
              <w:rPr>
                <w:spacing w:val="-5"/>
                <w:sz w:val="18"/>
                <w:szCs w:val="18"/>
              </w:rPr>
              <w:t>炔</w:t>
            </w:r>
          </w:p>
          <w:p w14:paraId="1B6F415A">
            <w:pPr>
              <w:rPr>
                <w:sz w:val="18"/>
                <w:szCs w:val="18"/>
              </w:rPr>
            </w:pPr>
            <w:r>
              <w:rPr>
                <w:spacing w:val="-3"/>
                <w:sz w:val="18"/>
                <w:szCs w:val="18"/>
              </w:rPr>
              <w:t>苯</w:t>
            </w:r>
            <w:r>
              <w:rPr>
                <w:spacing w:val="-2"/>
                <w:sz w:val="18"/>
                <w:szCs w:val="18"/>
              </w:rPr>
              <w:t>酚、升华</w:t>
            </w:r>
            <w:r>
              <w:rPr>
                <w:spacing w:val="-1"/>
                <w:sz w:val="18"/>
                <w:szCs w:val="18"/>
              </w:rPr>
              <w:t>硫</w:t>
            </w:r>
          </w:p>
        </w:tc>
        <w:tc>
          <w:tcPr>
            <w:tcW w:w="757" w:type="dxa"/>
            <w:vMerge w:val="restart"/>
            <w:tcBorders>
              <w:tl2br w:val="nil"/>
              <w:tr2bl w:val="nil"/>
            </w:tcBorders>
          </w:tcPr>
          <w:p w14:paraId="6813DFFC">
            <w:pPr>
              <w:spacing w:line="303" w:lineRule="auto"/>
              <w:rPr>
                <w:sz w:val="18"/>
                <w:szCs w:val="18"/>
              </w:rPr>
            </w:pPr>
          </w:p>
          <w:p w14:paraId="52E916FA">
            <w:pPr>
              <w:spacing w:line="303" w:lineRule="auto"/>
              <w:rPr>
                <w:sz w:val="18"/>
                <w:szCs w:val="18"/>
              </w:rPr>
            </w:pPr>
          </w:p>
          <w:p w14:paraId="18C83A18">
            <w:pPr>
              <w:spacing w:before="69" w:line="250" w:lineRule="auto"/>
              <w:ind w:left="198" w:right="107" w:hanging="77"/>
              <w:rPr>
                <w:sz w:val="18"/>
                <w:szCs w:val="18"/>
              </w:rPr>
            </w:pPr>
            <w:r>
              <w:rPr>
                <w:sz w:val="18"/>
                <w:szCs w:val="18"/>
              </w:rPr>
              <w:t>区块二</w:t>
            </w:r>
          </w:p>
        </w:tc>
      </w:tr>
      <w:tr w14:paraId="3DA06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jc w:val="center"/>
        </w:trPr>
        <w:tc>
          <w:tcPr>
            <w:tcW w:w="505" w:type="dxa"/>
            <w:vMerge w:val="continue"/>
            <w:tcBorders>
              <w:tl2br w:val="nil"/>
              <w:tr2bl w:val="nil"/>
            </w:tcBorders>
          </w:tcPr>
          <w:p w14:paraId="4413CE56">
            <w:pPr>
              <w:rPr>
                <w:sz w:val="18"/>
                <w:szCs w:val="18"/>
              </w:rPr>
            </w:pPr>
          </w:p>
        </w:tc>
        <w:tc>
          <w:tcPr>
            <w:tcW w:w="1061" w:type="dxa"/>
            <w:vMerge w:val="continue"/>
            <w:tcBorders>
              <w:tl2br w:val="nil"/>
              <w:tr2bl w:val="nil"/>
            </w:tcBorders>
          </w:tcPr>
          <w:p w14:paraId="3F91E6C1">
            <w:pPr>
              <w:rPr>
                <w:sz w:val="18"/>
                <w:szCs w:val="18"/>
              </w:rPr>
            </w:pPr>
          </w:p>
        </w:tc>
        <w:tc>
          <w:tcPr>
            <w:tcW w:w="2016" w:type="dxa"/>
            <w:tcBorders>
              <w:tl2br w:val="nil"/>
              <w:tr2bl w:val="nil"/>
            </w:tcBorders>
          </w:tcPr>
          <w:p w14:paraId="6CF8E782">
            <w:pPr>
              <w:spacing w:before="139" w:line="249" w:lineRule="auto"/>
              <w:ind w:right="116"/>
              <w:rPr>
                <w:sz w:val="18"/>
                <w:szCs w:val="18"/>
              </w:rPr>
            </w:pPr>
            <w:r>
              <w:rPr>
                <w:rFonts w:eastAsia="Times New Roman"/>
                <w:spacing w:val="-4"/>
                <w:sz w:val="18"/>
                <w:szCs w:val="18"/>
              </w:rPr>
              <w:t>10</w:t>
            </w:r>
            <w:r>
              <w:rPr>
                <w:spacing w:val="-2"/>
                <w:sz w:val="18"/>
                <w:szCs w:val="18"/>
              </w:rPr>
              <w:t>亿支</w:t>
            </w:r>
            <w:r>
              <w:rPr>
                <w:rFonts w:eastAsia="Times New Roman"/>
                <w:spacing w:val="-2"/>
                <w:sz w:val="18"/>
                <w:szCs w:val="18"/>
              </w:rPr>
              <w:t>/</w:t>
            </w:r>
            <w:r>
              <w:rPr>
                <w:spacing w:val="-2"/>
                <w:sz w:val="18"/>
                <w:szCs w:val="18"/>
              </w:rPr>
              <w:t>年粉针</w:t>
            </w:r>
            <w:r>
              <w:rPr>
                <w:sz w:val="18"/>
                <w:szCs w:val="18"/>
              </w:rPr>
              <w:t xml:space="preserve"> 剂</w:t>
            </w:r>
          </w:p>
        </w:tc>
        <w:tc>
          <w:tcPr>
            <w:tcW w:w="1578" w:type="dxa"/>
            <w:vMerge w:val="continue"/>
            <w:tcBorders>
              <w:tl2br w:val="nil"/>
              <w:tr2bl w:val="nil"/>
            </w:tcBorders>
          </w:tcPr>
          <w:p w14:paraId="61DEC8F8">
            <w:pPr>
              <w:rPr>
                <w:sz w:val="18"/>
                <w:szCs w:val="18"/>
              </w:rPr>
            </w:pPr>
          </w:p>
        </w:tc>
        <w:tc>
          <w:tcPr>
            <w:tcW w:w="871" w:type="dxa"/>
            <w:vMerge w:val="continue"/>
            <w:tcBorders>
              <w:tl2br w:val="nil"/>
              <w:tr2bl w:val="nil"/>
            </w:tcBorders>
          </w:tcPr>
          <w:p w14:paraId="41E57322">
            <w:pPr>
              <w:rPr>
                <w:sz w:val="18"/>
                <w:szCs w:val="18"/>
              </w:rPr>
            </w:pPr>
          </w:p>
        </w:tc>
        <w:tc>
          <w:tcPr>
            <w:tcW w:w="1091" w:type="dxa"/>
            <w:vMerge w:val="continue"/>
            <w:tcBorders>
              <w:tl2br w:val="nil"/>
              <w:tr2bl w:val="nil"/>
            </w:tcBorders>
          </w:tcPr>
          <w:p w14:paraId="6F4E2072">
            <w:pPr>
              <w:rPr>
                <w:sz w:val="18"/>
                <w:szCs w:val="18"/>
              </w:rPr>
            </w:pPr>
          </w:p>
        </w:tc>
        <w:tc>
          <w:tcPr>
            <w:tcW w:w="859" w:type="dxa"/>
            <w:vMerge w:val="continue"/>
            <w:tcBorders>
              <w:tl2br w:val="nil"/>
              <w:tr2bl w:val="nil"/>
            </w:tcBorders>
          </w:tcPr>
          <w:p w14:paraId="1E45DA8C">
            <w:pPr>
              <w:rPr>
                <w:sz w:val="18"/>
                <w:szCs w:val="18"/>
              </w:rPr>
            </w:pPr>
          </w:p>
        </w:tc>
        <w:tc>
          <w:tcPr>
            <w:tcW w:w="1076" w:type="dxa"/>
            <w:vMerge w:val="continue"/>
            <w:tcBorders>
              <w:tl2br w:val="nil"/>
              <w:tr2bl w:val="nil"/>
            </w:tcBorders>
          </w:tcPr>
          <w:p w14:paraId="101DE8B7">
            <w:pPr>
              <w:rPr>
                <w:sz w:val="18"/>
                <w:szCs w:val="18"/>
              </w:rPr>
            </w:pPr>
          </w:p>
        </w:tc>
        <w:tc>
          <w:tcPr>
            <w:tcW w:w="1391" w:type="dxa"/>
            <w:vMerge w:val="continue"/>
            <w:tcBorders>
              <w:tl2br w:val="nil"/>
              <w:tr2bl w:val="nil"/>
            </w:tcBorders>
          </w:tcPr>
          <w:p w14:paraId="6CFBAB9E">
            <w:pPr>
              <w:rPr>
                <w:sz w:val="18"/>
                <w:szCs w:val="18"/>
              </w:rPr>
            </w:pPr>
          </w:p>
        </w:tc>
        <w:tc>
          <w:tcPr>
            <w:tcW w:w="957" w:type="dxa"/>
            <w:vMerge w:val="continue"/>
            <w:tcBorders>
              <w:tl2br w:val="nil"/>
              <w:tr2bl w:val="nil"/>
            </w:tcBorders>
          </w:tcPr>
          <w:p w14:paraId="52081F49">
            <w:pPr>
              <w:rPr>
                <w:sz w:val="18"/>
                <w:szCs w:val="18"/>
              </w:rPr>
            </w:pPr>
          </w:p>
        </w:tc>
        <w:tc>
          <w:tcPr>
            <w:tcW w:w="1313" w:type="dxa"/>
            <w:vMerge w:val="continue"/>
            <w:tcBorders>
              <w:tl2br w:val="nil"/>
              <w:tr2bl w:val="nil"/>
            </w:tcBorders>
          </w:tcPr>
          <w:p w14:paraId="446566C4">
            <w:pPr>
              <w:rPr>
                <w:sz w:val="18"/>
                <w:szCs w:val="18"/>
              </w:rPr>
            </w:pPr>
          </w:p>
        </w:tc>
        <w:tc>
          <w:tcPr>
            <w:tcW w:w="1847" w:type="dxa"/>
            <w:vMerge w:val="continue"/>
            <w:tcBorders>
              <w:tl2br w:val="nil"/>
              <w:tr2bl w:val="nil"/>
            </w:tcBorders>
          </w:tcPr>
          <w:p w14:paraId="44F7DE88">
            <w:pPr>
              <w:rPr>
                <w:sz w:val="18"/>
                <w:szCs w:val="18"/>
              </w:rPr>
            </w:pPr>
          </w:p>
        </w:tc>
        <w:tc>
          <w:tcPr>
            <w:tcW w:w="757" w:type="dxa"/>
            <w:vMerge w:val="continue"/>
            <w:tcBorders>
              <w:tl2br w:val="nil"/>
              <w:tr2bl w:val="nil"/>
            </w:tcBorders>
          </w:tcPr>
          <w:p w14:paraId="5B7DEC15">
            <w:pPr>
              <w:rPr>
                <w:sz w:val="18"/>
                <w:szCs w:val="18"/>
              </w:rPr>
            </w:pPr>
          </w:p>
        </w:tc>
      </w:tr>
      <w:tr w14:paraId="3CF6A2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vMerge w:val="continue"/>
            <w:tcBorders>
              <w:tl2br w:val="nil"/>
              <w:tr2bl w:val="nil"/>
            </w:tcBorders>
          </w:tcPr>
          <w:p w14:paraId="5653F8B8">
            <w:pPr>
              <w:rPr>
                <w:sz w:val="18"/>
                <w:szCs w:val="18"/>
              </w:rPr>
            </w:pPr>
          </w:p>
        </w:tc>
        <w:tc>
          <w:tcPr>
            <w:tcW w:w="1061" w:type="dxa"/>
            <w:vMerge w:val="continue"/>
            <w:tcBorders>
              <w:tl2br w:val="nil"/>
              <w:tr2bl w:val="nil"/>
            </w:tcBorders>
          </w:tcPr>
          <w:p w14:paraId="1B41FC0F">
            <w:pPr>
              <w:rPr>
                <w:sz w:val="18"/>
                <w:szCs w:val="18"/>
              </w:rPr>
            </w:pPr>
          </w:p>
        </w:tc>
        <w:tc>
          <w:tcPr>
            <w:tcW w:w="2016" w:type="dxa"/>
            <w:tcBorders>
              <w:tl2br w:val="nil"/>
              <w:tr2bl w:val="nil"/>
            </w:tcBorders>
          </w:tcPr>
          <w:p w14:paraId="5936FD19">
            <w:pPr>
              <w:spacing w:before="102" w:line="235" w:lineRule="auto"/>
              <w:rPr>
                <w:rFonts w:eastAsia="Times New Roman"/>
                <w:sz w:val="18"/>
                <w:szCs w:val="18"/>
              </w:rPr>
            </w:pPr>
            <w:r>
              <w:rPr>
                <w:rFonts w:eastAsia="Times New Roman"/>
                <w:spacing w:val="11"/>
                <w:sz w:val="18"/>
                <w:szCs w:val="18"/>
              </w:rPr>
              <w:t>1</w:t>
            </w:r>
            <w:r>
              <w:rPr>
                <w:rFonts w:eastAsia="Times New Roman"/>
                <w:spacing w:val="8"/>
                <w:sz w:val="18"/>
                <w:szCs w:val="18"/>
              </w:rPr>
              <w:t>0</w:t>
            </w:r>
            <w:r>
              <w:rPr>
                <w:spacing w:val="8"/>
                <w:sz w:val="18"/>
                <w:szCs w:val="18"/>
              </w:rPr>
              <w:t>亿片(粒)</w:t>
            </w:r>
            <w:r>
              <w:rPr>
                <w:rFonts w:eastAsia="Times New Roman"/>
                <w:spacing w:val="8"/>
                <w:sz w:val="18"/>
                <w:szCs w:val="18"/>
              </w:rPr>
              <w:t>/</w:t>
            </w:r>
            <w:r>
              <w:rPr>
                <w:spacing w:val="-2"/>
                <w:sz w:val="18"/>
                <w:szCs w:val="18"/>
              </w:rPr>
              <w:t>年</w:t>
            </w:r>
            <w:r>
              <w:rPr>
                <w:spacing w:val="-1"/>
                <w:sz w:val="18"/>
                <w:szCs w:val="18"/>
              </w:rPr>
              <w:t>口服固体制</w:t>
            </w:r>
            <w:r>
              <w:rPr>
                <w:sz w:val="18"/>
                <w:szCs w:val="18"/>
              </w:rPr>
              <w:t>剂</w:t>
            </w:r>
          </w:p>
        </w:tc>
        <w:tc>
          <w:tcPr>
            <w:tcW w:w="1578" w:type="dxa"/>
            <w:vMerge w:val="continue"/>
            <w:tcBorders>
              <w:tl2br w:val="nil"/>
              <w:tr2bl w:val="nil"/>
            </w:tcBorders>
          </w:tcPr>
          <w:p w14:paraId="12EC94EE">
            <w:pPr>
              <w:rPr>
                <w:sz w:val="18"/>
                <w:szCs w:val="18"/>
              </w:rPr>
            </w:pPr>
          </w:p>
        </w:tc>
        <w:tc>
          <w:tcPr>
            <w:tcW w:w="871" w:type="dxa"/>
            <w:vMerge w:val="continue"/>
            <w:tcBorders>
              <w:tl2br w:val="nil"/>
              <w:tr2bl w:val="nil"/>
            </w:tcBorders>
          </w:tcPr>
          <w:p w14:paraId="151377B4">
            <w:pPr>
              <w:rPr>
                <w:sz w:val="18"/>
                <w:szCs w:val="18"/>
              </w:rPr>
            </w:pPr>
          </w:p>
        </w:tc>
        <w:tc>
          <w:tcPr>
            <w:tcW w:w="1091" w:type="dxa"/>
            <w:vMerge w:val="continue"/>
            <w:tcBorders>
              <w:tl2br w:val="nil"/>
              <w:tr2bl w:val="nil"/>
            </w:tcBorders>
          </w:tcPr>
          <w:p w14:paraId="25D388A7">
            <w:pPr>
              <w:rPr>
                <w:sz w:val="18"/>
                <w:szCs w:val="18"/>
              </w:rPr>
            </w:pPr>
          </w:p>
        </w:tc>
        <w:tc>
          <w:tcPr>
            <w:tcW w:w="859" w:type="dxa"/>
            <w:vMerge w:val="continue"/>
            <w:tcBorders>
              <w:tl2br w:val="nil"/>
              <w:tr2bl w:val="nil"/>
            </w:tcBorders>
          </w:tcPr>
          <w:p w14:paraId="0C585C01">
            <w:pPr>
              <w:rPr>
                <w:sz w:val="18"/>
                <w:szCs w:val="18"/>
              </w:rPr>
            </w:pPr>
          </w:p>
        </w:tc>
        <w:tc>
          <w:tcPr>
            <w:tcW w:w="1076" w:type="dxa"/>
            <w:vMerge w:val="continue"/>
            <w:tcBorders>
              <w:tl2br w:val="nil"/>
              <w:tr2bl w:val="nil"/>
            </w:tcBorders>
          </w:tcPr>
          <w:p w14:paraId="7851E1F1">
            <w:pPr>
              <w:rPr>
                <w:sz w:val="18"/>
                <w:szCs w:val="18"/>
              </w:rPr>
            </w:pPr>
          </w:p>
        </w:tc>
        <w:tc>
          <w:tcPr>
            <w:tcW w:w="1391" w:type="dxa"/>
            <w:vMerge w:val="continue"/>
            <w:tcBorders>
              <w:tl2br w:val="nil"/>
              <w:tr2bl w:val="nil"/>
            </w:tcBorders>
          </w:tcPr>
          <w:p w14:paraId="01A2FC9F">
            <w:pPr>
              <w:rPr>
                <w:sz w:val="18"/>
                <w:szCs w:val="18"/>
              </w:rPr>
            </w:pPr>
          </w:p>
        </w:tc>
        <w:tc>
          <w:tcPr>
            <w:tcW w:w="957" w:type="dxa"/>
            <w:vMerge w:val="continue"/>
            <w:tcBorders>
              <w:tl2br w:val="nil"/>
              <w:tr2bl w:val="nil"/>
            </w:tcBorders>
          </w:tcPr>
          <w:p w14:paraId="60F7C3D4">
            <w:pPr>
              <w:rPr>
                <w:sz w:val="18"/>
                <w:szCs w:val="18"/>
              </w:rPr>
            </w:pPr>
          </w:p>
        </w:tc>
        <w:tc>
          <w:tcPr>
            <w:tcW w:w="1313" w:type="dxa"/>
            <w:vMerge w:val="continue"/>
            <w:tcBorders>
              <w:tl2br w:val="nil"/>
              <w:tr2bl w:val="nil"/>
            </w:tcBorders>
          </w:tcPr>
          <w:p w14:paraId="0D6CED99">
            <w:pPr>
              <w:rPr>
                <w:sz w:val="18"/>
                <w:szCs w:val="18"/>
              </w:rPr>
            </w:pPr>
          </w:p>
        </w:tc>
        <w:tc>
          <w:tcPr>
            <w:tcW w:w="1847" w:type="dxa"/>
            <w:vMerge w:val="continue"/>
            <w:tcBorders>
              <w:tl2br w:val="nil"/>
              <w:tr2bl w:val="nil"/>
            </w:tcBorders>
          </w:tcPr>
          <w:p w14:paraId="721545D8">
            <w:pPr>
              <w:rPr>
                <w:sz w:val="18"/>
                <w:szCs w:val="18"/>
              </w:rPr>
            </w:pPr>
          </w:p>
        </w:tc>
        <w:tc>
          <w:tcPr>
            <w:tcW w:w="757" w:type="dxa"/>
            <w:vMerge w:val="continue"/>
            <w:tcBorders>
              <w:tl2br w:val="nil"/>
              <w:tr2bl w:val="nil"/>
            </w:tcBorders>
          </w:tcPr>
          <w:p w14:paraId="4AF87500">
            <w:pPr>
              <w:rPr>
                <w:sz w:val="18"/>
                <w:szCs w:val="18"/>
              </w:rPr>
            </w:pPr>
          </w:p>
        </w:tc>
      </w:tr>
      <w:tr w14:paraId="0CE76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vMerge w:val="continue"/>
            <w:tcBorders>
              <w:tl2br w:val="nil"/>
              <w:tr2bl w:val="nil"/>
            </w:tcBorders>
          </w:tcPr>
          <w:p w14:paraId="61B0BFEF">
            <w:pPr>
              <w:rPr>
                <w:sz w:val="18"/>
                <w:szCs w:val="18"/>
              </w:rPr>
            </w:pPr>
          </w:p>
        </w:tc>
        <w:tc>
          <w:tcPr>
            <w:tcW w:w="1061" w:type="dxa"/>
            <w:vMerge w:val="continue"/>
            <w:tcBorders>
              <w:tl2br w:val="nil"/>
              <w:tr2bl w:val="nil"/>
            </w:tcBorders>
          </w:tcPr>
          <w:p w14:paraId="5BD59F3A">
            <w:pPr>
              <w:rPr>
                <w:sz w:val="18"/>
                <w:szCs w:val="18"/>
              </w:rPr>
            </w:pPr>
          </w:p>
        </w:tc>
        <w:tc>
          <w:tcPr>
            <w:tcW w:w="2016" w:type="dxa"/>
            <w:tcBorders>
              <w:tl2br w:val="nil"/>
              <w:tr2bl w:val="nil"/>
            </w:tcBorders>
          </w:tcPr>
          <w:p w14:paraId="4E2E5EED">
            <w:pPr>
              <w:spacing w:before="68" w:line="234" w:lineRule="auto"/>
              <w:rPr>
                <w:rFonts w:eastAsia="Times New Roman"/>
                <w:spacing w:val="11"/>
                <w:sz w:val="18"/>
                <w:szCs w:val="18"/>
              </w:rPr>
            </w:pPr>
            <w:r>
              <w:rPr>
                <w:rFonts w:eastAsia="Times New Roman"/>
                <w:spacing w:val="6"/>
                <w:sz w:val="18"/>
                <w:szCs w:val="18"/>
              </w:rPr>
              <w:t>1</w:t>
            </w:r>
            <w:r>
              <w:rPr>
                <w:spacing w:val="3"/>
                <w:sz w:val="18"/>
                <w:szCs w:val="18"/>
              </w:rPr>
              <w:t>亿支</w:t>
            </w:r>
            <w:r>
              <w:rPr>
                <w:rFonts w:eastAsia="Times New Roman"/>
                <w:spacing w:val="3"/>
                <w:sz w:val="18"/>
                <w:szCs w:val="18"/>
              </w:rPr>
              <w:t>/</w:t>
            </w:r>
            <w:r>
              <w:rPr>
                <w:spacing w:val="3"/>
                <w:sz w:val="18"/>
                <w:szCs w:val="18"/>
              </w:rPr>
              <w:t>年(</w:t>
            </w:r>
            <w:r>
              <w:rPr>
                <w:rFonts w:eastAsia="Times New Roman"/>
                <w:spacing w:val="3"/>
                <w:sz w:val="18"/>
                <w:szCs w:val="18"/>
              </w:rPr>
              <w:t>2</w:t>
            </w:r>
            <w:r>
              <w:rPr>
                <w:rFonts w:eastAsia="Times New Roman"/>
                <w:sz w:val="18"/>
                <w:szCs w:val="18"/>
              </w:rPr>
              <w:t>ml</w:t>
            </w:r>
            <w:r>
              <w:rPr>
                <w:rFonts w:eastAsia="Times New Roman"/>
                <w:spacing w:val="3"/>
                <w:sz w:val="18"/>
                <w:szCs w:val="18"/>
              </w:rPr>
              <w:t>/</w:t>
            </w:r>
            <w:r>
              <w:rPr>
                <w:spacing w:val="3"/>
                <w:sz w:val="18"/>
                <w:szCs w:val="18"/>
              </w:rPr>
              <w:t>支)小容量注</w:t>
            </w:r>
            <w:r>
              <w:rPr>
                <w:spacing w:val="2"/>
                <w:sz w:val="18"/>
                <w:szCs w:val="18"/>
              </w:rPr>
              <w:t>射</w:t>
            </w:r>
            <w:r>
              <w:rPr>
                <w:sz w:val="18"/>
                <w:szCs w:val="18"/>
              </w:rPr>
              <w:t>剂</w:t>
            </w:r>
          </w:p>
        </w:tc>
        <w:tc>
          <w:tcPr>
            <w:tcW w:w="1578" w:type="dxa"/>
            <w:vMerge w:val="continue"/>
            <w:tcBorders>
              <w:tl2br w:val="nil"/>
              <w:tr2bl w:val="nil"/>
            </w:tcBorders>
          </w:tcPr>
          <w:p w14:paraId="2693C89C">
            <w:pPr>
              <w:rPr>
                <w:sz w:val="18"/>
                <w:szCs w:val="18"/>
              </w:rPr>
            </w:pPr>
          </w:p>
        </w:tc>
        <w:tc>
          <w:tcPr>
            <w:tcW w:w="871" w:type="dxa"/>
            <w:vMerge w:val="continue"/>
            <w:tcBorders>
              <w:tl2br w:val="nil"/>
              <w:tr2bl w:val="nil"/>
            </w:tcBorders>
          </w:tcPr>
          <w:p w14:paraId="64B7B2F0">
            <w:pPr>
              <w:rPr>
                <w:sz w:val="18"/>
                <w:szCs w:val="18"/>
              </w:rPr>
            </w:pPr>
          </w:p>
        </w:tc>
        <w:tc>
          <w:tcPr>
            <w:tcW w:w="1091" w:type="dxa"/>
            <w:vMerge w:val="continue"/>
            <w:tcBorders>
              <w:tl2br w:val="nil"/>
              <w:tr2bl w:val="nil"/>
            </w:tcBorders>
          </w:tcPr>
          <w:p w14:paraId="6B396DCD">
            <w:pPr>
              <w:rPr>
                <w:sz w:val="18"/>
                <w:szCs w:val="18"/>
              </w:rPr>
            </w:pPr>
          </w:p>
        </w:tc>
        <w:tc>
          <w:tcPr>
            <w:tcW w:w="859" w:type="dxa"/>
            <w:vMerge w:val="continue"/>
            <w:tcBorders>
              <w:tl2br w:val="nil"/>
              <w:tr2bl w:val="nil"/>
            </w:tcBorders>
          </w:tcPr>
          <w:p w14:paraId="238B968B">
            <w:pPr>
              <w:rPr>
                <w:sz w:val="18"/>
                <w:szCs w:val="18"/>
              </w:rPr>
            </w:pPr>
          </w:p>
        </w:tc>
        <w:tc>
          <w:tcPr>
            <w:tcW w:w="1076" w:type="dxa"/>
            <w:vMerge w:val="continue"/>
            <w:tcBorders>
              <w:tl2br w:val="nil"/>
              <w:tr2bl w:val="nil"/>
            </w:tcBorders>
          </w:tcPr>
          <w:p w14:paraId="48307AA9">
            <w:pPr>
              <w:rPr>
                <w:sz w:val="18"/>
                <w:szCs w:val="18"/>
              </w:rPr>
            </w:pPr>
          </w:p>
        </w:tc>
        <w:tc>
          <w:tcPr>
            <w:tcW w:w="1391" w:type="dxa"/>
            <w:vMerge w:val="continue"/>
            <w:tcBorders>
              <w:tl2br w:val="nil"/>
              <w:tr2bl w:val="nil"/>
            </w:tcBorders>
          </w:tcPr>
          <w:p w14:paraId="24AB84AF">
            <w:pPr>
              <w:rPr>
                <w:sz w:val="18"/>
                <w:szCs w:val="18"/>
              </w:rPr>
            </w:pPr>
          </w:p>
        </w:tc>
        <w:tc>
          <w:tcPr>
            <w:tcW w:w="957" w:type="dxa"/>
            <w:vMerge w:val="continue"/>
            <w:tcBorders>
              <w:tl2br w:val="nil"/>
              <w:tr2bl w:val="nil"/>
            </w:tcBorders>
          </w:tcPr>
          <w:p w14:paraId="6C849AEC">
            <w:pPr>
              <w:rPr>
                <w:sz w:val="18"/>
                <w:szCs w:val="18"/>
              </w:rPr>
            </w:pPr>
          </w:p>
        </w:tc>
        <w:tc>
          <w:tcPr>
            <w:tcW w:w="1313" w:type="dxa"/>
            <w:vMerge w:val="continue"/>
            <w:tcBorders>
              <w:tl2br w:val="nil"/>
              <w:tr2bl w:val="nil"/>
            </w:tcBorders>
          </w:tcPr>
          <w:p w14:paraId="2ED2EC0A">
            <w:pPr>
              <w:rPr>
                <w:sz w:val="18"/>
                <w:szCs w:val="18"/>
              </w:rPr>
            </w:pPr>
          </w:p>
        </w:tc>
        <w:tc>
          <w:tcPr>
            <w:tcW w:w="1847" w:type="dxa"/>
            <w:vMerge w:val="continue"/>
            <w:tcBorders>
              <w:tl2br w:val="nil"/>
              <w:tr2bl w:val="nil"/>
            </w:tcBorders>
          </w:tcPr>
          <w:p w14:paraId="097EB4A7">
            <w:pPr>
              <w:rPr>
                <w:sz w:val="18"/>
                <w:szCs w:val="18"/>
              </w:rPr>
            </w:pPr>
          </w:p>
        </w:tc>
        <w:tc>
          <w:tcPr>
            <w:tcW w:w="757" w:type="dxa"/>
            <w:vMerge w:val="continue"/>
            <w:tcBorders>
              <w:tl2br w:val="nil"/>
              <w:tr2bl w:val="nil"/>
            </w:tcBorders>
          </w:tcPr>
          <w:p w14:paraId="5CE24009">
            <w:pPr>
              <w:rPr>
                <w:sz w:val="18"/>
                <w:szCs w:val="18"/>
              </w:rPr>
            </w:pPr>
          </w:p>
        </w:tc>
      </w:tr>
      <w:tr w14:paraId="426C4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vMerge w:val="continue"/>
            <w:tcBorders>
              <w:tl2br w:val="nil"/>
              <w:tr2bl w:val="nil"/>
            </w:tcBorders>
          </w:tcPr>
          <w:p w14:paraId="1EAE6DD2">
            <w:pPr>
              <w:rPr>
                <w:sz w:val="18"/>
                <w:szCs w:val="18"/>
              </w:rPr>
            </w:pPr>
          </w:p>
        </w:tc>
        <w:tc>
          <w:tcPr>
            <w:tcW w:w="1061" w:type="dxa"/>
            <w:vMerge w:val="continue"/>
            <w:tcBorders>
              <w:tl2br w:val="nil"/>
              <w:tr2bl w:val="nil"/>
            </w:tcBorders>
          </w:tcPr>
          <w:p w14:paraId="60FA0885">
            <w:pPr>
              <w:rPr>
                <w:sz w:val="18"/>
                <w:szCs w:val="18"/>
              </w:rPr>
            </w:pPr>
          </w:p>
        </w:tc>
        <w:tc>
          <w:tcPr>
            <w:tcW w:w="2016" w:type="dxa"/>
            <w:tcBorders>
              <w:tl2br w:val="nil"/>
              <w:tr2bl w:val="nil"/>
            </w:tcBorders>
          </w:tcPr>
          <w:p w14:paraId="101571D3">
            <w:pPr>
              <w:spacing w:before="69" w:line="248" w:lineRule="auto"/>
              <w:ind w:right="142"/>
              <w:rPr>
                <w:rFonts w:eastAsia="Times New Roman"/>
                <w:spacing w:val="11"/>
                <w:sz w:val="18"/>
                <w:szCs w:val="18"/>
              </w:rPr>
            </w:pPr>
            <w:r>
              <w:rPr>
                <w:rFonts w:eastAsia="Times New Roman"/>
                <w:spacing w:val="-1"/>
                <w:sz w:val="18"/>
                <w:szCs w:val="18"/>
              </w:rPr>
              <w:t>600</w:t>
            </w:r>
            <w:r>
              <w:rPr>
                <w:rFonts w:eastAsia="Times New Roman"/>
                <w:sz w:val="18"/>
                <w:szCs w:val="18"/>
              </w:rPr>
              <w:t>g</w:t>
            </w:r>
            <w:r>
              <w:rPr>
                <w:rFonts w:eastAsia="Times New Roman"/>
                <w:spacing w:val="-1"/>
                <w:sz w:val="18"/>
                <w:szCs w:val="18"/>
              </w:rPr>
              <w:t>/</w:t>
            </w:r>
            <w:r>
              <w:rPr>
                <w:spacing w:val="-1"/>
                <w:sz w:val="18"/>
                <w:szCs w:val="18"/>
              </w:rPr>
              <w:t>年唑来膦</w:t>
            </w:r>
            <w:r>
              <w:rPr>
                <w:sz w:val="18"/>
                <w:szCs w:val="18"/>
              </w:rPr>
              <w:t xml:space="preserve"> 酸</w:t>
            </w:r>
          </w:p>
        </w:tc>
        <w:tc>
          <w:tcPr>
            <w:tcW w:w="1578" w:type="dxa"/>
            <w:vMerge w:val="continue"/>
            <w:tcBorders>
              <w:tl2br w:val="nil"/>
              <w:tr2bl w:val="nil"/>
            </w:tcBorders>
          </w:tcPr>
          <w:p w14:paraId="70DF17B7">
            <w:pPr>
              <w:rPr>
                <w:sz w:val="18"/>
                <w:szCs w:val="18"/>
              </w:rPr>
            </w:pPr>
          </w:p>
        </w:tc>
        <w:tc>
          <w:tcPr>
            <w:tcW w:w="871" w:type="dxa"/>
            <w:vMerge w:val="continue"/>
            <w:tcBorders>
              <w:tl2br w:val="nil"/>
              <w:tr2bl w:val="nil"/>
            </w:tcBorders>
          </w:tcPr>
          <w:p w14:paraId="24676EF4">
            <w:pPr>
              <w:rPr>
                <w:sz w:val="18"/>
                <w:szCs w:val="18"/>
              </w:rPr>
            </w:pPr>
          </w:p>
        </w:tc>
        <w:tc>
          <w:tcPr>
            <w:tcW w:w="1091" w:type="dxa"/>
            <w:vMerge w:val="continue"/>
            <w:tcBorders>
              <w:tl2br w:val="nil"/>
              <w:tr2bl w:val="nil"/>
            </w:tcBorders>
          </w:tcPr>
          <w:p w14:paraId="1D1EABA1">
            <w:pPr>
              <w:rPr>
                <w:sz w:val="18"/>
                <w:szCs w:val="18"/>
              </w:rPr>
            </w:pPr>
          </w:p>
        </w:tc>
        <w:tc>
          <w:tcPr>
            <w:tcW w:w="859" w:type="dxa"/>
            <w:vMerge w:val="continue"/>
            <w:tcBorders>
              <w:tl2br w:val="nil"/>
              <w:tr2bl w:val="nil"/>
            </w:tcBorders>
          </w:tcPr>
          <w:p w14:paraId="397B2A01">
            <w:pPr>
              <w:rPr>
                <w:sz w:val="18"/>
                <w:szCs w:val="18"/>
              </w:rPr>
            </w:pPr>
          </w:p>
        </w:tc>
        <w:tc>
          <w:tcPr>
            <w:tcW w:w="1076" w:type="dxa"/>
            <w:vMerge w:val="continue"/>
            <w:tcBorders>
              <w:tl2br w:val="nil"/>
              <w:tr2bl w:val="nil"/>
            </w:tcBorders>
          </w:tcPr>
          <w:p w14:paraId="5B6628DF">
            <w:pPr>
              <w:rPr>
                <w:sz w:val="18"/>
                <w:szCs w:val="18"/>
              </w:rPr>
            </w:pPr>
          </w:p>
        </w:tc>
        <w:tc>
          <w:tcPr>
            <w:tcW w:w="1391" w:type="dxa"/>
            <w:vMerge w:val="continue"/>
            <w:tcBorders>
              <w:tl2br w:val="nil"/>
              <w:tr2bl w:val="nil"/>
            </w:tcBorders>
          </w:tcPr>
          <w:p w14:paraId="46D3392A">
            <w:pPr>
              <w:rPr>
                <w:sz w:val="18"/>
                <w:szCs w:val="18"/>
              </w:rPr>
            </w:pPr>
          </w:p>
        </w:tc>
        <w:tc>
          <w:tcPr>
            <w:tcW w:w="957" w:type="dxa"/>
            <w:vMerge w:val="continue"/>
            <w:tcBorders>
              <w:tl2br w:val="nil"/>
              <w:tr2bl w:val="nil"/>
            </w:tcBorders>
          </w:tcPr>
          <w:p w14:paraId="2E6A6A67">
            <w:pPr>
              <w:rPr>
                <w:sz w:val="18"/>
                <w:szCs w:val="18"/>
              </w:rPr>
            </w:pPr>
          </w:p>
        </w:tc>
        <w:tc>
          <w:tcPr>
            <w:tcW w:w="1313" w:type="dxa"/>
            <w:vMerge w:val="continue"/>
            <w:tcBorders>
              <w:tl2br w:val="nil"/>
              <w:tr2bl w:val="nil"/>
            </w:tcBorders>
          </w:tcPr>
          <w:p w14:paraId="656CA0ED">
            <w:pPr>
              <w:rPr>
                <w:sz w:val="18"/>
                <w:szCs w:val="18"/>
              </w:rPr>
            </w:pPr>
          </w:p>
        </w:tc>
        <w:tc>
          <w:tcPr>
            <w:tcW w:w="1847" w:type="dxa"/>
            <w:vMerge w:val="continue"/>
            <w:tcBorders>
              <w:tl2br w:val="nil"/>
              <w:tr2bl w:val="nil"/>
            </w:tcBorders>
          </w:tcPr>
          <w:p w14:paraId="5C348D99">
            <w:pPr>
              <w:rPr>
                <w:sz w:val="18"/>
                <w:szCs w:val="18"/>
              </w:rPr>
            </w:pPr>
          </w:p>
        </w:tc>
        <w:tc>
          <w:tcPr>
            <w:tcW w:w="757" w:type="dxa"/>
            <w:vMerge w:val="continue"/>
            <w:tcBorders>
              <w:tl2br w:val="nil"/>
              <w:tr2bl w:val="nil"/>
            </w:tcBorders>
          </w:tcPr>
          <w:p w14:paraId="2DFAD77E">
            <w:pPr>
              <w:rPr>
                <w:sz w:val="18"/>
                <w:szCs w:val="18"/>
              </w:rPr>
            </w:pPr>
          </w:p>
        </w:tc>
      </w:tr>
      <w:tr w14:paraId="5AC3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vMerge w:val="continue"/>
            <w:tcBorders>
              <w:tl2br w:val="nil"/>
              <w:tr2bl w:val="nil"/>
            </w:tcBorders>
          </w:tcPr>
          <w:p w14:paraId="124A1952">
            <w:pPr>
              <w:rPr>
                <w:sz w:val="18"/>
                <w:szCs w:val="18"/>
              </w:rPr>
            </w:pPr>
          </w:p>
        </w:tc>
        <w:tc>
          <w:tcPr>
            <w:tcW w:w="1061" w:type="dxa"/>
            <w:vMerge w:val="continue"/>
            <w:tcBorders>
              <w:tl2br w:val="nil"/>
              <w:tr2bl w:val="nil"/>
            </w:tcBorders>
          </w:tcPr>
          <w:p w14:paraId="62715DB9">
            <w:pPr>
              <w:rPr>
                <w:sz w:val="18"/>
                <w:szCs w:val="18"/>
              </w:rPr>
            </w:pPr>
          </w:p>
        </w:tc>
        <w:tc>
          <w:tcPr>
            <w:tcW w:w="2016" w:type="dxa"/>
            <w:tcBorders>
              <w:tl2br w:val="nil"/>
              <w:tr2bl w:val="nil"/>
            </w:tcBorders>
          </w:tcPr>
          <w:p w14:paraId="268F8094">
            <w:pPr>
              <w:spacing w:before="68" w:line="247" w:lineRule="auto"/>
              <w:ind w:right="142"/>
              <w:rPr>
                <w:rFonts w:eastAsia="Times New Roman"/>
                <w:spacing w:val="11"/>
                <w:sz w:val="18"/>
                <w:szCs w:val="18"/>
              </w:rPr>
            </w:pPr>
            <w:r>
              <w:rPr>
                <w:rFonts w:eastAsia="Times New Roman"/>
                <w:spacing w:val="-1"/>
                <w:sz w:val="18"/>
                <w:szCs w:val="18"/>
              </w:rPr>
              <w:t>66k</w:t>
            </w:r>
            <w:r>
              <w:rPr>
                <w:rFonts w:eastAsia="Times New Roman"/>
                <w:sz w:val="18"/>
                <w:szCs w:val="18"/>
              </w:rPr>
              <w:t>g</w:t>
            </w:r>
            <w:r>
              <w:rPr>
                <w:rFonts w:eastAsia="Times New Roman"/>
                <w:spacing w:val="-1"/>
                <w:sz w:val="18"/>
                <w:szCs w:val="18"/>
              </w:rPr>
              <w:t>/</w:t>
            </w:r>
            <w:r>
              <w:rPr>
                <w:spacing w:val="-1"/>
                <w:sz w:val="18"/>
                <w:szCs w:val="18"/>
              </w:rPr>
              <w:t>年吡嘧司</w:t>
            </w:r>
            <w:r>
              <w:rPr>
                <w:spacing w:val="-2"/>
                <w:sz w:val="18"/>
                <w:szCs w:val="18"/>
              </w:rPr>
              <w:t>特</w:t>
            </w:r>
            <w:r>
              <w:rPr>
                <w:spacing w:val="-1"/>
                <w:sz w:val="18"/>
                <w:szCs w:val="18"/>
              </w:rPr>
              <w:t>钾</w:t>
            </w:r>
          </w:p>
        </w:tc>
        <w:tc>
          <w:tcPr>
            <w:tcW w:w="1578" w:type="dxa"/>
            <w:vMerge w:val="continue"/>
            <w:tcBorders>
              <w:tl2br w:val="nil"/>
              <w:tr2bl w:val="nil"/>
            </w:tcBorders>
          </w:tcPr>
          <w:p w14:paraId="05EAAE20">
            <w:pPr>
              <w:rPr>
                <w:sz w:val="18"/>
                <w:szCs w:val="18"/>
              </w:rPr>
            </w:pPr>
          </w:p>
        </w:tc>
        <w:tc>
          <w:tcPr>
            <w:tcW w:w="871" w:type="dxa"/>
            <w:vMerge w:val="continue"/>
            <w:tcBorders>
              <w:tl2br w:val="nil"/>
              <w:tr2bl w:val="nil"/>
            </w:tcBorders>
          </w:tcPr>
          <w:p w14:paraId="485B4021">
            <w:pPr>
              <w:rPr>
                <w:sz w:val="18"/>
                <w:szCs w:val="18"/>
              </w:rPr>
            </w:pPr>
          </w:p>
        </w:tc>
        <w:tc>
          <w:tcPr>
            <w:tcW w:w="1091" w:type="dxa"/>
            <w:vMerge w:val="continue"/>
            <w:tcBorders>
              <w:tl2br w:val="nil"/>
              <w:tr2bl w:val="nil"/>
            </w:tcBorders>
          </w:tcPr>
          <w:p w14:paraId="48BD1140">
            <w:pPr>
              <w:rPr>
                <w:sz w:val="18"/>
                <w:szCs w:val="18"/>
              </w:rPr>
            </w:pPr>
          </w:p>
        </w:tc>
        <w:tc>
          <w:tcPr>
            <w:tcW w:w="859" w:type="dxa"/>
            <w:vMerge w:val="continue"/>
            <w:tcBorders>
              <w:tl2br w:val="nil"/>
              <w:tr2bl w:val="nil"/>
            </w:tcBorders>
          </w:tcPr>
          <w:p w14:paraId="59689F14">
            <w:pPr>
              <w:rPr>
                <w:sz w:val="18"/>
                <w:szCs w:val="18"/>
              </w:rPr>
            </w:pPr>
          </w:p>
        </w:tc>
        <w:tc>
          <w:tcPr>
            <w:tcW w:w="1076" w:type="dxa"/>
            <w:vMerge w:val="continue"/>
            <w:tcBorders>
              <w:tl2br w:val="nil"/>
              <w:tr2bl w:val="nil"/>
            </w:tcBorders>
          </w:tcPr>
          <w:p w14:paraId="572EF008">
            <w:pPr>
              <w:rPr>
                <w:sz w:val="18"/>
                <w:szCs w:val="18"/>
              </w:rPr>
            </w:pPr>
          </w:p>
        </w:tc>
        <w:tc>
          <w:tcPr>
            <w:tcW w:w="1391" w:type="dxa"/>
            <w:vMerge w:val="continue"/>
            <w:tcBorders>
              <w:tl2br w:val="nil"/>
              <w:tr2bl w:val="nil"/>
            </w:tcBorders>
          </w:tcPr>
          <w:p w14:paraId="7BEA61D4">
            <w:pPr>
              <w:rPr>
                <w:sz w:val="18"/>
                <w:szCs w:val="18"/>
              </w:rPr>
            </w:pPr>
          </w:p>
        </w:tc>
        <w:tc>
          <w:tcPr>
            <w:tcW w:w="957" w:type="dxa"/>
            <w:vMerge w:val="continue"/>
            <w:tcBorders>
              <w:tl2br w:val="nil"/>
              <w:tr2bl w:val="nil"/>
            </w:tcBorders>
          </w:tcPr>
          <w:p w14:paraId="13285F7E">
            <w:pPr>
              <w:rPr>
                <w:sz w:val="18"/>
                <w:szCs w:val="18"/>
              </w:rPr>
            </w:pPr>
          </w:p>
        </w:tc>
        <w:tc>
          <w:tcPr>
            <w:tcW w:w="1313" w:type="dxa"/>
            <w:vMerge w:val="continue"/>
            <w:tcBorders>
              <w:tl2br w:val="nil"/>
              <w:tr2bl w:val="nil"/>
            </w:tcBorders>
          </w:tcPr>
          <w:p w14:paraId="0BCD4E18">
            <w:pPr>
              <w:rPr>
                <w:sz w:val="18"/>
                <w:szCs w:val="18"/>
              </w:rPr>
            </w:pPr>
          </w:p>
        </w:tc>
        <w:tc>
          <w:tcPr>
            <w:tcW w:w="1847" w:type="dxa"/>
            <w:vMerge w:val="continue"/>
            <w:tcBorders>
              <w:tl2br w:val="nil"/>
              <w:tr2bl w:val="nil"/>
            </w:tcBorders>
          </w:tcPr>
          <w:p w14:paraId="6BE0804B">
            <w:pPr>
              <w:rPr>
                <w:sz w:val="18"/>
                <w:szCs w:val="18"/>
              </w:rPr>
            </w:pPr>
          </w:p>
        </w:tc>
        <w:tc>
          <w:tcPr>
            <w:tcW w:w="757" w:type="dxa"/>
            <w:vMerge w:val="continue"/>
            <w:tcBorders>
              <w:tl2br w:val="nil"/>
              <w:tr2bl w:val="nil"/>
            </w:tcBorders>
          </w:tcPr>
          <w:p w14:paraId="237AD2D9">
            <w:pPr>
              <w:rPr>
                <w:sz w:val="18"/>
                <w:szCs w:val="18"/>
              </w:rPr>
            </w:pPr>
          </w:p>
        </w:tc>
      </w:tr>
      <w:tr w14:paraId="16D8F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505" w:type="dxa"/>
            <w:vMerge w:val="continue"/>
            <w:tcBorders>
              <w:tl2br w:val="nil"/>
              <w:tr2bl w:val="nil"/>
            </w:tcBorders>
          </w:tcPr>
          <w:p w14:paraId="182269A7">
            <w:pPr>
              <w:rPr>
                <w:sz w:val="18"/>
                <w:szCs w:val="18"/>
              </w:rPr>
            </w:pPr>
          </w:p>
        </w:tc>
        <w:tc>
          <w:tcPr>
            <w:tcW w:w="1061" w:type="dxa"/>
            <w:vMerge w:val="continue"/>
            <w:tcBorders>
              <w:tl2br w:val="nil"/>
              <w:tr2bl w:val="nil"/>
            </w:tcBorders>
          </w:tcPr>
          <w:p w14:paraId="619829F7">
            <w:pPr>
              <w:rPr>
                <w:sz w:val="18"/>
                <w:szCs w:val="18"/>
              </w:rPr>
            </w:pPr>
          </w:p>
        </w:tc>
        <w:tc>
          <w:tcPr>
            <w:tcW w:w="2016" w:type="dxa"/>
            <w:tcBorders>
              <w:tl2br w:val="nil"/>
              <w:tr2bl w:val="nil"/>
            </w:tcBorders>
          </w:tcPr>
          <w:p w14:paraId="09098F98">
            <w:pPr>
              <w:spacing w:before="68" w:line="249" w:lineRule="auto"/>
              <w:ind w:right="193"/>
            </w:pPr>
            <w:r>
              <w:t>500kg/年依达拉奉</w:t>
            </w:r>
          </w:p>
        </w:tc>
        <w:tc>
          <w:tcPr>
            <w:tcW w:w="1578" w:type="dxa"/>
            <w:vMerge w:val="continue"/>
            <w:tcBorders>
              <w:tl2br w:val="nil"/>
              <w:tr2bl w:val="nil"/>
            </w:tcBorders>
          </w:tcPr>
          <w:p w14:paraId="2BF24CA5">
            <w:pPr>
              <w:rPr>
                <w:sz w:val="18"/>
                <w:szCs w:val="18"/>
              </w:rPr>
            </w:pPr>
          </w:p>
        </w:tc>
        <w:tc>
          <w:tcPr>
            <w:tcW w:w="871" w:type="dxa"/>
            <w:vMerge w:val="continue"/>
            <w:tcBorders>
              <w:tl2br w:val="nil"/>
              <w:tr2bl w:val="nil"/>
            </w:tcBorders>
          </w:tcPr>
          <w:p w14:paraId="1A424D4E">
            <w:pPr>
              <w:rPr>
                <w:sz w:val="18"/>
                <w:szCs w:val="18"/>
              </w:rPr>
            </w:pPr>
          </w:p>
        </w:tc>
        <w:tc>
          <w:tcPr>
            <w:tcW w:w="1091" w:type="dxa"/>
            <w:vMerge w:val="continue"/>
            <w:tcBorders>
              <w:tl2br w:val="nil"/>
              <w:tr2bl w:val="nil"/>
            </w:tcBorders>
          </w:tcPr>
          <w:p w14:paraId="069EFF42">
            <w:pPr>
              <w:rPr>
                <w:sz w:val="18"/>
                <w:szCs w:val="18"/>
              </w:rPr>
            </w:pPr>
          </w:p>
        </w:tc>
        <w:tc>
          <w:tcPr>
            <w:tcW w:w="859" w:type="dxa"/>
            <w:vMerge w:val="continue"/>
            <w:tcBorders>
              <w:tl2br w:val="nil"/>
              <w:tr2bl w:val="nil"/>
            </w:tcBorders>
          </w:tcPr>
          <w:p w14:paraId="2268CB9E">
            <w:pPr>
              <w:rPr>
                <w:sz w:val="18"/>
                <w:szCs w:val="18"/>
              </w:rPr>
            </w:pPr>
          </w:p>
        </w:tc>
        <w:tc>
          <w:tcPr>
            <w:tcW w:w="1076" w:type="dxa"/>
            <w:vMerge w:val="continue"/>
            <w:tcBorders>
              <w:tl2br w:val="nil"/>
              <w:tr2bl w:val="nil"/>
            </w:tcBorders>
          </w:tcPr>
          <w:p w14:paraId="1BD0F30A">
            <w:pPr>
              <w:rPr>
                <w:sz w:val="18"/>
                <w:szCs w:val="18"/>
              </w:rPr>
            </w:pPr>
          </w:p>
        </w:tc>
        <w:tc>
          <w:tcPr>
            <w:tcW w:w="1391" w:type="dxa"/>
            <w:vMerge w:val="continue"/>
            <w:tcBorders>
              <w:tl2br w:val="nil"/>
              <w:tr2bl w:val="nil"/>
            </w:tcBorders>
          </w:tcPr>
          <w:p w14:paraId="1DC4E6A5">
            <w:pPr>
              <w:rPr>
                <w:sz w:val="18"/>
                <w:szCs w:val="18"/>
              </w:rPr>
            </w:pPr>
          </w:p>
        </w:tc>
        <w:tc>
          <w:tcPr>
            <w:tcW w:w="957" w:type="dxa"/>
            <w:vMerge w:val="continue"/>
            <w:tcBorders>
              <w:tl2br w:val="nil"/>
              <w:tr2bl w:val="nil"/>
            </w:tcBorders>
          </w:tcPr>
          <w:p w14:paraId="401CB64F">
            <w:pPr>
              <w:rPr>
                <w:sz w:val="18"/>
                <w:szCs w:val="18"/>
              </w:rPr>
            </w:pPr>
          </w:p>
        </w:tc>
        <w:tc>
          <w:tcPr>
            <w:tcW w:w="1313" w:type="dxa"/>
            <w:vMerge w:val="continue"/>
            <w:tcBorders>
              <w:tl2br w:val="nil"/>
              <w:tr2bl w:val="nil"/>
            </w:tcBorders>
          </w:tcPr>
          <w:p w14:paraId="02EA15BD">
            <w:pPr>
              <w:rPr>
                <w:sz w:val="18"/>
                <w:szCs w:val="18"/>
              </w:rPr>
            </w:pPr>
          </w:p>
        </w:tc>
        <w:tc>
          <w:tcPr>
            <w:tcW w:w="1847" w:type="dxa"/>
            <w:vMerge w:val="continue"/>
            <w:tcBorders>
              <w:tl2br w:val="nil"/>
              <w:tr2bl w:val="nil"/>
            </w:tcBorders>
          </w:tcPr>
          <w:p w14:paraId="6B0AC3F6">
            <w:pPr>
              <w:rPr>
                <w:sz w:val="18"/>
                <w:szCs w:val="18"/>
              </w:rPr>
            </w:pPr>
          </w:p>
        </w:tc>
        <w:tc>
          <w:tcPr>
            <w:tcW w:w="757" w:type="dxa"/>
            <w:vMerge w:val="continue"/>
            <w:tcBorders>
              <w:tl2br w:val="nil"/>
              <w:tr2bl w:val="nil"/>
            </w:tcBorders>
          </w:tcPr>
          <w:p w14:paraId="1DCA7EEC">
            <w:pPr>
              <w:rPr>
                <w:sz w:val="18"/>
                <w:szCs w:val="18"/>
              </w:rPr>
            </w:pPr>
          </w:p>
        </w:tc>
      </w:tr>
      <w:tr w14:paraId="1DDBD1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jc w:val="center"/>
        </w:trPr>
        <w:tc>
          <w:tcPr>
            <w:tcW w:w="505" w:type="dxa"/>
            <w:vMerge w:val="continue"/>
            <w:tcBorders>
              <w:tl2br w:val="nil"/>
              <w:tr2bl w:val="nil"/>
            </w:tcBorders>
          </w:tcPr>
          <w:p w14:paraId="1E9DA6B2">
            <w:pPr>
              <w:pStyle w:val="47"/>
              <w:rPr>
                <w:rFonts w:hint="default" w:ascii="Times New Roman"/>
                <w:color w:val="auto"/>
              </w:rPr>
            </w:pPr>
          </w:p>
        </w:tc>
        <w:tc>
          <w:tcPr>
            <w:tcW w:w="1061" w:type="dxa"/>
            <w:vMerge w:val="continue"/>
            <w:tcBorders>
              <w:tl2br w:val="nil"/>
              <w:tr2bl w:val="nil"/>
            </w:tcBorders>
          </w:tcPr>
          <w:p w14:paraId="598C8B6C">
            <w:pPr>
              <w:pStyle w:val="47"/>
              <w:rPr>
                <w:rFonts w:hint="default" w:ascii="Times New Roman"/>
                <w:color w:val="auto"/>
              </w:rPr>
            </w:pPr>
          </w:p>
        </w:tc>
        <w:tc>
          <w:tcPr>
            <w:tcW w:w="2016" w:type="dxa"/>
            <w:tcBorders>
              <w:tl2br w:val="nil"/>
              <w:tr2bl w:val="nil"/>
            </w:tcBorders>
          </w:tcPr>
          <w:p w14:paraId="1CA4CE19">
            <w:pPr>
              <w:widowControl/>
              <w:jc w:val="left"/>
            </w:pPr>
            <w:r>
              <w:rPr>
                <w:kern w:val="0"/>
                <w:sz w:val="18"/>
                <w:szCs w:val="18"/>
              </w:rPr>
              <w:t>无水乙醇注射液项目</w:t>
            </w:r>
          </w:p>
        </w:tc>
        <w:tc>
          <w:tcPr>
            <w:tcW w:w="1578" w:type="dxa"/>
            <w:vMerge w:val="continue"/>
            <w:tcBorders>
              <w:tl2br w:val="nil"/>
              <w:tr2bl w:val="nil"/>
            </w:tcBorders>
          </w:tcPr>
          <w:p w14:paraId="1DFF1931">
            <w:pPr>
              <w:pStyle w:val="47"/>
              <w:rPr>
                <w:rFonts w:hint="default" w:ascii="Times New Roman"/>
                <w:color w:val="auto"/>
              </w:rPr>
            </w:pPr>
          </w:p>
        </w:tc>
        <w:tc>
          <w:tcPr>
            <w:tcW w:w="871" w:type="dxa"/>
            <w:vMerge w:val="continue"/>
            <w:tcBorders>
              <w:tl2br w:val="nil"/>
              <w:tr2bl w:val="nil"/>
            </w:tcBorders>
          </w:tcPr>
          <w:p w14:paraId="46260830">
            <w:pPr>
              <w:pStyle w:val="47"/>
              <w:rPr>
                <w:rFonts w:hint="default" w:ascii="Times New Roman"/>
                <w:color w:val="auto"/>
              </w:rPr>
            </w:pPr>
          </w:p>
        </w:tc>
        <w:tc>
          <w:tcPr>
            <w:tcW w:w="1091" w:type="dxa"/>
            <w:vMerge w:val="continue"/>
            <w:tcBorders>
              <w:tl2br w:val="nil"/>
              <w:tr2bl w:val="nil"/>
            </w:tcBorders>
          </w:tcPr>
          <w:p w14:paraId="71922156">
            <w:pPr>
              <w:pStyle w:val="47"/>
              <w:rPr>
                <w:rFonts w:hint="default" w:ascii="Times New Roman"/>
                <w:color w:val="auto"/>
              </w:rPr>
            </w:pPr>
          </w:p>
        </w:tc>
        <w:tc>
          <w:tcPr>
            <w:tcW w:w="859" w:type="dxa"/>
            <w:vMerge w:val="continue"/>
            <w:tcBorders>
              <w:tl2br w:val="nil"/>
              <w:tr2bl w:val="nil"/>
            </w:tcBorders>
          </w:tcPr>
          <w:p w14:paraId="61B8D548">
            <w:pPr>
              <w:pStyle w:val="47"/>
              <w:rPr>
                <w:rFonts w:hint="default" w:ascii="Times New Roman"/>
                <w:color w:val="auto"/>
              </w:rPr>
            </w:pPr>
          </w:p>
        </w:tc>
        <w:tc>
          <w:tcPr>
            <w:tcW w:w="1076" w:type="dxa"/>
            <w:vMerge w:val="continue"/>
            <w:tcBorders>
              <w:tl2br w:val="nil"/>
              <w:tr2bl w:val="nil"/>
            </w:tcBorders>
          </w:tcPr>
          <w:p w14:paraId="1EA0DDE4">
            <w:pPr>
              <w:pStyle w:val="47"/>
              <w:rPr>
                <w:rFonts w:hint="default" w:ascii="Times New Roman"/>
                <w:color w:val="auto"/>
              </w:rPr>
            </w:pPr>
          </w:p>
        </w:tc>
        <w:tc>
          <w:tcPr>
            <w:tcW w:w="1391" w:type="dxa"/>
            <w:vMerge w:val="continue"/>
            <w:tcBorders>
              <w:tl2br w:val="nil"/>
              <w:tr2bl w:val="nil"/>
            </w:tcBorders>
          </w:tcPr>
          <w:p w14:paraId="3AD5AEFD">
            <w:pPr>
              <w:pStyle w:val="47"/>
              <w:rPr>
                <w:rFonts w:hint="default" w:ascii="Times New Roman"/>
                <w:color w:val="auto"/>
              </w:rPr>
            </w:pPr>
          </w:p>
        </w:tc>
        <w:tc>
          <w:tcPr>
            <w:tcW w:w="957" w:type="dxa"/>
            <w:vMerge w:val="continue"/>
            <w:tcBorders>
              <w:tl2br w:val="nil"/>
              <w:tr2bl w:val="nil"/>
            </w:tcBorders>
          </w:tcPr>
          <w:p w14:paraId="7E88B39F">
            <w:pPr>
              <w:pStyle w:val="47"/>
              <w:rPr>
                <w:rFonts w:hint="default" w:ascii="Times New Roman"/>
                <w:color w:val="auto"/>
              </w:rPr>
            </w:pPr>
          </w:p>
        </w:tc>
        <w:tc>
          <w:tcPr>
            <w:tcW w:w="1313" w:type="dxa"/>
            <w:vMerge w:val="continue"/>
            <w:tcBorders>
              <w:tl2br w:val="nil"/>
              <w:tr2bl w:val="nil"/>
            </w:tcBorders>
          </w:tcPr>
          <w:p w14:paraId="0D73B36D">
            <w:pPr>
              <w:pStyle w:val="47"/>
              <w:rPr>
                <w:rFonts w:hint="default" w:ascii="Times New Roman"/>
                <w:color w:val="auto"/>
              </w:rPr>
            </w:pPr>
          </w:p>
        </w:tc>
        <w:tc>
          <w:tcPr>
            <w:tcW w:w="1847" w:type="dxa"/>
            <w:vMerge w:val="continue"/>
            <w:tcBorders>
              <w:tl2br w:val="nil"/>
              <w:tr2bl w:val="nil"/>
            </w:tcBorders>
          </w:tcPr>
          <w:p w14:paraId="67AA008B">
            <w:pPr>
              <w:pStyle w:val="47"/>
              <w:rPr>
                <w:rFonts w:hint="default" w:ascii="Times New Roman"/>
                <w:color w:val="auto"/>
              </w:rPr>
            </w:pPr>
          </w:p>
        </w:tc>
        <w:tc>
          <w:tcPr>
            <w:tcW w:w="757" w:type="dxa"/>
            <w:vMerge w:val="continue"/>
            <w:tcBorders>
              <w:tl2br w:val="nil"/>
              <w:tr2bl w:val="nil"/>
            </w:tcBorders>
          </w:tcPr>
          <w:p w14:paraId="7472391E">
            <w:pPr>
              <w:pStyle w:val="47"/>
              <w:rPr>
                <w:rFonts w:hint="default" w:ascii="Times New Roman"/>
                <w:color w:val="auto"/>
              </w:rPr>
            </w:pPr>
          </w:p>
        </w:tc>
      </w:tr>
      <w:tr w14:paraId="0EBBC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jc w:val="center"/>
        </w:trPr>
        <w:tc>
          <w:tcPr>
            <w:tcW w:w="505" w:type="dxa"/>
            <w:vMerge w:val="continue"/>
            <w:tcBorders>
              <w:tl2br w:val="nil"/>
              <w:tr2bl w:val="nil"/>
            </w:tcBorders>
          </w:tcPr>
          <w:p w14:paraId="2A0FA987">
            <w:pPr>
              <w:pStyle w:val="47"/>
              <w:rPr>
                <w:rFonts w:hint="default" w:ascii="Times New Roman"/>
                <w:color w:val="auto"/>
              </w:rPr>
            </w:pPr>
          </w:p>
        </w:tc>
        <w:tc>
          <w:tcPr>
            <w:tcW w:w="1061" w:type="dxa"/>
            <w:vMerge w:val="continue"/>
            <w:tcBorders>
              <w:tl2br w:val="nil"/>
              <w:tr2bl w:val="nil"/>
            </w:tcBorders>
          </w:tcPr>
          <w:p w14:paraId="62432E46">
            <w:pPr>
              <w:pStyle w:val="47"/>
              <w:rPr>
                <w:rFonts w:hint="default" w:ascii="Times New Roman"/>
                <w:color w:val="auto"/>
              </w:rPr>
            </w:pPr>
          </w:p>
        </w:tc>
        <w:tc>
          <w:tcPr>
            <w:tcW w:w="2016" w:type="dxa"/>
            <w:tcBorders>
              <w:tl2br w:val="nil"/>
              <w:tr2bl w:val="nil"/>
            </w:tcBorders>
          </w:tcPr>
          <w:p w14:paraId="4B81AEAF">
            <w:pPr>
              <w:widowControl/>
              <w:jc w:val="left"/>
              <w:rPr>
                <w:rFonts w:ascii="Times New Roman"/>
              </w:rPr>
            </w:pPr>
            <w:r>
              <w:rPr>
                <w:kern w:val="0"/>
                <w:sz w:val="20"/>
              </w:rPr>
              <w:t>国瑞药业奥硝唑注射液项目</w:t>
            </w:r>
          </w:p>
        </w:tc>
        <w:tc>
          <w:tcPr>
            <w:tcW w:w="1578" w:type="dxa"/>
            <w:vMerge w:val="continue"/>
            <w:tcBorders>
              <w:tl2br w:val="nil"/>
              <w:tr2bl w:val="nil"/>
            </w:tcBorders>
          </w:tcPr>
          <w:p w14:paraId="5BDCD3D7">
            <w:pPr>
              <w:pStyle w:val="47"/>
              <w:rPr>
                <w:rFonts w:hint="default" w:ascii="Times New Roman"/>
                <w:color w:val="auto"/>
              </w:rPr>
            </w:pPr>
          </w:p>
        </w:tc>
        <w:tc>
          <w:tcPr>
            <w:tcW w:w="871" w:type="dxa"/>
            <w:vMerge w:val="continue"/>
            <w:tcBorders>
              <w:tl2br w:val="nil"/>
              <w:tr2bl w:val="nil"/>
            </w:tcBorders>
          </w:tcPr>
          <w:p w14:paraId="20885282">
            <w:pPr>
              <w:pStyle w:val="47"/>
              <w:rPr>
                <w:rFonts w:hint="default" w:ascii="Times New Roman"/>
                <w:color w:val="auto"/>
              </w:rPr>
            </w:pPr>
          </w:p>
        </w:tc>
        <w:tc>
          <w:tcPr>
            <w:tcW w:w="1091" w:type="dxa"/>
            <w:vMerge w:val="continue"/>
            <w:tcBorders>
              <w:tl2br w:val="nil"/>
              <w:tr2bl w:val="nil"/>
            </w:tcBorders>
          </w:tcPr>
          <w:p w14:paraId="144A2A25">
            <w:pPr>
              <w:pStyle w:val="47"/>
              <w:rPr>
                <w:rFonts w:hint="default" w:ascii="Times New Roman"/>
                <w:color w:val="auto"/>
              </w:rPr>
            </w:pPr>
          </w:p>
        </w:tc>
        <w:tc>
          <w:tcPr>
            <w:tcW w:w="859" w:type="dxa"/>
            <w:vMerge w:val="continue"/>
            <w:tcBorders>
              <w:tl2br w:val="nil"/>
              <w:tr2bl w:val="nil"/>
            </w:tcBorders>
          </w:tcPr>
          <w:p w14:paraId="41705BE9">
            <w:pPr>
              <w:pStyle w:val="47"/>
              <w:rPr>
                <w:rFonts w:hint="default" w:ascii="Times New Roman"/>
                <w:color w:val="auto"/>
              </w:rPr>
            </w:pPr>
          </w:p>
        </w:tc>
        <w:tc>
          <w:tcPr>
            <w:tcW w:w="1076" w:type="dxa"/>
            <w:vMerge w:val="continue"/>
            <w:tcBorders>
              <w:tl2br w:val="nil"/>
              <w:tr2bl w:val="nil"/>
            </w:tcBorders>
          </w:tcPr>
          <w:p w14:paraId="42215694">
            <w:pPr>
              <w:pStyle w:val="47"/>
              <w:rPr>
                <w:rFonts w:hint="default" w:ascii="Times New Roman"/>
                <w:color w:val="auto"/>
              </w:rPr>
            </w:pPr>
          </w:p>
        </w:tc>
        <w:tc>
          <w:tcPr>
            <w:tcW w:w="1391" w:type="dxa"/>
            <w:vMerge w:val="continue"/>
            <w:tcBorders>
              <w:tl2br w:val="nil"/>
              <w:tr2bl w:val="nil"/>
            </w:tcBorders>
          </w:tcPr>
          <w:p w14:paraId="56022FB1">
            <w:pPr>
              <w:pStyle w:val="47"/>
              <w:rPr>
                <w:rFonts w:hint="default" w:ascii="Times New Roman"/>
                <w:color w:val="auto"/>
              </w:rPr>
            </w:pPr>
          </w:p>
        </w:tc>
        <w:tc>
          <w:tcPr>
            <w:tcW w:w="957" w:type="dxa"/>
            <w:vMerge w:val="continue"/>
            <w:tcBorders>
              <w:tl2br w:val="nil"/>
              <w:tr2bl w:val="nil"/>
            </w:tcBorders>
          </w:tcPr>
          <w:p w14:paraId="33DBF89B">
            <w:pPr>
              <w:pStyle w:val="47"/>
              <w:rPr>
                <w:rFonts w:hint="default" w:ascii="Times New Roman"/>
                <w:color w:val="auto"/>
              </w:rPr>
            </w:pPr>
          </w:p>
        </w:tc>
        <w:tc>
          <w:tcPr>
            <w:tcW w:w="1313" w:type="dxa"/>
            <w:vMerge w:val="continue"/>
            <w:tcBorders>
              <w:tl2br w:val="nil"/>
              <w:tr2bl w:val="nil"/>
            </w:tcBorders>
          </w:tcPr>
          <w:p w14:paraId="2519B08B">
            <w:pPr>
              <w:pStyle w:val="47"/>
              <w:rPr>
                <w:rFonts w:hint="default" w:ascii="Times New Roman"/>
                <w:color w:val="auto"/>
              </w:rPr>
            </w:pPr>
          </w:p>
        </w:tc>
        <w:tc>
          <w:tcPr>
            <w:tcW w:w="1847" w:type="dxa"/>
            <w:vMerge w:val="continue"/>
            <w:tcBorders>
              <w:tl2br w:val="nil"/>
              <w:tr2bl w:val="nil"/>
            </w:tcBorders>
          </w:tcPr>
          <w:p w14:paraId="6D9039AD">
            <w:pPr>
              <w:pStyle w:val="47"/>
              <w:rPr>
                <w:rFonts w:hint="default" w:ascii="Times New Roman"/>
                <w:color w:val="auto"/>
              </w:rPr>
            </w:pPr>
          </w:p>
        </w:tc>
        <w:tc>
          <w:tcPr>
            <w:tcW w:w="757" w:type="dxa"/>
            <w:vMerge w:val="continue"/>
            <w:tcBorders>
              <w:tl2br w:val="nil"/>
              <w:tr2bl w:val="nil"/>
            </w:tcBorders>
          </w:tcPr>
          <w:p w14:paraId="6F3802B2">
            <w:pPr>
              <w:pStyle w:val="47"/>
              <w:rPr>
                <w:rFonts w:hint="default" w:ascii="Times New Roman"/>
                <w:color w:val="auto"/>
              </w:rPr>
            </w:pPr>
          </w:p>
        </w:tc>
      </w:tr>
      <w:tr w14:paraId="1659C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tcBorders>
              <w:tl2br w:val="nil"/>
              <w:tr2bl w:val="nil"/>
            </w:tcBorders>
          </w:tcPr>
          <w:p w14:paraId="09A69594">
            <w:pPr>
              <w:rPr>
                <w:sz w:val="18"/>
                <w:szCs w:val="18"/>
              </w:rPr>
            </w:pPr>
            <w:r>
              <w:rPr>
                <w:sz w:val="18"/>
                <w:szCs w:val="18"/>
              </w:rPr>
              <w:t>5</w:t>
            </w:r>
          </w:p>
        </w:tc>
        <w:tc>
          <w:tcPr>
            <w:tcW w:w="1061" w:type="dxa"/>
            <w:tcBorders>
              <w:tl2br w:val="nil"/>
              <w:tr2bl w:val="nil"/>
            </w:tcBorders>
          </w:tcPr>
          <w:p w14:paraId="2981EB5B">
            <w:pPr>
              <w:rPr>
                <w:sz w:val="18"/>
                <w:szCs w:val="18"/>
              </w:rPr>
            </w:pPr>
            <w:r>
              <w:rPr>
                <w:sz w:val="18"/>
                <w:szCs w:val="18"/>
              </w:rPr>
              <w:t>淮南锦德生物科技有限公司</w:t>
            </w:r>
          </w:p>
        </w:tc>
        <w:tc>
          <w:tcPr>
            <w:tcW w:w="2016" w:type="dxa"/>
            <w:tcBorders>
              <w:tl2br w:val="nil"/>
              <w:tr2bl w:val="nil"/>
            </w:tcBorders>
          </w:tcPr>
          <w:p w14:paraId="62005721">
            <w:pPr>
              <w:spacing w:before="68" w:line="249" w:lineRule="auto"/>
              <w:ind w:right="193"/>
              <w:rPr>
                <w:rFonts w:eastAsia="Times New Roman"/>
                <w:spacing w:val="-1"/>
                <w:sz w:val="18"/>
                <w:szCs w:val="18"/>
              </w:rPr>
            </w:pPr>
            <w:r>
              <w:rPr>
                <w:rFonts w:eastAsia="Times New Roman"/>
                <w:spacing w:val="-1"/>
                <w:sz w:val="18"/>
                <w:szCs w:val="18"/>
              </w:rPr>
              <w:t>年产4800吨三苯基膦系列产品（抗生素原料药）生产线项目</w:t>
            </w:r>
          </w:p>
        </w:tc>
        <w:tc>
          <w:tcPr>
            <w:tcW w:w="1578" w:type="dxa"/>
            <w:tcBorders>
              <w:tl2br w:val="nil"/>
              <w:tr2bl w:val="nil"/>
            </w:tcBorders>
          </w:tcPr>
          <w:p w14:paraId="5DE641F2">
            <w:pPr>
              <w:spacing w:before="68" w:line="249" w:lineRule="auto"/>
              <w:ind w:right="193"/>
              <w:rPr>
                <w:rFonts w:eastAsia="Times New Roman"/>
                <w:spacing w:val="-1"/>
                <w:sz w:val="18"/>
                <w:szCs w:val="18"/>
              </w:rPr>
            </w:pPr>
            <w:r>
              <w:rPr>
                <w:rFonts w:eastAsia="Times New Roman"/>
                <w:spacing w:val="-1"/>
                <w:sz w:val="18"/>
                <w:szCs w:val="18"/>
              </w:rPr>
              <w:t>三苯基膦系列产品：4800t/a；甲苯回收套用：16368t/a；四氢呋喃回收套用：10032t/a；甲醇：28416t/a；混合基料：1176t/a</w:t>
            </w:r>
          </w:p>
        </w:tc>
        <w:tc>
          <w:tcPr>
            <w:tcW w:w="871" w:type="dxa"/>
            <w:tcBorders>
              <w:tl2br w:val="nil"/>
              <w:tr2bl w:val="nil"/>
            </w:tcBorders>
          </w:tcPr>
          <w:p w14:paraId="5B13ECE7">
            <w:pPr>
              <w:spacing w:before="68" w:line="249" w:lineRule="auto"/>
              <w:ind w:right="193" w:firstLine="356" w:firstLineChars="200"/>
              <w:rPr>
                <w:spacing w:val="-1"/>
                <w:sz w:val="18"/>
                <w:szCs w:val="18"/>
              </w:rPr>
            </w:pPr>
            <w:r>
              <w:rPr>
                <w:spacing w:val="-1"/>
                <w:sz w:val="18"/>
                <w:szCs w:val="18"/>
              </w:rPr>
              <w:t>60</w:t>
            </w:r>
          </w:p>
        </w:tc>
        <w:tc>
          <w:tcPr>
            <w:tcW w:w="1091" w:type="dxa"/>
            <w:tcBorders>
              <w:tl2br w:val="nil"/>
              <w:tr2bl w:val="nil"/>
            </w:tcBorders>
          </w:tcPr>
          <w:p w14:paraId="094FE9F1">
            <w:pPr>
              <w:jc w:val="center"/>
              <w:rPr>
                <w:sz w:val="18"/>
                <w:szCs w:val="18"/>
              </w:rPr>
            </w:pPr>
            <w:r>
              <w:rPr>
                <w:sz w:val="18"/>
                <w:szCs w:val="18"/>
              </w:rPr>
              <w:t>59.04</w:t>
            </w:r>
          </w:p>
        </w:tc>
        <w:tc>
          <w:tcPr>
            <w:tcW w:w="859" w:type="dxa"/>
            <w:tcBorders>
              <w:tl2br w:val="nil"/>
              <w:tr2bl w:val="nil"/>
            </w:tcBorders>
          </w:tcPr>
          <w:p w14:paraId="7C198659">
            <w:pPr>
              <w:rPr>
                <w:sz w:val="18"/>
                <w:szCs w:val="18"/>
              </w:rPr>
            </w:pPr>
            <w:r>
              <w:rPr>
                <w:sz w:val="18"/>
                <w:szCs w:val="18"/>
              </w:rPr>
              <w:t>建设中</w:t>
            </w:r>
          </w:p>
        </w:tc>
        <w:tc>
          <w:tcPr>
            <w:tcW w:w="1076" w:type="dxa"/>
            <w:tcBorders>
              <w:tl2br w:val="nil"/>
              <w:tr2bl w:val="nil"/>
            </w:tcBorders>
          </w:tcPr>
          <w:p w14:paraId="0FB4F0D3">
            <w:pPr>
              <w:spacing w:line="425" w:lineRule="auto"/>
              <w:rPr>
                <w:sz w:val="18"/>
                <w:szCs w:val="18"/>
              </w:rPr>
            </w:pPr>
          </w:p>
          <w:p w14:paraId="0C83F9EE">
            <w:pPr>
              <w:spacing w:before="69" w:line="222" w:lineRule="auto"/>
              <w:ind w:left="334"/>
              <w:rPr>
                <w:sz w:val="18"/>
                <w:szCs w:val="18"/>
              </w:rPr>
            </w:pPr>
            <w:r>
              <w:rPr>
                <w:spacing w:val="-2"/>
                <w:sz w:val="18"/>
                <w:szCs w:val="18"/>
              </w:rPr>
              <w:t>不涉及</w:t>
            </w:r>
          </w:p>
        </w:tc>
        <w:tc>
          <w:tcPr>
            <w:tcW w:w="1391" w:type="dxa"/>
            <w:tcBorders>
              <w:tl2br w:val="nil"/>
              <w:tr2bl w:val="nil"/>
            </w:tcBorders>
          </w:tcPr>
          <w:p w14:paraId="313DBB50">
            <w:pPr>
              <w:spacing w:line="425" w:lineRule="auto"/>
              <w:rPr>
                <w:sz w:val="18"/>
                <w:szCs w:val="18"/>
              </w:rPr>
            </w:pPr>
          </w:p>
          <w:p w14:paraId="4CB9C7B5">
            <w:pPr>
              <w:spacing w:before="69" w:line="222" w:lineRule="auto"/>
              <w:ind w:left="330"/>
              <w:rPr>
                <w:sz w:val="18"/>
                <w:szCs w:val="18"/>
              </w:rPr>
            </w:pPr>
            <w:r>
              <w:rPr>
                <w:spacing w:val="-2"/>
                <w:sz w:val="18"/>
                <w:szCs w:val="18"/>
              </w:rPr>
              <w:t>不涉及</w:t>
            </w:r>
          </w:p>
        </w:tc>
        <w:tc>
          <w:tcPr>
            <w:tcW w:w="957" w:type="dxa"/>
            <w:tcBorders>
              <w:tl2br w:val="nil"/>
              <w:tr2bl w:val="nil"/>
            </w:tcBorders>
          </w:tcPr>
          <w:p w14:paraId="5C96BC6C">
            <w:pPr>
              <w:rPr>
                <w:sz w:val="18"/>
                <w:szCs w:val="18"/>
              </w:rPr>
            </w:pPr>
            <w:r>
              <w:rPr>
                <w:sz w:val="18"/>
                <w:szCs w:val="18"/>
              </w:rPr>
              <w:t>氯苯</w:t>
            </w:r>
          </w:p>
          <w:p w14:paraId="3F9F9F25">
            <w:pPr>
              <w:rPr>
                <w:sz w:val="18"/>
                <w:szCs w:val="18"/>
              </w:rPr>
            </w:pPr>
            <w:r>
              <w:rPr>
                <w:sz w:val="18"/>
                <w:szCs w:val="18"/>
              </w:rPr>
              <w:t>三氯化磷</w:t>
            </w:r>
          </w:p>
          <w:p w14:paraId="58B7F7F2">
            <w:pPr>
              <w:rPr>
                <w:sz w:val="18"/>
                <w:szCs w:val="18"/>
              </w:rPr>
            </w:pPr>
            <w:r>
              <w:rPr>
                <w:sz w:val="18"/>
                <w:szCs w:val="18"/>
              </w:rPr>
              <w:t>甲苯</w:t>
            </w:r>
          </w:p>
          <w:p w14:paraId="161EB86F">
            <w:pPr>
              <w:rPr>
                <w:sz w:val="18"/>
                <w:szCs w:val="18"/>
              </w:rPr>
            </w:pPr>
            <w:r>
              <w:rPr>
                <w:sz w:val="18"/>
                <w:szCs w:val="18"/>
              </w:rPr>
              <w:t>甲醇</w:t>
            </w:r>
          </w:p>
          <w:p w14:paraId="21F10DA9">
            <w:pPr>
              <w:rPr>
                <w:sz w:val="18"/>
                <w:szCs w:val="18"/>
              </w:rPr>
            </w:pPr>
            <w:r>
              <w:rPr>
                <w:sz w:val="18"/>
                <w:szCs w:val="18"/>
              </w:rPr>
              <w:t>天然气</w:t>
            </w:r>
          </w:p>
          <w:p w14:paraId="07908098">
            <w:pPr>
              <w:rPr>
                <w:sz w:val="18"/>
                <w:szCs w:val="18"/>
              </w:rPr>
            </w:pPr>
          </w:p>
        </w:tc>
        <w:tc>
          <w:tcPr>
            <w:tcW w:w="1313" w:type="dxa"/>
            <w:tcBorders>
              <w:tl2br w:val="nil"/>
              <w:tr2bl w:val="nil"/>
            </w:tcBorders>
          </w:tcPr>
          <w:p w14:paraId="5281E955">
            <w:r>
              <w:rPr>
                <w:spacing w:val="-2"/>
                <w:sz w:val="18"/>
                <w:szCs w:val="18"/>
              </w:rPr>
              <w:t>易制毒品第三类的有甲苯、硫酸</w:t>
            </w:r>
          </w:p>
          <w:p w14:paraId="46561B5B">
            <w:pPr>
              <w:rPr>
                <w:sz w:val="18"/>
                <w:szCs w:val="18"/>
              </w:rPr>
            </w:pPr>
            <w:r>
              <w:rPr>
                <w:spacing w:val="-2"/>
                <w:sz w:val="18"/>
                <w:szCs w:val="18"/>
              </w:rPr>
              <w:t>及易制爆化学品的有镁屑；甲醇属于特别管控危险化学品（仅限于强化运输管理）</w:t>
            </w:r>
          </w:p>
        </w:tc>
        <w:tc>
          <w:tcPr>
            <w:tcW w:w="1847" w:type="dxa"/>
            <w:tcBorders>
              <w:tl2br w:val="nil"/>
              <w:tr2bl w:val="nil"/>
            </w:tcBorders>
          </w:tcPr>
          <w:p w14:paraId="7E0D10DB">
            <w:pPr>
              <w:ind w:firstLine="178" w:firstLineChars="100"/>
              <w:rPr>
                <w:rFonts w:eastAsia="Times New Roman"/>
                <w:spacing w:val="-1"/>
                <w:sz w:val="18"/>
                <w:szCs w:val="18"/>
              </w:rPr>
            </w:pPr>
            <w:r>
              <w:rPr>
                <w:rFonts w:eastAsia="Times New Roman"/>
                <w:spacing w:val="-1"/>
                <w:sz w:val="18"/>
                <w:szCs w:val="18"/>
              </w:rPr>
              <w:t>镁屑、氯苯、三氯化磷、甲苯、四氢呋喃、甲醇、液碱、硫酸、混合基料、三苯基膦、天然气、氮气</w:t>
            </w:r>
          </w:p>
          <w:p w14:paraId="72E5AE2E">
            <w:pPr>
              <w:rPr>
                <w:sz w:val="18"/>
                <w:szCs w:val="18"/>
              </w:rPr>
            </w:pPr>
          </w:p>
        </w:tc>
        <w:tc>
          <w:tcPr>
            <w:tcW w:w="757" w:type="dxa"/>
            <w:tcBorders>
              <w:tl2br w:val="nil"/>
              <w:tr2bl w:val="nil"/>
            </w:tcBorders>
          </w:tcPr>
          <w:p w14:paraId="0EB49A0C">
            <w:pPr>
              <w:rPr>
                <w:sz w:val="18"/>
                <w:szCs w:val="18"/>
              </w:rPr>
            </w:pPr>
            <w:r>
              <w:rPr>
                <w:sz w:val="18"/>
                <w:szCs w:val="18"/>
              </w:rPr>
              <w:t>区块二</w:t>
            </w:r>
          </w:p>
        </w:tc>
      </w:tr>
      <w:tr w14:paraId="048ED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tcBorders>
              <w:tl2br w:val="nil"/>
              <w:tr2bl w:val="nil"/>
            </w:tcBorders>
          </w:tcPr>
          <w:p w14:paraId="73B885FB">
            <w:pPr>
              <w:rPr>
                <w:sz w:val="18"/>
                <w:szCs w:val="18"/>
              </w:rPr>
            </w:pPr>
            <w:r>
              <w:rPr>
                <w:sz w:val="18"/>
                <w:szCs w:val="18"/>
              </w:rPr>
              <w:t>6</w:t>
            </w:r>
          </w:p>
        </w:tc>
        <w:tc>
          <w:tcPr>
            <w:tcW w:w="1061" w:type="dxa"/>
            <w:tcBorders>
              <w:tl2br w:val="nil"/>
              <w:tr2bl w:val="nil"/>
            </w:tcBorders>
          </w:tcPr>
          <w:p w14:paraId="56642BF8">
            <w:pPr>
              <w:rPr>
                <w:sz w:val="18"/>
                <w:szCs w:val="18"/>
              </w:rPr>
            </w:pPr>
            <w:r>
              <w:rPr>
                <w:sz w:val="18"/>
                <w:szCs w:val="18"/>
              </w:rPr>
              <w:t>安徽森吉制药有限公司</w:t>
            </w:r>
          </w:p>
        </w:tc>
        <w:tc>
          <w:tcPr>
            <w:tcW w:w="2016" w:type="dxa"/>
            <w:tcBorders>
              <w:tl2br w:val="nil"/>
              <w:tr2bl w:val="nil"/>
            </w:tcBorders>
          </w:tcPr>
          <w:p w14:paraId="316A217B">
            <w:pPr>
              <w:spacing w:before="68" w:line="249" w:lineRule="auto"/>
              <w:ind w:right="193"/>
              <w:rPr>
                <w:rFonts w:eastAsia="Times New Roman"/>
                <w:spacing w:val="-1"/>
                <w:sz w:val="18"/>
                <w:szCs w:val="18"/>
              </w:rPr>
            </w:pPr>
            <w:r>
              <w:rPr>
                <w:rFonts w:eastAsia="Times New Roman"/>
                <w:spacing w:val="-1"/>
                <w:sz w:val="18"/>
                <w:szCs w:val="18"/>
              </w:rPr>
              <w:t>高端医药原料药生产基地项目</w:t>
            </w:r>
          </w:p>
        </w:tc>
        <w:tc>
          <w:tcPr>
            <w:tcW w:w="1578" w:type="dxa"/>
            <w:tcBorders>
              <w:tl2br w:val="nil"/>
              <w:tr2bl w:val="nil"/>
            </w:tcBorders>
          </w:tcPr>
          <w:p w14:paraId="113470F3">
            <w:pPr>
              <w:spacing w:before="68" w:line="249" w:lineRule="auto"/>
              <w:ind w:right="193"/>
              <w:rPr>
                <w:rFonts w:eastAsia="Times New Roman"/>
                <w:spacing w:val="-1"/>
                <w:sz w:val="18"/>
                <w:szCs w:val="18"/>
              </w:rPr>
            </w:pPr>
            <w:r>
              <w:rPr>
                <w:rFonts w:eastAsia="Times New Roman"/>
                <w:spacing w:val="-1"/>
                <w:sz w:val="18"/>
                <w:szCs w:val="18"/>
              </w:rPr>
              <w:t>甲苯1899.68t/a、正庚烷540t/a、二氯甲烷3598.38t/a、乙醇1996.38t/a、乙酸乙酯5324.1t/a等</w:t>
            </w:r>
          </w:p>
        </w:tc>
        <w:tc>
          <w:tcPr>
            <w:tcW w:w="871" w:type="dxa"/>
            <w:tcBorders>
              <w:tl2br w:val="nil"/>
              <w:tr2bl w:val="nil"/>
            </w:tcBorders>
          </w:tcPr>
          <w:p w14:paraId="5338FDD1">
            <w:pPr>
              <w:rPr>
                <w:sz w:val="18"/>
                <w:szCs w:val="18"/>
              </w:rPr>
            </w:pPr>
            <w:r>
              <w:rPr>
                <w:sz w:val="18"/>
                <w:szCs w:val="18"/>
              </w:rPr>
              <w:t>110</w:t>
            </w:r>
          </w:p>
        </w:tc>
        <w:tc>
          <w:tcPr>
            <w:tcW w:w="1091" w:type="dxa"/>
            <w:tcBorders>
              <w:tl2br w:val="nil"/>
              <w:tr2bl w:val="nil"/>
            </w:tcBorders>
          </w:tcPr>
          <w:p w14:paraId="3539D5DB">
            <w:pPr>
              <w:rPr>
                <w:sz w:val="18"/>
                <w:szCs w:val="18"/>
              </w:rPr>
            </w:pPr>
            <w:r>
              <w:rPr>
                <w:sz w:val="18"/>
                <w:szCs w:val="18"/>
              </w:rPr>
              <w:t>86.03</w:t>
            </w:r>
          </w:p>
        </w:tc>
        <w:tc>
          <w:tcPr>
            <w:tcW w:w="859" w:type="dxa"/>
            <w:tcBorders>
              <w:tl2br w:val="nil"/>
              <w:tr2bl w:val="nil"/>
            </w:tcBorders>
          </w:tcPr>
          <w:p w14:paraId="3ABCA9BF">
            <w:pPr>
              <w:rPr>
                <w:sz w:val="18"/>
                <w:szCs w:val="18"/>
              </w:rPr>
            </w:pPr>
            <w:r>
              <w:rPr>
                <w:sz w:val="18"/>
                <w:szCs w:val="18"/>
              </w:rPr>
              <w:t>建设中</w:t>
            </w:r>
          </w:p>
        </w:tc>
        <w:tc>
          <w:tcPr>
            <w:tcW w:w="1076" w:type="dxa"/>
            <w:tcBorders>
              <w:tl2br w:val="nil"/>
              <w:tr2bl w:val="nil"/>
            </w:tcBorders>
          </w:tcPr>
          <w:p w14:paraId="73AFDAE2">
            <w:pPr>
              <w:rPr>
                <w:sz w:val="18"/>
                <w:szCs w:val="18"/>
              </w:rPr>
            </w:pPr>
            <w:r>
              <w:rPr>
                <w:spacing w:val="-2"/>
                <w:sz w:val="18"/>
                <w:szCs w:val="18"/>
              </w:rPr>
              <w:t>不涉及</w:t>
            </w:r>
          </w:p>
        </w:tc>
        <w:tc>
          <w:tcPr>
            <w:tcW w:w="1391" w:type="dxa"/>
            <w:tcBorders>
              <w:tl2br w:val="nil"/>
              <w:tr2bl w:val="nil"/>
            </w:tcBorders>
          </w:tcPr>
          <w:p w14:paraId="58C9D83B">
            <w:pPr>
              <w:rPr>
                <w:sz w:val="18"/>
                <w:szCs w:val="18"/>
              </w:rPr>
            </w:pPr>
            <w:r>
              <w:rPr>
                <w:sz w:val="18"/>
                <w:szCs w:val="18"/>
              </w:rPr>
              <w:t>氯化工艺、烷基化工艺、氢化工艺</w:t>
            </w:r>
          </w:p>
        </w:tc>
        <w:tc>
          <w:tcPr>
            <w:tcW w:w="957" w:type="dxa"/>
            <w:tcBorders>
              <w:tl2br w:val="nil"/>
              <w:tr2bl w:val="nil"/>
            </w:tcBorders>
          </w:tcPr>
          <w:p w14:paraId="7D4336A6">
            <w:pPr>
              <w:rPr>
                <w:sz w:val="18"/>
                <w:szCs w:val="18"/>
              </w:rPr>
            </w:pPr>
            <w:r>
              <w:rPr>
                <w:sz w:val="18"/>
                <w:szCs w:val="18"/>
              </w:rPr>
              <w:t>甲苯、甲醇、乙酸乙酯、氢气</w:t>
            </w:r>
          </w:p>
        </w:tc>
        <w:tc>
          <w:tcPr>
            <w:tcW w:w="1313" w:type="dxa"/>
            <w:tcBorders>
              <w:tl2br w:val="nil"/>
              <w:tr2bl w:val="nil"/>
            </w:tcBorders>
          </w:tcPr>
          <w:p w14:paraId="6901EA30">
            <w:pPr>
              <w:rPr>
                <w:rFonts w:eastAsia="Times New Roman"/>
                <w:spacing w:val="-1"/>
                <w:sz w:val="18"/>
                <w:szCs w:val="18"/>
              </w:rPr>
            </w:pPr>
            <w:r>
              <w:rPr>
                <w:rFonts w:eastAsia="Times New Roman"/>
                <w:spacing w:val="-1"/>
                <w:sz w:val="18"/>
                <w:szCs w:val="18"/>
              </w:rPr>
              <w:t>醋酐、哌啶、丙酮、甲苯、盐酸，</w:t>
            </w:r>
            <w:r>
              <w:rPr>
                <w:rFonts w:eastAsia="Times New Roman"/>
                <w:spacing w:val="-1"/>
                <w:sz w:val="18"/>
                <w:szCs w:val="18"/>
                <w:lang w:val="zh-CN"/>
              </w:rPr>
              <w:t>污水处理中使用的硫酸</w:t>
            </w:r>
            <w:r>
              <w:rPr>
                <w:rFonts w:eastAsia="Times New Roman"/>
                <w:spacing w:val="-1"/>
                <w:sz w:val="18"/>
                <w:szCs w:val="18"/>
              </w:rPr>
              <w:t>属于易制毒化学品。</w:t>
            </w:r>
          </w:p>
          <w:p w14:paraId="314BAC5D">
            <w:pPr>
              <w:rPr>
                <w:rFonts w:eastAsia="Times New Roman"/>
                <w:spacing w:val="-1"/>
                <w:sz w:val="18"/>
                <w:szCs w:val="18"/>
              </w:rPr>
            </w:pPr>
            <w:r>
              <w:rPr>
                <w:rFonts w:eastAsia="Times New Roman"/>
                <w:spacing w:val="-1"/>
                <w:sz w:val="18"/>
                <w:szCs w:val="18"/>
              </w:rPr>
              <w:t>镁屑、</w:t>
            </w:r>
            <w:r>
              <w:rPr>
                <w:rFonts w:eastAsia="Times New Roman"/>
                <w:spacing w:val="-1"/>
                <w:sz w:val="18"/>
                <w:szCs w:val="18"/>
                <w:lang w:val="zh-CN"/>
              </w:rPr>
              <w:t>硼氢化钠、污水处理中使用的双氧水</w:t>
            </w:r>
            <w:r>
              <w:rPr>
                <w:rFonts w:eastAsia="Times New Roman"/>
                <w:spacing w:val="-1"/>
                <w:sz w:val="18"/>
                <w:szCs w:val="18"/>
              </w:rPr>
              <w:t>属于易制爆危险化学品。</w:t>
            </w:r>
          </w:p>
          <w:p w14:paraId="32F01CBC">
            <w:pPr>
              <w:rPr>
                <w:rFonts w:eastAsia="Times New Roman"/>
                <w:spacing w:val="-1"/>
                <w:sz w:val="18"/>
                <w:szCs w:val="18"/>
              </w:rPr>
            </w:pPr>
            <w:r>
              <w:rPr>
                <w:rFonts w:eastAsia="Times New Roman"/>
                <w:spacing w:val="-1"/>
                <w:sz w:val="18"/>
                <w:szCs w:val="18"/>
              </w:rPr>
              <w:t>三氯氧磷属于第三类监控化学品。</w:t>
            </w:r>
          </w:p>
          <w:p w14:paraId="0F4C2B24">
            <w:pPr>
              <w:rPr>
                <w:rFonts w:eastAsia="Times New Roman"/>
                <w:spacing w:val="-1"/>
                <w:sz w:val="18"/>
                <w:szCs w:val="18"/>
                <w:lang w:val="zh-CN"/>
              </w:rPr>
            </w:pPr>
            <w:r>
              <w:rPr>
                <w:rFonts w:eastAsia="Times New Roman"/>
                <w:spacing w:val="-1"/>
                <w:sz w:val="18"/>
                <w:szCs w:val="18"/>
              </w:rPr>
              <w:t>乙醇、甲醇属于特别管控危险化学品。</w:t>
            </w:r>
          </w:p>
        </w:tc>
        <w:tc>
          <w:tcPr>
            <w:tcW w:w="1847" w:type="dxa"/>
            <w:tcBorders>
              <w:tl2br w:val="nil"/>
              <w:tr2bl w:val="nil"/>
            </w:tcBorders>
          </w:tcPr>
          <w:p w14:paraId="71F57A27">
            <w:pPr>
              <w:rPr>
                <w:rFonts w:eastAsia="Times New Roman"/>
                <w:spacing w:val="-1"/>
                <w:sz w:val="18"/>
                <w:szCs w:val="18"/>
                <w:lang w:val="zh-CN"/>
              </w:rPr>
            </w:pPr>
            <w:r>
              <w:rPr>
                <w:rFonts w:eastAsia="Times New Roman"/>
                <w:spacing w:val="-1"/>
                <w:sz w:val="18"/>
                <w:szCs w:val="18"/>
                <w:lang w:val="zh-CN"/>
              </w:rPr>
              <w:t>N，N-二甲基甲酰胺、乙醇、三乙基硅烷、四氢呋喃、正庚烷、甲醇、乙酸乙酯、乙腈、正己烷、四甲基二硅氧烷（含氢双封头）、异丙醇、二氯甲烷、三甲基氯硅烷、三氟化硼乙醚溶液、氯化亚砜、三氯氧磷、甲磺酸、三氟乙酸、特戊酰氯、5-氯噻吩-2-甲酰氯、三氯化铝、N-甲基吗啉、三乙胺、N，N-二异丙基乙胺（DIPEA）、甲苯、醋酐、丙酮、甲醇钠、镁屑、硼氢化钠、氢气</w:t>
            </w:r>
            <w:r>
              <w:rPr>
                <w:rFonts w:eastAsia="Times New Roman"/>
                <w:spacing w:val="-1"/>
                <w:sz w:val="18"/>
                <w:szCs w:val="18"/>
              </w:rPr>
              <w:t>等</w:t>
            </w:r>
          </w:p>
        </w:tc>
        <w:tc>
          <w:tcPr>
            <w:tcW w:w="757" w:type="dxa"/>
            <w:tcBorders>
              <w:tl2br w:val="nil"/>
              <w:tr2bl w:val="nil"/>
            </w:tcBorders>
          </w:tcPr>
          <w:p w14:paraId="100DE20A">
            <w:pPr>
              <w:rPr>
                <w:sz w:val="18"/>
                <w:szCs w:val="18"/>
              </w:rPr>
            </w:pPr>
            <w:r>
              <w:rPr>
                <w:sz w:val="18"/>
                <w:szCs w:val="18"/>
              </w:rPr>
              <w:t>区块二</w:t>
            </w:r>
          </w:p>
        </w:tc>
      </w:tr>
      <w:tr w14:paraId="455C5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tcBorders>
              <w:tl2br w:val="nil"/>
              <w:tr2bl w:val="nil"/>
            </w:tcBorders>
          </w:tcPr>
          <w:p w14:paraId="58CEC3B2">
            <w:pPr>
              <w:rPr>
                <w:sz w:val="18"/>
                <w:szCs w:val="18"/>
              </w:rPr>
            </w:pPr>
            <w:r>
              <w:rPr>
                <w:sz w:val="18"/>
                <w:szCs w:val="18"/>
              </w:rPr>
              <w:t>7</w:t>
            </w:r>
          </w:p>
        </w:tc>
        <w:tc>
          <w:tcPr>
            <w:tcW w:w="1061" w:type="dxa"/>
            <w:tcBorders>
              <w:tl2br w:val="nil"/>
              <w:tr2bl w:val="nil"/>
            </w:tcBorders>
          </w:tcPr>
          <w:p w14:paraId="64CA084D">
            <w:pPr>
              <w:rPr>
                <w:sz w:val="18"/>
                <w:szCs w:val="18"/>
              </w:rPr>
            </w:pPr>
            <w:r>
              <w:rPr>
                <w:sz w:val="18"/>
                <w:szCs w:val="18"/>
              </w:rPr>
              <w:t>安徽山河药用辅料股份有限公司</w:t>
            </w:r>
          </w:p>
        </w:tc>
        <w:tc>
          <w:tcPr>
            <w:tcW w:w="2016" w:type="dxa"/>
            <w:tcBorders>
              <w:tl2br w:val="nil"/>
              <w:tr2bl w:val="nil"/>
            </w:tcBorders>
          </w:tcPr>
          <w:p w14:paraId="0980F04A">
            <w:pPr>
              <w:spacing w:before="68" w:line="249" w:lineRule="auto"/>
              <w:ind w:right="193"/>
              <w:rPr>
                <w:rFonts w:eastAsia="Times New Roman"/>
                <w:spacing w:val="-1"/>
                <w:sz w:val="18"/>
                <w:szCs w:val="18"/>
              </w:rPr>
            </w:pPr>
            <w:r>
              <w:rPr>
                <w:rFonts w:eastAsia="Times New Roman"/>
                <w:spacing w:val="-1"/>
                <w:sz w:val="18"/>
                <w:szCs w:val="18"/>
              </w:rPr>
              <w:t>新型药用辅料系列生产基地一期项目</w:t>
            </w:r>
          </w:p>
        </w:tc>
        <w:tc>
          <w:tcPr>
            <w:tcW w:w="1578" w:type="dxa"/>
            <w:tcBorders>
              <w:tl2br w:val="nil"/>
              <w:tr2bl w:val="nil"/>
            </w:tcBorders>
          </w:tcPr>
          <w:p w14:paraId="29994DDB">
            <w:pPr>
              <w:spacing w:before="68" w:line="249" w:lineRule="auto"/>
              <w:ind w:right="193"/>
              <w:rPr>
                <w:rFonts w:eastAsia="Times New Roman"/>
                <w:spacing w:val="-1"/>
                <w:sz w:val="18"/>
                <w:szCs w:val="18"/>
              </w:rPr>
            </w:pPr>
            <w:r>
              <w:rPr>
                <w:rFonts w:eastAsia="Times New Roman"/>
                <w:spacing w:val="-1"/>
                <w:sz w:val="18"/>
                <w:szCs w:val="18"/>
              </w:rPr>
              <w:t>甲苯异丙醇混合液9000t/a、乙醇溶液18000t/a、甲苯1600t/a</w:t>
            </w:r>
          </w:p>
        </w:tc>
        <w:tc>
          <w:tcPr>
            <w:tcW w:w="871" w:type="dxa"/>
            <w:tcBorders>
              <w:tl2br w:val="nil"/>
              <w:tr2bl w:val="nil"/>
            </w:tcBorders>
          </w:tcPr>
          <w:p w14:paraId="5E10F3F4">
            <w:pPr>
              <w:rPr>
                <w:sz w:val="18"/>
                <w:szCs w:val="18"/>
              </w:rPr>
            </w:pPr>
            <w:r>
              <w:rPr>
                <w:sz w:val="18"/>
                <w:szCs w:val="18"/>
              </w:rPr>
              <w:t>120</w:t>
            </w:r>
          </w:p>
        </w:tc>
        <w:tc>
          <w:tcPr>
            <w:tcW w:w="1091" w:type="dxa"/>
            <w:tcBorders>
              <w:tl2br w:val="nil"/>
              <w:tr2bl w:val="nil"/>
            </w:tcBorders>
          </w:tcPr>
          <w:p w14:paraId="75450380">
            <w:pPr>
              <w:rPr>
                <w:sz w:val="18"/>
                <w:szCs w:val="18"/>
              </w:rPr>
            </w:pPr>
            <w:r>
              <w:rPr>
                <w:sz w:val="18"/>
                <w:szCs w:val="18"/>
              </w:rPr>
              <w:t>98.33</w:t>
            </w:r>
          </w:p>
        </w:tc>
        <w:tc>
          <w:tcPr>
            <w:tcW w:w="859" w:type="dxa"/>
            <w:tcBorders>
              <w:tl2br w:val="nil"/>
              <w:tr2bl w:val="nil"/>
            </w:tcBorders>
          </w:tcPr>
          <w:p w14:paraId="3A6606AE">
            <w:pPr>
              <w:rPr>
                <w:sz w:val="18"/>
                <w:szCs w:val="18"/>
              </w:rPr>
            </w:pPr>
            <w:r>
              <w:rPr>
                <w:sz w:val="18"/>
                <w:szCs w:val="18"/>
              </w:rPr>
              <w:t>建设中</w:t>
            </w:r>
          </w:p>
        </w:tc>
        <w:tc>
          <w:tcPr>
            <w:tcW w:w="1076" w:type="dxa"/>
            <w:tcBorders>
              <w:tl2br w:val="nil"/>
              <w:tr2bl w:val="nil"/>
            </w:tcBorders>
          </w:tcPr>
          <w:p w14:paraId="1DD5BE81">
            <w:pPr>
              <w:spacing w:before="69" w:line="222" w:lineRule="auto"/>
              <w:rPr>
                <w:spacing w:val="-2"/>
                <w:sz w:val="18"/>
                <w:szCs w:val="18"/>
              </w:rPr>
            </w:pPr>
            <w:r>
              <w:rPr>
                <w:spacing w:val="-2"/>
                <w:sz w:val="18"/>
                <w:szCs w:val="18"/>
              </w:rPr>
              <w:t>氯甲烷罐区及环氧丙烷罐区三级重大危险源</w:t>
            </w:r>
          </w:p>
          <w:p w14:paraId="0F5EBC16">
            <w:pPr>
              <w:spacing w:before="69" w:line="222" w:lineRule="auto"/>
              <w:rPr>
                <w:sz w:val="18"/>
                <w:szCs w:val="18"/>
              </w:rPr>
            </w:pPr>
            <w:r>
              <w:rPr>
                <w:spacing w:val="-2"/>
                <w:sz w:val="18"/>
                <w:szCs w:val="18"/>
              </w:rPr>
              <w:t>羟丙甲纤维素主反应车间四级重大危险源。</w:t>
            </w:r>
          </w:p>
        </w:tc>
        <w:tc>
          <w:tcPr>
            <w:tcW w:w="1391" w:type="dxa"/>
            <w:tcBorders>
              <w:tl2br w:val="nil"/>
              <w:tr2bl w:val="nil"/>
            </w:tcBorders>
          </w:tcPr>
          <w:p w14:paraId="5EF306D5">
            <w:pPr>
              <w:rPr>
                <w:sz w:val="18"/>
                <w:szCs w:val="18"/>
              </w:rPr>
            </w:pPr>
            <w:r>
              <w:rPr>
                <w:sz w:val="18"/>
                <w:szCs w:val="18"/>
              </w:rPr>
              <w:t>聚合工艺、烷基化工艺</w:t>
            </w:r>
          </w:p>
        </w:tc>
        <w:tc>
          <w:tcPr>
            <w:tcW w:w="957" w:type="dxa"/>
            <w:tcBorders>
              <w:tl2br w:val="nil"/>
              <w:tr2bl w:val="nil"/>
            </w:tcBorders>
          </w:tcPr>
          <w:p w14:paraId="3E0AADC5">
            <w:pPr>
              <w:rPr>
                <w:sz w:val="18"/>
                <w:szCs w:val="18"/>
              </w:rPr>
            </w:pPr>
            <w:r>
              <w:rPr>
                <w:sz w:val="18"/>
                <w:szCs w:val="18"/>
              </w:rPr>
              <w:t>氯甲烷、环氧丙烷、甲苯</w:t>
            </w:r>
          </w:p>
        </w:tc>
        <w:tc>
          <w:tcPr>
            <w:tcW w:w="1313" w:type="dxa"/>
            <w:tcBorders>
              <w:tl2br w:val="nil"/>
              <w:tr2bl w:val="nil"/>
            </w:tcBorders>
          </w:tcPr>
          <w:p w14:paraId="5CBC9516">
            <w:pPr>
              <w:rPr>
                <w:rFonts w:eastAsia="Times New Roman"/>
                <w:spacing w:val="-1"/>
                <w:sz w:val="18"/>
                <w:szCs w:val="18"/>
              </w:rPr>
            </w:pPr>
            <w:r>
              <w:rPr>
                <w:rFonts w:eastAsia="Times New Roman"/>
                <w:spacing w:val="-1"/>
                <w:sz w:val="18"/>
                <w:szCs w:val="18"/>
                <w:lang w:val="zh-CN"/>
              </w:rPr>
              <w:t>环氧丙烷、</w:t>
            </w:r>
            <w:r>
              <w:rPr>
                <w:rFonts w:eastAsia="Times New Roman"/>
                <w:spacing w:val="-1"/>
                <w:sz w:val="18"/>
                <w:szCs w:val="18"/>
              </w:rPr>
              <w:t>乙醇属于</w:t>
            </w:r>
            <w:r>
              <w:rPr>
                <w:rFonts w:eastAsia="Times New Roman"/>
                <w:spacing w:val="-1"/>
                <w:sz w:val="18"/>
                <w:szCs w:val="18"/>
                <w:lang w:val="zh-CN"/>
              </w:rPr>
              <w:t>特别管控</w:t>
            </w:r>
            <w:r>
              <w:rPr>
                <w:rFonts w:eastAsia="Times New Roman"/>
                <w:spacing w:val="-1"/>
                <w:sz w:val="18"/>
                <w:szCs w:val="18"/>
              </w:rPr>
              <w:t>危险化学品。</w:t>
            </w:r>
          </w:p>
          <w:p w14:paraId="06E59E40">
            <w:pPr>
              <w:rPr>
                <w:rFonts w:eastAsia="Times New Roman"/>
                <w:spacing w:val="-1"/>
                <w:sz w:val="18"/>
                <w:szCs w:val="18"/>
              </w:rPr>
            </w:pPr>
            <w:r>
              <w:rPr>
                <w:rFonts w:eastAsia="Times New Roman"/>
                <w:spacing w:val="-1"/>
                <w:sz w:val="18"/>
                <w:szCs w:val="18"/>
              </w:rPr>
              <w:t>盐酸，</w:t>
            </w:r>
            <w:r>
              <w:rPr>
                <w:rFonts w:eastAsia="Times New Roman"/>
                <w:spacing w:val="-1"/>
                <w:sz w:val="18"/>
                <w:szCs w:val="18"/>
                <w:lang w:val="zh-CN"/>
              </w:rPr>
              <w:t>硫酸</w:t>
            </w:r>
            <w:r>
              <w:rPr>
                <w:rFonts w:eastAsia="Times New Roman"/>
                <w:spacing w:val="-1"/>
                <w:sz w:val="18"/>
                <w:szCs w:val="18"/>
              </w:rPr>
              <w:t>和甲苯属于易制毒化学品。</w:t>
            </w:r>
          </w:p>
          <w:p w14:paraId="741BFE30">
            <w:pPr>
              <w:rPr>
                <w:sz w:val="18"/>
                <w:szCs w:val="18"/>
              </w:rPr>
            </w:pPr>
            <w:r>
              <w:rPr>
                <w:rFonts w:eastAsia="Times New Roman"/>
                <w:spacing w:val="-1"/>
                <w:sz w:val="18"/>
                <w:szCs w:val="18"/>
                <w:lang w:val="zh-CN"/>
              </w:rPr>
              <w:t>过氧化氢溶液</w:t>
            </w:r>
            <w:r>
              <w:rPr>
                <w:rFonts w:eastAsia="Times New Roman"/>
                <w:spacing w:val="-1"/>
                <w:sz w:val="18"/>
                <w:szCs w:val="18"/>
              </w:rPr>
              <w:t>属于易制爆危险化学品。</w:t>
            </w:r>
          </w:p>
        </w:tc>
        <w:tc>
          <w:tcPr>
            <w:tcW w:w="1847" w:type="dxa"/>
            <w:tcBorders>
              <w:tl2br w:val="nil"/>
              <w:tr2bl w:val="nil"/>
            </w:tcBorders>
          </w:tcPr>
          <w:p w14:paraId="345558F9">
            <w:pPr>
              <w:rPr>
                <w:sz w:val="18"/>
                <w:szCs w:val="18"/>
              </w:rPr>
            </w:pPr>
            <w:r>
              <w:rPr>
                <w:sz w:val="18"/>
                <w:szCs w:val="18"/>
              </w:rPr>
              <w:t>氯甲烷、环氧丙烷、甲苯、乙醇、异丙醇、马来酸酐、盐酸、硫酸、氢氧化钠、过氧化氢溶液、硫脲</w:t>
            </w:r>
          </w:p>
        </w:tc>
        <w:tc>
          <w:tcPr>
            <w:tcW w:w="757" w:type="dxa"/>
            <w:tcBorders>
              <w:tl2br w:val="nil"/>
              <w:tr2bl w:val="nil"/>
            </w:tcBorders>
          </w:tcPr>
          <w:p w14:paraId="7933602C">
            <w:pPr>
              <w:rPr>
                <w:sz w:val="18"/>
                <w:szCs w:val="18"/>
              </w:rPr>
            </w:pPr>
            <w:r>
              <w:rPr>
                <w:sz w:val="18"/>
                <w:szCs w:val="18"/>
              </w:rPr>
              <w:t>区块二</w:t>
            </w:r>
          </w:p>
        </w:tc>
      </w:tr>
      <w:tr w14:paraId="76A70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15322" w:type="dxa"/>
            <w:gridSpan w:val="13"/>
            <w:tcBorders>
              <w:tl2br w:val="nil"/>
              <w:tr2bl w:val="nil"/>
            </w:tcBorders>
          </w:tcPr>
          <w:p w14:paraId="51FD81D3">
            <w:pPr>
              <w:jc w:val="center"/>
              <w:rPr>
                <w:sz w:val="18"/>
                <w:szCs w:val="18"/>
              </w:rPr>
            </w:pPr>
            <w:r>
              <w:rPr>
                <w:sz w:val="18"/>
                <w:szCs w:val="18"/>
              </w:rPr>
              <w:t>非化工企业</w:t>
            </w:r>
          </w:p>
        </w:tc>
      </w:tr>
      <w:tr w14:paraId="6FFF9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tcBorders>
              <w:tl2br w:val="nil"/>
              <w:tr2bl w:val="nil"/>
            </w:tcBorders>
          </w:tcPr>
          <w:p w14:paraId="4C3EE913">
            <w:pPr>
              <w:rPr>
                <w:sz w:val="18"/>
                <w:szCs w:val="18"/>
              </w:rPr>
            </w:pPr>
            <w:r>
              <w:rPr>
                <w:rFonts w:hint="eastAsia"/>
                <w:sz w:val="18"/>
                <w:szCs w:val="18"/>
              </w:rPr>
              <w:t>8</w:t>
            </w:r>
          </w:p>
        </w:tc>
        <w:tc>
          <w:tcPr>
            <w:tcW w:w="1061" w:type="dxa"/>
            <w:tcBorders>
              <w:tl2br w:val="nil"/>
              <w:tr2bl w:val="nil"/>
            </w:tcBorders>
          </w:tcPr>
          <w:p w14:paraId="53A19EE4">
            <w:pPr>
              <w:rPr>
                <w:sz w:val="18"/>
                <w:szCs w:val="18"/>
              </w:rPr>
            </w:pPr>
            <w:r>
              <w:rPr>
                <w:sz w:val="18"/>
                <w:szCs w:val="18"/>
              </w:rPr>
              <w:t>淮南市欧洁环保科技有限公司</w:t>
            </w:r>
          </w:p>
        </w:tc>
        <w:tc>
          <w:tcPr>
            <w:tcW w:w="2016" w:type="dxa"/>
            <w:tcBorders>
              <w:tl2br w:val="nil"/>
              <w:tr2bl w:val="nil"/>
            </w:tcBorders>
          </w:tcPr>
          <w:p w14:paraId="43DCD7AA">
            <w:pPr>
              <w:spacing w:before="68" w:line="249" w:lineRule="auto"/>
              <w:ind w:right="193"/>
              <w:rPr>
                <w:rFonts w:eastAsia="Times New Roman"/>
                <w:spacing w:val="-1"/>
                <w:sz w:val="18"/>
                <w:szCs w:val="18"/>
              </w:rPr>
            </w:pPr>
            <w:r>
              <w:rPr>
                <w:rFonts w:eastAsia="Times New Roman"/>
                <w:spacing w:val="-1"/>
                <w:sz w:val="18"/>
                <w:szCs w:val="18"/>
              </w:rPr>
              <w:t>车用尾气处理液及车用玻璃水加工项目</w:t>
            </w:r>
          </w:p>
        </w:tc>
        <w:tc>
          <w:tcPr>
            <w:tcW w:w="1578" w:type="dxa"/>
            <w:tcBorders>
              <w:tl2br w:val="nil"/>
              <w:tr2bl w:val="nil"/>
            </w:tcBorders>
          </w:tcPr>
          <w:p w14:paraId="2E4898CE">
            <w:pPr>
              <w:rPr>
                <w:sz w:val="18"/>
                <w:szCs w:val="18"/>
              </w:rPr>
            </w:pPr>
            <w:r>
              <w:rPr>
                <w:sz w:val="18"/>
                <w:szCs w:val="18"/>
              </w:rPr>
              <w:t>不涉及</w:t>
            </w:r>
          </w:p>
        </w:tc>
        <w:tc>
          <w:tcPr>
            <w:tcW w:w="871" w:type="dxa"/>
            <w:tcBorders>
              <w:tl2br w:val="nil"/>
              <w:tr2bl w:val="nil"/>
            </w:tcBorders>
          </w:tcPr>
          <w:p w14:paraId="30C1FFC8">
            <w:pPr>
              <w:rPr>
                <w:sz w:val="18"/>
                <w:szCs w:val="18"/>
              </w:rPr>
            </w:pPr>
            <w:r>
              <w:rPr>
                <w:sz w:val="18"/>
                <w:szCs w:val="18"/>
              </w:rPr>
              <w:t>/</w:t>
            </w:r>
          </w:p>
        </w:tc>
        <w:tc>
          <w:tcPr>
            <w:tcW w:w="1091" w:type="dxa"/>
            <w:tcBorders>
              <w:tl2br w:val="nil"/>
              <w:tr2bl w:val="nil"/>
            </w:tcBorders>
          </w:tcPr>
          <w:p w14:paraId="6613757C">
            <w:pPr>
              <w:rPr>
                <w:sz w:val="18"/>
                <w:szCs w:val="18"/>
              </w:rPr>
            </w:pPr>
            <w:r>
              <w:rPr>
                <w:sz w:val="18"/>
                <w:szCs w:val="18"/>
              </w:rPr>
              <w:t>/</w:t>
            </w:r>
          </w:p>
        </w:tc>
        <w:tc>
          <w:tcPr>
            <w:tcW w:w="859" w:type="dxa"/>
            <w:tcBorders>
              <w:tl2br w:val="nil"/>
              <w:tr2bl w:val="nil"/>
            </w:tcBorders>
          </w:tcPr>
          <w:p w14:paraId="0490C917">
            <w:pPr>
              <w:rPr>
                <w:sz w:val="18"/>
                <w:szCs w:val="18"/>
              </w:rPr>
            </w:pPr>
            <w:r>
              <w:rPr>
                <w:spacing w:val="-3"/>
                <w:sz w:val="18"/>
                <w:szCs w:val="18"/>
              </w:rPr>
              <w:t>建设中</w:t>
            </w:r>
          </w:p>
        </w:tc>
        <w:tc>
          <w:tcPr>
            <w:tcW w:w="1076" w:type="dxa"/>
            <w:tcBorders>
              <w:tl2br w:val="nil"/>
              <w:tr2bl w:val="nil"/>
            </w:tcBorders>
          </w:tcPr>
          <w:p w14:paraId="75A48A0D">
            <w:pPr>
              <w:rPr>
                <w:sz w:val="18"/>
                <w:szCs w:val="18"/>
              </w:rPr>
            </w:pPr>
            <w:r>
              <w:rPr>
                <w:sz w:val="18"/>
                <w:szCs w:val="18"/>
              </w:rPr>
              <w:t>不涉及</w:t>
            </w:r>
          </w:p>
        </w:tc>
        <w:tc>
          <w:tcPr>
            <w:tcW w:w="1391" w:type="dxa"/>
            <w:tcBorders>
              <w:tl2br w:val="nil"/>
              <w:tr2bl w:val="nil"/>
            </w:tcBorders>
          </w:tcPr>
          <w:p w14:paraId="575265AB">
            <w:pPr>
              <w:rPr>
                <w:sz w:val="18"/>
                <w:szCs w:val="18"/>
              </w:rPr>
            </w:pPr>
            <w:r>
              <w:rPr>
                <w:sz w:val="18"/>
                <w:szCs w:val="18"/>
              </w:rPr>
              <w:t>不涉及</w:t>
            </w:r>
          </w:p>
        </w:tc>
        <w:tc>
          <w:tcPr>
            <w:tcW w:w="957" w:type="dxa"/>
            <w:tcBorders>
              <w:tl2br w:val="nil"/>
              <w:tr2bl w:val="nil"/>
            </w:tcBorders>
          </w:tcPr>
          <w:p w14:paraId="2F6F0D08">
            <w:pPr>
              <w:rPr>
                <w:sz w:val="18"/>
                <w:szCs w:val="18"/>
              </w:rPr>
            </w:pPr>
            <w:r>
              <w:rPr>
                <w:sz w:val="18"/>
                <w:szCs w:val="18"/>
              </w:rPr>
              <w:t>不涉及</w:t>
            </w:r>
          </w:p>
        </w:tc>
        <w:tc>
          <w:tcPr>
            <w:tcW w:w="1313" w:type="dxa"/>
            <w:tcBorders>
              <w:tl2br w:val="nil"/>
              <w:tr2bl w:val="nil"/>
            </w:tcBorders>
          </w:tcPr>
          <w:p w14:paraId="1B3939B5">
            <w:pPr>
              <w:rPr>
                <w:sz w:val="18"/>
                <w:szCs w:val="18"/>
              </w:rPr>
            </w:pPr>
            <w:r>
              <w:rPr>
                <w:sz w:val="18"/>
                <w:szCs w:val="18"/>
              </w:rPr>
              <w:t>不涉及</w:t>
            </w:r>
          </w:p>
        </w:tc>
        <w:tc>
          <w:tcPr>
            <w:tcW w:w="1847" w:type="dxa"/>
            <w:tcBorders>
              <w:tl2br w:val="nil"/>
              <w:tr2bl w:val="nil"/>
            </w:tcBorders>
          </w:tcPr>
          <w:p w14:paraId="3C637DE2">
            <w:pPr>
              <w:rPr>
                <w:sz w:val="18"/>
                <w:szCs w:val="18"/>
              </w:rPr>
            </w:pPr>
            <w:r>
              <w:rPr>
                <w:sz w:val="18"/>
                <w:szCs w:val="18"/>
              </w:rPr>
              <w:t>氨气</w:t>
            </w:r>
          </w:p>
        </w:tc>
        <w:tc>
          <w:tcPr>
            <w:tcW w:w="757" w:type="dxa"/>
            <w:tcBorders>
              <w:tl2br w:val="nil"/>
              <w:tr2bl w:val="nil"/>
            </w:tcBorders>
          </w:tcPr>
          <w:p w14:paraId="34B391E6">
            <w:pPr>
              <w:rPr>
                <w:sz w:val="18"/>
                <w:szCs w:val="18"/>
              </w:rPr>
            </w:pPr>
            <w:r>
              <w:rPr>
                <w:sz w:val="18"/>
                <w:szCs w:val="18"/>
              </w:rPr>
              <w:t>区块二</w:t>
            </w:r>
          </w:p>
        </w:tc>
      </w:tr>
      <w:tr w14:paraId="06FB42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15322" w:type="dxa"/>
            <w:gridSpan w:val="13"/>
            <w:tcBorders>
              <w:tl2br w:val="nil"/>
              <w:tr2bl w:val="nil"/>
            </w:tcBorders>
          </w:tcPr>
          <w:p w14:paraId="1D9B93A1">
            <w:pPr>
              <w:jc w:val="center"/>
              <w:rPr>
                <w:sz w:val="18"/>
                <w:szCs w:val="18"/>
              </w:rPr>
            </w:pPr>
            <w:r>
              <w:rPr>
                <w:sz w:val="18"/>
                <w:szCs w:val="18"/>
              </w:rPr>
              <w:t>配套设施</w:t>
            </w:r>
          </w:p>
        </w:tc>
      </w:tr>
      <w:tr w14:paraId="46870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505" w:type="dxa"/>
            <w:tcBorders>
              <w:tl2br w:val="nil"/>
              <w:tr2bl w:val="nil"/>
            </w:tcBorders>
          </w:tcPr>
          <w:p w14:paraId="5DD7E713">
            <w:pPr>
              <w:rPr>
                <w:sz w:val="18"/>
                <w:szCs w:val="18"/>
              </w:rPr>
            </w:pPr>
            <w:r>
              <w:rPr>
                <w:rFonts w:hint="eastAsia"/>
                <w:sz w:val="18"/>
                <w:szCs w:val="18"/>
              </w:rPr>
              <w:t>9</w:t>
            </w:r>
          </w:p>
        </w:tc>
        <w:tc>
          <w:tcPr>
            <w:tcW w:w="1061" w:type="dxa"/>
            <w:tcBorders>
              <w:tl2br w:val="nil"/>
              <w:tr2bl w:val="nil"/>
            </w:tcBorders>
          </w:tcPr>
          <w:p w14:paraId="27058E2D">
            <w:pPr>
              <w:rPr>
                <w:sz w:val="18"/>
                <w:szCs w:val="18"/>
              </w:rPr>
            </w:pPr>
            <w:r>
              <w:rPr>
                <w:sz w:val="18"/>
                <w:szCs w:val="18"/>
              </w:rPr>
              <w:t>污水处理厂</w:t>
            </w:r>
          </w:p>
        </w:tc>
        <w:tc>
          <w:tcPr>
            <w:tcW w:w="2016" w:type="dxa"/>
            <w:tcBorders>
              <w:tl2br w:val="nil"/>
              <w:tr2bl w:val="nil"/>
            </w:tcBorders>
          </w:tcPr>
          <w:p w14:paraId="565E5513">
            <w:pPr>
              <w:spacing w:before="68" w:line="249" w:lineRule="auto"/>
              <w:ind w:right="193"/>
              <w:rPr>
                <w:rFonts w:eastAsia="Times New Roman"/>
                <w:spacing w:val="-1"/>
                <w:sz w:val="18"/>
                <w:szCs w:val="18"/>
              </w:rPr>
            </w:pPr>
          </w:p>
        </w:tc>
        <w:tc>
          <w:tcPr>
            <w:tcW w:w="1578" w:type="dxa"/>
            <w:tcBorders>
              <w:tl2br w:val="nil"/>
              <w:tr2bl w:val="nil"/>
            </w:tcBorders>
          </w:tcPr>
          <w:p w14:paraId="0C578473">
            <w:pPr>
              <w:rPr>
                <w:sz w:val="18"/>
                <w:szCs w:val="18"/>
              </w:rPr>
            </w:pPr>
            <w:r>
              <w:rPr>
                <w:sz w:val="18"/>
                <w:szCs w:val="18"/>
              </w:rPr>
              <w:t>不涉及</w:t>
            </w:r>
          </w:p>
        </w:tc>
        <w:tc>
          <w:tcPr>
            <w:tcW w:w="871" w:type="dxa"/>
            <w:tcBorders>
              <w:tl2br w:val="nil"/>
              <w:tr2bl w:val="nil"/>
            </w:tcBorders>
          </w:tcPr>
          <w:p w14:paraId="6E845E1D">
            <w:pPr>
              <w:rPr>
                <w:sz w:val="18"/>
                <w:szCs w:val="18"/>
              </w:rPr>
            </w:pPr>
            <w:r>
              <w:rPr>
                <w:sz w:val="18"/>
                <w:szCs w:val="18"/>
              </w:rPr>
              <w:t>/</w:t>
            </w:r>
          </w:p>
        </w:tc>
        <w:tc>
          <w:tcPr>
            <w:tcW w:w="1091" w:type="dxa"/>
            <w:tcBorders>
              <w:tl2br w:val="nil"/>
              <w:tr2bl w:val="nil"/>
            </w:tcBorders>
          </w:tcPr>
          <w:p w14:paraId="1A10896A">
            <w:pPr>
              <w:rPr>
                <w:sz w:val="18"/>
                <w:szCs w:val="18"/>
              </w:rPr>
            </w:pPr>
            <w:r>
              <w:rPr>
                <w:sz w:val="18"/>
                <w:szCs w:val="18"/>
              </w:rPr>
              <w:t>/</w:t>
            </w:r>
          </w:p>
        </w:tc>
        <w:tc>
          <w:tcPr>
            <w:tcW w:w="859" w:type="dxa"/>
            <w:tcBorders>
              <w:tl2br w:val="nil"/>
              <w:tr2bl w:val="nil"/>
            </w:tcBorders>
          </w:tcPr>
          <w:p w14:paraId="193369C2">
            <w:pPr>
              <w:rPr>
                <w:sz w:val="18"/>
                <w:szCs w:val="18"/>
              </w:rPr>
            </w:pPr>
            <w:r>
              <w:rPr>
                <w:sz w:val="18"/>
                <w:szCs w:val="18"/>
              </w:rPr>
              <w:t>运行中</w:t>
            </w:r>
          </w:p>
        </w:tc>
        <w:tc>
          <w:tcPr>
            <w:tcW w:w="1076" w:type="dxa"/>
            <w:tcBorders>
              <w:tl2br w:val="nil"/>
              <w:tr2bl w:val="nil"/>
            </w:tcBorders>
          </w:tcPr>
          <w:p w14:paraId="1E9E7FF9">
            <w:pPr>
              <w:rPr>
                <w:sz w:val="18"/>
                <w:szCs w:val="18"/>
              </w:rPr>
            </w:pPr>
            <w:r>
              <w:rPr>
                <w:sz w:val="18"/>
                <w:szCs w:val="18"/>
              </w:rPr>
              <w:t>不涉及</w:t>
            </w:r>
          </w:p>
        </w:tc>
        <w:tc>
          <w:tcPr>
            <w:tcW w:w="1391" w:type="dxa"/>
            <w:tcBorders>
              <w:tl2br w:val="nil"/>
              <w:tr2bl w:val="nil"/>
            </w:tcBorders>
          </w:tcPr>
          <w:p w14:paraId="564F2AAD">
            <w:pPr>
              <w:rPr>
                <w:sz w:val="18"/>
                <w:szCs w:val="18"/>
              </w:rPr>
            </w:pPr>
            <w:r>
              <w:rPr>
                <w:sz w:val="18"/>
                <w:szCs w:val="18"/>
              </w:rPr>
              <w:t>不涉及</w:t>
            </w:r>
          </w:p>
        </w:tc>
        <w:tc>
          <w:tcPr>
            <w:tcW w:w="957" w:type="dxa"/>
            <w:tcBorders>
              <w:tl2br w:val="nil"/>
              <w:tr2bl w:val="nil"/>
            </w:tcBorders>
          </w:tcPr>
          <w:p w14:paraId="1337ECE5">
            <w:pPr>
              <w:rPr>
                <w:sz w:val="18"/>
                <w:szCs w:val="18"/>
              </w:rPr>
            </w:pPr>
            <w:r>
              <w:rPr>
                <w:sz w:val="18"/>
                <w:szCs w:val="18"/>
              </w:rPr>
              <w:t>不涉及</w:t>
            </w:r>
          </w:p>
        </w:tc>
        <w:tc>
          <w:tcPr>
            <w:tcW w:w="1313" w:type="dxa"/>
            <w:tcBorders>
              <w:tl2br w:val="nil"/>
              <w:tr2bl w:val="nil"/>
            </w:tcBorders>
          </w:tcPr>
          <w:p w14:paraId="49DC43CA">
            <w:pPr>
              <w:rPr>
                <w:sz w:val="18"/>
                <w:szCs w:val="18"/>
              </w:rPr>
            </w:pPr>
            <w:r>
              <w:rPr>
                <w:sz w:val="18"/>
                <w:szCs w:val="18"/>
              </w:rPr>
              <w:t>不涉及</w:t>
            </w:r>
          </w:p>
        </w:tc>
        <w:tc>
          <w:tcPr>
            <w:tcW w:w="1847" w:type="dxa"/>
            <w:tcBorders>
              <w:tl2br w:val="nil"/>
              <w:tr2bl w:val="nil"/>
            </w:tcBorders>
          </w:tcPr>
          <w:p w14:paraId="0345AE98">
            <w:pPr>
              <w:rPr>
                <w:sz w:val="18"/>
                <w:szCs w:val="18"/>
              </w:rPr>
            </w:pPr>
            <w:r>
              <w:rPr>
                <w:sz w:val="18"/>
                <w:szCs w:val="18"/>
              </w:rPr>
              <w:t>硫酸、双氧水</w:t>
            </w:r>
          </w:p>
        </w:tc>
        <w:tc>
          <w:tcPr>
            <w:tcW w:w="757" w:type="dxa"/>
            <w:tcBorders>
              <w:tl2br w:val="nil"/>
              <w:tr2bl w:val="nil"/>
            </w:tcBorders>
          </w:tcPr>
          <w:p w14:paraId="4FA69BF8">
            <w:pPr>
              <w:rPr>
                <w:sz w:val="18"/>
                <w:szCs w:val="18"/>
              </w:rPr>
            </w:pPr>
            <w:r>
              <w:rPr>
                <w:sz w:val="18"/>
                <w:szCs w:val="18"/>
              </w:rPr>
              <w:t>区块二</w:t>
            </w:r>
          </w:p>
        </w:tc>
      </w:tr>
      <w:tr w14:paraId="638F4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 w:hRule="atLeast"/>
          <w:jc w:val="center"/>
        </w:trPr>
        <w:tc>
          <w:tcPr>
            <w:tcW w:w="505" w:type="dxa"/>
            <w:tcBorders>
              <w:tl2br w:val="nil"/>
              <w:tr2bl w:val="nil"/>
            </w:tcBorders>
          </w:tcPr>
          <w:p w14:paraId="4666BD13">
            <w:pPr>
              <w:rPr>
                <w:sz w:val="18"/>
                <w:szCs w:val="18"/>
              </w:rPr>
            </w:pPr>
            <w:r>
              <w:rPr>
                <w:sz w:val="18"/>
                <w:szCs w:val="18"/>
              </w:rPr>
              <w:t>1</w:t>
            </w:r>
            <w:r>
              <w:rPr>
                <w:rFonts w:hint="eastAsia"/>
                <w:sz w:val="18"/>
                <w:szCs w:val="18"/>
              </w:rPr>
              <w:t>0</w:t>
            </w:r>
          </w:p>
        </w:tc>
        <w:tc>
          <w:tcPr>
            <w:tcW w:w="1061" w:type="dxa"/>
            <w:tcBorders>
              <w:tl2br w:val="nil"/>
              <w:tr2bl w:val="nil"/>
            </w:tcBorders>
          </w:tcPr>
          <w:p w14:paraId="4A9C1319">
            <w:pPr>
              <w:rPr>
                <w:sz w:val="18"/>
                <w:szCs w:val="18"/>
              </w:rPr>
            </w:pPr>
            <w:r>
              <w:rPr>
                <w:sz w:val="18"/>
                <w:szCs w:val="18"/>
              </w:rPr>
              <w:t>危化品停车场</w:t>
            </w:r>
          </w:p>
        </w:tc>
        <w:tc>
          <w:tcPr>
            <w:tcW w:w="2016" w:type="dxa"/>
            <w:tcBorders>
              <w:tl2br w:val="nil"/>
              <w:tr2bl w:val="nil"/>
            </w:tcBorders>
          </w:tcPr>
          <w:p w14:paraId="1492EB60">
            <w:pPr>
              <w:spacing w:before="68" w:line="249" w:lineRule="auto"/>
              <w:ind w:right="193"/>
              <w:rPr>
                <w:rFonts w:eastAsia="Times New Roman"/>
                <w:spacing w:val="-1"/>
                <w:sz w:val="18"/>
                <w:szCs w:val="18"/>
              </w:rPr>
            </w:pPr>
          </w:p>
        </w:tc>
        <w:tc>
          <w:tcPr>
            <w:tcW w:w="1578" w:type="dxa"/>
            <w:tcBorders>
              <w:tl2br w:val="nil"/>
              <w:tr2bl w:val="nil"/>
            </w:tcBorders>
          </w:tcPr>
          <w:p w14:paraId="725817FF">
            <w:pPr>
              <w:rPr>
                <w:sz w:val="18"/>
                <w:szCs w:val="18"/>
              </w:rPr>
            </w:pPr>
            <w:r>
              <w:rPr>
                <w:sz w:val="18"/>
                <w:szCs w:val="18"/>
              </w:rPr>
              <w:t>不涉及</w:t>
            </w:r>
          </w:p>
        </w:tc>
        <w:tc>
          <w:tcPr>
            <w:tcW w:w="871" w:type="dxa"/>
            <w:tcBorders>
              <w:tl2br w:val="nil"/>
              <w:tr2bl w:val="nil"/>
            </w:tcBorders>
          </w:tcPr>
          <w:p w14:paraId="2D7B0CC2">
            <w:pPr>
              <w:rPr>
                <w:sz w:val="18"/>
                <w:szCs w:val="18"/>
              </w:rPr>
            </w:pPr>
            <w:r>
              <w:rPr>
                <w:sz w:val="18"/>
                <w:szCs w:val="18"/>
              </w:rPr>
              <w:t>/</w:t>
            </w:r>
          </w:p>
        </w:tc>
        <w:tc>
          <w:tcPr>
            <w:tcW w:w="1091" w:type="dxa"/>
            <w:tcBorders>
              <w:tl2br w:val="nil"/>
              <w:tr2bl w:val="nil"/>
            </w:tcBorders>
          </w:tcPr>
          <w:p w14:paraId="4016EE20">
            <w:pPr>
              <w:rPr>
                <w:sz w:val="18"/>
                <w:szCs w:val="18"/>
              </w:rPr>
            </w:pPr>
            <w:r>
              <w:rPr>
                <w:sz w:val="18"/>
                <w:szCs w:val="18"/>
              </w:rPr>
              <w:t>/</w:t>
            </w:r>
          </w:p>
        </w:tc>
        <w:tc>
          <w:tcPr>
            <w:tcW w:w="859" w:type="dxa"/>
            <w:tcBorders>
              <w:tl2br w:val="nil"/>
              <w:tr2bl w:val="nil"/>
            </w:tcBorders>
          </w:tcPr>
          <w:p w14:paraId="37A5ACC7">
            <w:pPr>
              <w:rPr>
                <w:sz w:val="18"/>
                <w:szCs w:val="18"/>
              </w:rPr>
            </w:pPr>
            <w:r>
              <w:rPr>
                <w:spacing w:val="-3"/>
                <w:sz w:val="18"/>
                <w:szCs w:val="18"/>
              </w:rPr>
              <w:t>建设中</w:t>
            </w:r>
          </w:p>
        </w:tc>
        <w:tc>
          <w:tcPr>
            <w:tcW w:w="1076" w:type="dxa"/>
            <w:tcBorders>
              <w:tl2br w:val="nil"/>
              <w:tr2bl w:val="nil"/>
            </w:tcBorders>
          </w:tcPr>
          <w:p w14:paraId="0C826E95">
            <w:pPr>
              <w:rPr>
                <w:sz w:val="18"/>
                <w:szCs w:val="18"/>
              </w:rPr>
            </w:pPr>
            <w:r>
              <w:rPr>
                <w:sz w:val="18"/>
                <w:szCs w:val="18"/>
              </w:rPr>
              <w:t>不涉及</w:t>
            </w:r>
          </w:p>
        </w:tc>
        <w:tc>
          <w:tcPr>
            <w:tcW w:w="1391" w:type="dxa"/>
            <w:tcBorders>
              <w:tl2br w:val="nil"/>
              <w:tr2bl w:val="nil"/>
            </w:tcBorders>
          </w:tcPr>
          <w:p w14:paraId="589E2A32">
            <w:pPr>
              <w:rPr>
                <w:sz w:val="18"/>
                <w:szCs w:val="18"/>
              </w:rPr>
            </w:pPr>
            <w:r>
              <w:rPr>
                <w:sz w:val="18"/>
                <w:szCs w:val="18"/>
              </w:rPr>
              <w:t>不涉及</w:t>
            </w:r>
          </w:p>
        </w:tc>
        <w:tc>
          <w:tcPr>
            <w:tcW w:w="957" w:type="dxa"/>
            <w:tcBorders>
              <w:tl2br w:val="nil"/>
              <w:tr2bl w:val="nil"/>
            </w:tcBorders>
          </w:tcPr>
          <w:p w14:paraId="2A77EB8A">
            <w:pPr>
              <w:rPr>
                <w:sz w:val="18"/>
                <w:szCs w:val="18"/>
              </w:rPr>
            </w:pPr>
            <w:r>
              <w:rPr>
                <w:sz w:val="18"/>
                <w:szCs w:val="18"/>
              </w:rPr>
              <w:t>不涉及</w:t>
            </w:r>
          </w:p>
        </w:tc>
        <w:tc>
          <w:tcPr>
            <w:tcW w:w="1313" w:type="dxa"/>
            <w:tcBorders>
              <w:tl2br w:val="nil"/>
              <w:tr2bl w:val="nil"/>
            </w:tcBorders>
          </w:tcPr>
          <w:p w14:paraId="7F61702B">
            <w:pPr>
              <w:rPr>
                <w:sz w:val="18"/>
                <w:szCs w:val="18"/>
              </w:rPr>
            </w:pPr>
            <w:r>
              <w:rPr>
                <w:sz w:val="18"/>
                <w:szCs w:val="18"/>
              </w:rPr>
              <w:t>不涉及</w:t>
            </w:r>
          </w:p>
        </w:tc>
        <w:tc>
          <w:tcPr>
            <w:tcW w:w="1847" w:type="dxa"/>
            <w:tcBorders>
              <w:tl2br w:val="nil"/>
              <w:tr2bl w:val="nil"/>
            </w:tcBorders>
          </w:tcPr>
          <w:p w14:paraId="6A5AB6A3">
            <w:pPr>
              <w:rPr>
                <w:sz w:val="18"/>
                <w:szCs w:val="18"/>
              </w:rPr>
            </w:pPr>
          </w:p>
        </w:tc>
        <w:tc>
          <w:tcPr>
            <w:tcW w:w="757" w:type="dxa"/>
            <w:tcBorders>
              <w:tl2br w:val="nil"/>
              <w:tr2bl w:val="nil"/>
            </w:tcBorders>
          </w:tcPr>
          <w:p w14:paraId="7BCCA2FE">
            <w:pPr>
              <w:rPr>
                <w:sz w:val="18"/>
                <w:szCs w:val="18"/>
              </w:rPr>
            </w:pPr>
            <w:r>
              <w:rPr>
                <w:sz w:val="18"/>
                <w:szCs w:val="18"/>
              </w:rPr>
              <w:t>区块二</w:t>
            </w:r>
          </w:p>
        </w:tc>
      </w:tr>
    </w:tbl>
    <w:p w14:paraId="5DEB21DB">
      <w:pPr>
        <w:sectPr>
          <w:headerReference r:id="rId13" w:type="default"/>
          <w:pgSz w:w="16838" w:h="11906" w:orient="landscape"/>
          <w:pgMar w:top="1714" w:right="1797" w:bottom="1418" w:left="1797" w:header="851" w:footer="992" w:gutter="0"/>
          <w:cols w:space="720" w:num="1"/>
          <w:docGrid w:linePitch="312" w:charSpace="0"/>
        </w:sectPr>
      </w:pPr>
    </w:p>
    <w:p w14:paraId="4E0B1A55">
      <w:pPr>
        <w:spacing w:line="360" w:lineRule="auto"/>
        <w:rPr>
          <w:b/>
          <w:bCs/>
          <w:sz w:val="24"/>
          <w:szCs w:val="24"/>
        </w:rPr>
      </w:pPr>
      <w:r>
        <w:rPr>
          <w:b/>
          <w:bCs/>
          <w:sz w:val="24"/>
          <w:szCs w:val="24"/>
        </w:rPr>
        <w:t>9.1.2主导产业现状分析</w:t>
      </w:r>
    </w:p>
    <w:p w14:paraId="529BA2E9">
      <w:pPr>
        <w:spacing w:line="360" w:lineRule="auto"/>
        <w:ind w:firstLine="480" w:firstLineChars="200"/>
        <w:rPr>
          <w:sz w:val="24"/>
          <w:szCs w:val="24"/>
        </w:rPr>
      </w:pPr>
      <w:r>
        <w:rPr>
          <w:sz w:val="24"/>
          <w:szCs w:val="24"/>
        </w:rPr>
        <w:t>1、主导产业现状分析</w:t>
      </w:r>
    </w:p>
    <w:p w14:paraId="4DE01996">
      <w:pPr>
        <w:spacing w:line="360" w:lineRule="auto"/>
        <w:ind w:firstLine="480" w:firstLineChars="200"/>
        <w:rPr>
          <w:sz w:val="24"/>
          <w:szCs w:val="24"/>
        </w:rPr>
      </w:pPr>
      <w:r>
        <w:rPr>
          <w:sz w:val="24"/>
          <w:szCs w:val="24"/>
        </w:rPr>
        <w:t>淮南经开化工园区以医药化工为主导产业。此外，还有部分非化工企业、园区配套基础设施等企业。</w:t>
      </w:r>
    </w:p>
    <w:p w14:paraId="00416586">
      <w:pPr>
        <w:spacing w:line="360" w:lineRule="auto"/>
        <w:ind w:firstLine="480" w:firstLineChars="200"/>
        <w:rPr>
          <w:sz w:val="24"/>
          <w:szCs w:val="24"/>
        </w:rPr>
      </w:pPr>
      <w:r>
        <w:rPr>
          <w:sz w:val="24"/>
          <w:szCs w:val="24"/>
        </w:rPr>
        <w:t>2、产业政策符合性</w:t>
      </w:r>
    </w:p>
    <w:p w14:paraId="4EB14F05">
      <w:pPr>
        <w:spacing w:line="360" w:lineRule="auto"/>
        <w:ind w:firstLine="480" w:firstLineChars="200"/>
        <w:rPr>
          <w:sz w:val="24"/>
          <w:szCs w:val="24"/>
        </w:rPr>
      </w:pPr>
      <w:r>
        <w:rPr>
          <w:sz w:val="24"/>
          <w:szCs w:val="24"/>
        </w:rPr>
        <w:t>入园项目环保和安全准入，严格控制非主导产业定位方向的项目入区建设，严格控制高耗水、高耗能、污水排放量大的项目入区，入区企业（含现有和在建企业）及其所含项目均未包含《产业结构调整指导目录（2019年本）》、《外商投资产业指导目录》（2017年修订）等相关产业政策中明令禁止、淘汰类项目。</w:t>
      </w:r>
    </w:p>
    <w:p w14:paraId="065540B0">
      <w:pPr>
        <w:spacing w:line="360" w:lineRule="auto"/>
        <w:ind w:firstLine="480" w:firstLineChars="200"/>
        <w:rPr>
          <w:sz w:val="24"/>
          <w:szCs w:val="24"/>
        </w:rPr>
      </w:pPr>
      <w:r>
        <w:rPr>
          <w:sz w:val="24"/>
          <w:szCs w:val="24"/>
        </w:rPr>
        <w:t>3、产业布局符合性</w:t>
      </w:r>
    </w:p>
    <w:p w14:paraId="0497B9BF">
      <w:pPr>
        <w:spacing w:line="360" w:lineRule="auto"/>
        <w:ind w:firstLine="480" w:firstLineChars="200"/>
        <w:rPr>
          <w:sz w:val="24"/>
          <w:szCs w:val="24"/>
        </w:rPr>
      </w:pPr>
      <w:r>
        <w:rPr>
          <w:sz w:val="24"/>
          <w:szCs w:val="24"/>
        </w:rPr>
        <w:t>淮南经开化工园区主导行业占园区入驻企业的80%以上，非主导产业不属于规划环评环境准入禁止类、限制类。非化工企业逐步搬迁出园区。</w:t>
      </w:r>
    </w:p>
    <w:p w14:paraId="78FF497F">
      <w:pPr>
        <w:spacing w:line="360" w:lineRule="auto"/>
        <w:ind w:firstLine="480" w:firstLineChars="200"/>
        <w:rPr>
          <w:sz w:val="24"/>
          <w:szCs w:val="24"/>
        </w:rPr>
      </w:pPr>
      <w:r>
        <w:rPr>
          <w:sz w:val="24"/>
          <w:szCs w:val="24"/>
        </w:rPr>
        <w:t>4、存在的问题</w:t>
      </w:r>
    </w:p>
    <w:p w14:paraId="3AE6118C">
      <w:pPr>
        <w:spacing w:line="360" w:lineRule="auto"/>
        <w:ind w:firstLine="540" w:firstLineChars="225"/>
        <w:rPr>
          <w:sz w:val="24"/>
        </w:rPr>
      </w:pPr>
      <w:r>
        <w:rPr>
          <w:sz w:val="24"/>
        </w:rPr>
        <w:t>目前园区安全发展现状仍存在不少问题，如产业布局存在空间不够优化，现状企业危险工艺操作人员文化水平不高，园区安全防控措施距最新政策要求还不够完善等问题。</w:t>
      </w:r>
    </w:p>
    <w:p w14:paraId="37C372E1">
      <w:pPr>
        <w:spacing w:line="360" w:lineRule="auto"/>
        <w:ind w:firstLine="540" w:firstLineChars="225"/>
        <w:rPr>
          <w:sz w:val="24"/>
        </w:rPr>
      </w:pPr>
      <w:r>
        <w:rPr>
          <w:sz w:val="24"/>
          <w:szCs w:val="24"/>
        </w:rPr>
        <w:t>淮南经开化工园区区块一</w:t>
      </w:r>
      <w:r>
        <w:rPr>
          <w:sz w:val="24"/>
        </w:rPr>
        <w:t>的西侧、南侧、北侧距离城市建成区、人口密集区、重要设施防护目标缓冲带小于200m；</w:t>
      </w:r>
      <w:r>
        <w:rPr>
          <w:sz w:val="24"/>
          <w:szCs w:val="24"/>
        </w:rPr>
        <w:t>区块二</w:t>
      </w:r>
      <w:r>
        <w:rPr>
          <w:sz w:val="24"/>
        </w:rPr>
        <w:t>南侧距离人口密缓冲带在200m-500m之内；</w:t>
      </w:r>
    </w:p>
    <w:p w14:paraId="05E49B1F">
      <w:pPr>
        <w:spacing w:line="360" w:lineRule="auto"/>
        <w:rPr>
          <w:b/>
          <w:bCs/>
          <w:sz w:val="24"/>
        </w:rPr>
      </w:pPr>
      <w:r>
        <w:rPr>
          <w:b/>
          <w:bCs/>
          <w:sz w:val="24"/>
        </w:rPr>
        <w:t>9.1.3园区基础资料概况</w:t>
      </w:r>
    </w:p>
    <w:p w14:paraId="74055AC1">
      <w:pPr>
        <w:spacing w:line="360" w:lineRule="auto"/>
        <w:ind w:firstLine="480" w:firstLineChars="200"/>
      </w:pPr>
      <w:r>
        <w:rPr>
          <w:sz w:val="24"/>
        </w:rPr>
        <w:t>9.1.3.1气象资料。</w:t>
      </w:r>
    </w:p>
    <w:p w14:paraId="607F5730">
      <w:pPr>
        <w:spacing w:line="360" w:lineRule="auto"/>
        <w:ind w:firstLine="482" w:firstLineChars="200"/>
        <w:rPr>
          <w:b/>
          <w:bCs/>
          <w:sz w:val="24"/>
        </w:rPr>
      </w:pPr>
      <w:r>
        <w:rPr>
          <w:b/>
          <w:bCs/>
          <w:sz w:val="24"/>
        </w:rPr>
        <w:t>具体见第4.1章节。</w:t>
      </w:r>
    </w:p>
    <w:p w14:paraId="669E3394">
      <w:pPr>
        <w:spacing w:line="360" w:lineRule="auto"/>
        <w:ind w:firstLine="540" w:firstLineChars="225"/>
        <w:rPr>
          <w:sz w:val="24"/>
        </w:rPr>
      </w:pPr>
      <w:r>
        <w:rPr>
          <w:sz w:val="24"/>
        </w:rPr>
        <w:t>9.1.3.2水文资料</w:t>
      </w:r>
    </w:p>
    <w:p w14:paraId="6FE419E0">
      <w:pPr>
        <w:spacing w:line="360" w:lineRule="auto"/>
        <w:ind w:firstLine="540" w:firstLineChars="225"/>
        <w:rPr>
          <w:sz w:val="24"/>
        </w:rPr>
      </w:pPr>
      <w:bookmarkStart w:id="254" w:name="_Toc79249083"/>
      <w:r>
        <w:rPr>
          <w:sz w:val="24"/>
        </w:rPr>
        <w:t>（1）、自然地理</w:t>
      </w:r>
      <w:bookmarkEnd w:id="254"/>
    </w:p>
    <w:p w14:paraId="7F77DD68">
      <w:pPr>
        <w:spacing w:line="360" w:lineRule="auto"/>
        <w:ind w:firstLine="540" w:firstLineChars="225"/>
        <w:rPr>
          <w:sz w:val="24"/>
        </w:rPr>
      </w:pPr>
      <w:bookmarkStart w:id="255" w:name="_Toc79249084"/>
      <w:r>
        <w:rPr>
          <w:sz w:val="24"/>
        </w:rPr>
        <w:t>大通区位于舜耕山北麓， 淮河南岸，形成南高北低的倾斜地貌。地形 由丘陵、河流、低山、湖泊、河湾构成。分为丘陵和平原两大地貌。上窑 群山最高峰是朱家大山，海拔212米，海拔200米以上的还有光山、东历山、独山、大北山、洞山、魏家大山、鹰咀山、老鸽山等9座山丘。境内 多山，绵延40余里，有山头39座。地面标高在 23.5-28.9m之间。</w:t>
      </w:r>
    </w:p>
    <w:bookmarkEnd w:id="255"/>
    <w:p w14:paraId="15765227">
      <w:pPr>
        <w:spacing w:line="360" w:lineRule="auto"/>
        <w:ind w:firstLine="540" w:firstLineChars="225"/>
        <w:rPr>
          <w:sz w:val="24"/>
        </w:rPr>
      </w:pPr>
      <w:bookmarkStart w:id="256" w:name="_Toc79249086"/>
      <w:r>
        <w:rPr>
          <w:sz w:val="24"/>
        </w:rPr>
        <w:t>（2）、水文地质</w:t>
      </w:r>
      <w:bookmarkEnd w:id="256"/>
    </w:p>
    <w:p w14:paraId="62A26116">
      <w:pPr>
        <w:spacing w:line="360" w:lineRule="auto"/>
        <w:ind w:firstLine="540" w:firstLineChars="225"/>
        <w:rPr>
          <w:sz w:val="24"/>
        </w:rPr>
      </w:pPr>
      <w:bookmarkStart w:id="257" w:name="_Toc79249087"/>
      <w:r>
        <w:rPr>
          <w:sz w:val="24"/>
        </w:rPr>
        <w:t>（3）地质水文</w:t>
      </w:r>
    </w:p>
    <w:p w14:paraId="3B640197">
      <w:pPr>
        <w:spacing w:line="360" w:lineRule="auto"/>
        <w:ind w:firstLine="540" w:firstLineChars="225"/>
        <w:rPr>
          <w:sz w:val="24"/>
        </w:rPr>
      </w:pPr>
      <w:r>
        <w:rPr>
          <w:sz w:val="24"/>
        </w:rPr>
        <w:t>大通区南高北低、南部和东部是丘陵地带、两山与淮河之间是平原。上窑山石和矿产资源主要有：陶土、紫砂、老泥、粘泥、拌子、迭层石、大理石、花岗岩、石灰岩、白云石、方解石、冰川石、赤土、轻质陶粒、太湖石、石乳、铁矿石、煤炭等，储藏量极为可观。舜耕山地质年龄约为1.5亿万年，有页岩、灰岩、砂岩组成，东首为残积、坡积土壤，多为石灰土。舜耕山下石炭、三叠纪地层有丰富的煤炭赋存，由于板块活动所致， 舜耕山系形成逆掩断层，区境地层局部倒转，煤炭均为“立槽”。靠近淮河南岸的河谷湾地，属于第四纪更新世地层，其基质是近代黄泛冲积物构成，经过祖先多代耕作为潮土类土壤，耕地面积3万亩。河谷平原与丘陵 之间是凸凹不平的岗地，同属第四纪更新世地层，基层下蜀系土，为黄棕壤土。</w:t>
      </w:r>
    </w:p>
    <w:p w14:paraId="3057D977">
      <w:pPr>
        <w:spacing w:line="360" w:lineRule="auto"/>
        <w:ind w:firstLine="540" w:firstLineChars="225"/>
        <w:rPr>
          <w:sz w:val="24"/>
        </w:rPr>
      </w:pPr>
      <w:r>
        <w:rPr>
          <w:sz w:val="24"/>
        </w:rPr>
        <w:t>大通区区境有河流、湖泊、天然降水和地下水四大部分。淮河是生活 和工农业生产用水的重要来源，境内长12.2公里，河道宽65－115米， 深2.5－9.5米，也是重要的水路航道。水位最高的是1954年7月27日达到24.03米，水位最低的是1953年只有12.36米。据鲁台孜水文资料，50年代，淮河年均流量888立方米/秒。60年代为707立方米/秒。70年代为525.6立方米/秒。60年代比50年代减少20.4%，70年代又比60年代减少 25.7%，比50年代减少40.8%。年平均流量最小为111立方米/秒，多年最小月均流量104立方米/秒，多年平均枯水期流量仅为58.7立方米/秒，最大月与最小月平均流量相差22倍之多。高塘湖积水7万多亩，平均水深入2.5米，总容水量450万立方米。山泉、山涧和水库集中在上窑山内，共有31处山泉、5条山涧，2条提水坝。主要山泉有：凉泉、龙山泉、果老泉、乌龟泉、大山泉、大沙泉、老泉，汇集一条大山涧 流入窑河。此外，另有响山泉、砚天泉、雷草洼泉、乌龟泉、牛鼻泉、黄泥泉、爬海泉、石眼泉、高埂泉、蒋坝泉、官泉、黑石大泉、赵桥泉、余 家沟泉，共汇成3条山涧，流经大石棚、贡家庵、霍家桥流入窑河。还有老坝泉、烂泥泉、拦路泉、狼洞泉、罗泉、狗泉、马泉、老泉、小桥口泉、小水潭泉，汇集成外窑大涧，流入窑河。泉源水库大坝长350米，宽18米，高10米，蓄水60万立方米。花果山下拦水坝长60米，宽12米，高4米，蓄水量6万立方米。外窑大桥北拦涧拦水坝，坝长80米，宽14</w:t>
      </w:r>
      <w:bookmarkStart w:id="258" w:name="_bookmark40"/>
      <w:bookmarkEnd w:id="258"/>
      <w:r>
        <w:rPr>
          <w:sz w:val="24"/>
        </w:rPr>
        <w:t>米，高5米，蓄水量8万立方米。</w:t>
      </w:r>
    </w:p>
    <w:p w14:paraId="04B74E3F">
      <w:pPr>
        <w:spacing w:line="360" w:lineRule="auto"/>
        <w:ind w:firstLine="540" w:firstLineChars="225"/>
        <w:rPr>
          <w:sz w:val="24"/>
        </w:rPr>
      </w:pPr>
      <w:r>
        <w:rPr>
          <w:sz w:val="24"/>
        </w:rPr>
        <w:t>（4）地震</w:t>
      </w:r>
    </w:p>
    <w:p w14:paraId="02987507">
      <w:pPr>
        <w:spacing w:line="360" w:lineRule="auto"/>
        <w:ind w:firstLine="540" w:firstLineChars="225"/>
      </w:pPr>
      <w:r>
        <w:rPr>
          <w:sz w:val="24"/>
        </w:rPr>
        <w:t>根据《建筑抗震设计规范(2016版)》(GB50011-2010)和《中国地震动参数区划图》(GB18306-2015)，淮南大通区地震基本烈度为7度，设计基 本地震加速度值为0.10g。</w:t>
      </w:r>
    </w:p>
    <w:bookmarkEnd w:id="257"/>
    <w:p w14:paraId="2D31FCB4">
      <w:pPr>
        <w:spacing w:line="360" w:lineRule="auto"/>
        <w:rPr>
          <w:sz w:val="24"/>
        </w:rPr>
      </w:pPr>
      <w:r>
        <w:rPr>
          <w:sz w:val="24"/>
        </w:rPr>
        <w:t>9.1.3.3园区基础设施状况</w:t>
      </w:r>
    </w:p>
    <w:p w14:paraId="32BA8E45">
      <w:pPr>
        <w:spacing w:line="360" w:lineRule="auto"/>
        <w:ind w:firstLine="482" w:firstLineChars="200"/>
        <w:rPr>
          <w:sz w:val="24"/>
        </w:rPr>
      </w:pPr>
      <w:r>
        <w:rPr>
          <w:b/>
          <w:bCs/>
          <w:sz w:val="24"/>
        </w:rPr>
        <w:t>具体见第10章。</w:t>
      </w:r>
    </w:p>
    <w:p w14:paraId="0FC3D0B3">
      <w:pPr>
        <w:spacing w:line="360" w:lineRule="auto"/>
        <w:rPr>
          <w:sz w:val="24"/>
        </w:rPr>
      </w:pPr>
      <w:r>
        <w:rPr>
          <w:sz w:val="24"/>
        </w:rPr>
        <w:t>9.1.3.4土地利用现状</w:t>
      </w:r>
    </w:p>
    <w:p w14:paraId="4213EB44">
      <w:pPr>
        <w:spacing w:line="360" w:lineRule="auto"/>
        <w:ind w:firstLine="482" w:firstLineChars="200"/>
      </w:pPr>
      <w:r>
        <w:rPr>
          <w:b/>
          <w:bCs/>
          <w:sz w:val="24"/>
        </w:rPr>
        <w:t>具体见第5.2章节。</w:t>
      </w:r>
    </w:p>
    <w:p w14:paraId="49435BC4">
      <w:pPr>
        <w:pStyle w:val="12"/>
        <w:spacing w:beforeLines="50" w:afterLines="50" w:line="360" w:lineRule="auto"/>
        <w:ind w:firstLine="0"/>
        <w:jc w:val="left"/>
        <w:outlineLvl w:val="1"/>
        <w:rPr>
          <w:b/>
          <w:szCs w:val="28"/>
        </w:rPr>
      </w:pPr>
      <w:bookmarkStart w:id="259" w:name="_Toc31572"/>
      <w:bookmarkStart w:id="260" w:name="_Toc3990"/>
      <w:bookmarkStart w:id="261" w:name="_Toc10071"/>
      <w:bookmarkStart w:id="262" w:name="_Toc12078"/>
      <w:bookmarkStart w:id="263" w:name="_Toc4197"/>
      <w:bookmarkStart w:id="264" w:name="_Toc7865"/>
      <w:bookmarkStart w:id="265" w:name="_Toc6418"/>
      <w:r>
        <w:rPr>
          <w:b/>
          <w:szCs w:val="28"/>
        </w:rPr>
        <w:t>9.2园区“两重点一重大”辨识</w:t>
      </w:r>
      <w:bookmarkEnd w:id="259"/>
      <w:bookmarkEnd w:id="260"/>
      <w:bookmarkEnd w:id="261"/>
      <w:bookmarkEnd w:id="262"/>
      <w:bookmarkEnd w:id="263"/>
      <w:bookmarkEnd w:id="264"/>
      <w:bookmarkEnd w:id="265"/>
    </w:p>
    <w:p w14:paraId="5EAF272C">
      <w:pPr>
        <w:spacing w:line="360" w:lineRule="auto"/>
        <w:ind w:firstLine="482" w:firstLineChars="200"/>
        <w:rPr>
          <w:rFonts w:eastAsiaTheme="minorEastAsia"/>
          <w:b/>
          <w:sz w:val="24"/>
          <w:szCs w:val="24"/>
        </w:rPr>
      </w:pPr>
      <w:bookmarkStart w:id="266" w:name="_Toc4096"/>
      <w:bookmarkStart w:id="267" w:name="_Toc9233"/>
      <w:bookmarkStart w:id="268" w:name="_Toc13420"/>
      <w:bookmarkStart w:id="269" w:name="_Toc30859"/>
      <w:bookmarkStart w:id="270" w:name="_Toc32216"/>
      <w:bookmarkStart w:id="271" w:name="_Toc21626"/>
      <w:r>
        <w:rPr>
          <w:rFonts w:eastAsiaTheme="minorEastAsia"/>
          <w:b/>
          <w:sz w:val="24"/>
          <w:szCs w:val="24"/>
        </w:rPr>
        <w:t>（1）重点监管的危险化学品辨识</w:t>
      </w:r>
    </w:p>
    <w:p w14:paraId="3FFBD95C">
      <w:pPr>
        <w:widowControl/>
        <w:spacing w:line="360" w:lineRule="auto"/>
        <w:ind w:firstLine="480" w:firstLineChars="200"/>
        <w:jc w:val="left"/>
        <w:rPr>
          <w:sz w:val="24"/>
          <w:szCs w:val="24"/>
        </w:rPr>
      </w:pPr>
      <w:r>
        <w:rPr>
          <w:sz w:val="24"/>
          <w:szCs w:val="24"/>
        </w:rPr>
        <w:t>对照《国家安全监管总局首批重点监管的危险化学品安全措施和应急处置原则的通知》(安监总厅管三〔2011〕142号)《国家安全监管总局关于公布第二批重点监管危险化学品目录的通知》(安监总管三〔2013〕12号)，化工园区四至范围内已入驻的德邦化工、恒诚制药、水卫士环保科技、国瑞药业四家化工企业涉及的重点监管的危险化学品如表9.2-1。</w:t>
      </w:r>
    </w:p>
    <w:p w14:paraId="52F42A93">
      <w:pPr>
        <w:spacing w:line="360" w:lineRule="auto"/>
        <w:ind w:firstLine="464" w:firstLineChars="200"/>
        <w:rPr>
          <w:sz w:val="24"/>
          <w:szCs w:val="24"/>
        </w:rPr>
      </w:pPr>
      <w:r>
        <w:rPr>
          <w:spacing w:val="-4"/>
          <w:sz w:val="24"/>
          <w:szCs w:val="24"/>
        </w:rPr>
        <w:t>表9</w:t>
      </w:r>
      <w:r>
        <w:rPr>
          <w:rFonts w:eastAsia="Times New Roman"/>
          <w:spacing w:val="-4"/>
          <w:sz w:val="24"/>
          <w:szCs w:val="24"/>
        </w:rPr>
        <w:t>.</w:t>
      </w:r>
      <w:r>
        <w:rPr>
          <w:spacing w:val="-4"/>
          <w:sz w:val="24"/>
          <w:szCs w:val="24"/>
        </w:rPr>
        <w:t>2</w:t>
      </w:r>
      <w:r>
        <w:rPr>
          <w:rFonts w:eastAsia="Times New Roman"/>
          <w:spacing w:val="-4"/>
          <w:sz w:val="24"/>
          <w:szCs w:val="24"/>
        </w:rPr>
        <w:t>-</w:t>
      </w:r>
      <w:r>
        <w:rPr>
          <w:spacing w:val="-4"/>
          <w:sz w:val="24"/>
          <w:szCs w:val="24"/>
        </w:rPr>
        <w:t>1、</w:t>
      </w:r>
      <w:r>
        <w:rPr>
          <w:spacing w:val="-2"/>
          <w:sz w:val="24"/>
          <w:szCs w:val="24"/>
        </w:rPr>
        <w:t>化工园区重点监管的危险化学品辨识表</w:t>
      </w:r>
    </w:p>
    <w:tbl>
      <w:tblPr>
        <w:tblStyle w:val="58"/>
        <w:tblW w:w="84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8"/>
        <w:gridCol w:w="1166"/>
        <w:gridCol w:w="1406"/>
        <w:gridCol w:w="1917"/>
        <w:gridCol w:w="3263"/>
      </w:tblGrid>
      <w:tr w14:paraId="6E4C8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505D0378">
            <w:pPr>
              <w:spacing w:before="156" w:line="222" w:lineRule="auto"/>
              <w:ind w:left="146"/>
              <w:rPr>
                <w:szCs w:val="21"/>
              </w:rPr>
            </w:pPr>
            <w:r>
              <w:rPr>
                <w:spacing w:val="-3"/>
                <w:szCs w:val="21"/>
              </w:rPr>
              <w:t>序</w:t>
            </w:r>
            <w:r>
              <w:rPr>
                <w:spacing w:val="-2"/>
                <w:szCs w:val="21"/>
              </w:rPr>
              <w:t>号</w:t>
            </w:r>
          </w:p>
        </w:tc>
        <w:tc>
          <w:tcPr>
            <w:tcW w:w="1166" w:type="dxa"/>
            <w:tcBorders>
              <w:tl2br w:val="nil"/>
              <w:tr2bl w:val="nil"/>
            </w:tcBorders>
          </w:tcPr>
          <w:p w14:paraId="28CDCC3B">
            <w:pPr>
              <w:spacing w:before="157" w:line="221" w:lineRule="auto"/>
              <w:ind w:left="163"/>
              <w:rPr>
                <w:szCs w:val="21"/>
              </w:rPr>
            </w:pPr>
            <w:r>
              <w:rPr>
                <w:spacing w:val="-1"/>
                <w:szCs w:val="21"/>
              </w:rPr>
              <w:t>物质名</w:t>
            </w:r>
            <w:r>
              <w:rPr>
                <w:szCs w:val="21"/>
              </w:rPr>
              <w:t>称</w:t>
            </w:r>
          </w:p>
        </w:tc>
        <w:tc>
          <w:tcPr>
            <w:tcW w:w="1406" w:type="dxa"/>
            <w:tcBorders>
              <w:tl2br w:val="nil"/>
              <w:tr2bl w:val="nil"/>
            </w:tcBorders>
          </w:tcPr>
          <w:p w14:paraId="082D63EE">
            <w:pPr>
              <w:spacing w:before="157" w:line="234" w:lineRule="auto"/>
              <w:ind w:left="111"/>
              <w:rPr>
                <w:szCs w:val="21"/>
              </w:rPr>
            </w:pPr>
            <w:r>
              <w:rPr>
                <w:spacing w:val="8"/>
                <w:szCs w:val="21"/>
              </w:rPr>
              <w:t>最大储量(</w:t>
            </w:r>
            <w:r>
              <w:rPr>
                <w:rFonts w:eastAsia="Times New Roman"/>
                <w:b/>
                <w:bCs/>
                <w:szCs w:val="21"/>
              </w:rPr>
              <w:t>t</w:t>
            </w:r>
            <w:r>
              <w:rPr>
                <w:spacing w:val="8"/>
                <w:szCs w:val="21"/>
              </w:rPr>
              <w:t>)</w:t>
            </w:r>
          </w:p>
        </w:tc>
        <w:tc>
          <w:tcPr>
            <w:tcW w:w="1917" w:type="dxa"/>
            <w:tcBorders>
              <w:tl2br w:val="nil"/>
              <w:tr2bl w:val="nil"/>
            </w:tcBorders>
          </w:tcPr>
          <w:p w14:paraId="5BC82ACA">
            <w:pPr>
              <w:spacing w:before="156" w:line="221" w:lineRule="auto"/>
              <w:ind w:left="419"/>
              <w:rPr>
                <w:szCs w:val="21"/>
              </w:rPr>
            </w:pPr>
            <w:r>
              <w:rPr>
                <w:spacing w:val="-1"/>
                <w:szCs w:val="21"/>
              </w:rPr>
              <w:t>主要危</w:t>
            </w:r>
            <w:r>
              <w:rPr>
                <w:szCs w:val="21"/>
              </w:rPr>
              <w:t>险特性</w:t>
            </w:r>
          </w:p>
        </w:tc>
        <w:tc>
          <w:tcPr>
            <w:tcW w:w="3263" w:type="dxa"/>
            <w:tcBorders>
              <w:tl2br w:val="nil"/>
              <w:tr2bl w:val="nil"/>
            </w:tcBorders>
          </w:tcPr>
          <w:p w14:paraId="07EB3E97">
            <w:pPr>
              <w:spacing w:before="156" w:line="221" w:lineRule="auto"/>
              <w:ind w:left="967"/>
              <w:rPr>
                <w:szCs w:val="21"/>
              </w:rPr>
            </w:pPr>
            <w:r>
              <w:rPr>
                <w:spacing w:val="1"/>
                <w:szCs w:val="21"/>
              </w:rPr>
              <w:t>主要储</w:t>
            </w:r>
            <w:r>
              <w:rPr>
                <w:szCs w:val="21"/>
              </w:rPr>
              <w:t>存 (存在) 场所</w:t>
            </w:r>
          </w:p>
        </w:tc>
      </w:tr>
      <w:tr w14:paraId="6B8AE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460" w:type="dxa"/>
            <w:gridSpan w:val="5"/>
            <w:tcBorders>
              <w:tl2br w:val="nil"/>
              <w:tr2bl w:val="nil"/>
            </w:tcBorders>
          </w:tcPr>
          <w:p w14:paraId="2C75E317">
            <w:pPr>
              <w:spacing w:before="121" w:line="221" w:lineRule="auto"/>
              <w:ind w:left="4288"/>
              <w:rPr>
                <w:szCs w:val="21"/>
              </w:rPr>
            </w:pPr>
            <w:r>
              <w:rPr>
                <w:spacing w:val="-1"/>
                <w:szCs w:val="21"/>
              </w:rPr>
              <w:t>德邦化工</w:t>
            </w:r>
          </w:p>
        </w:tc>
      </w:tr>
      <w:tr w14:paraId="66F99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Borders>
              <w:tl2br w:val="nil"/>
              <w:tr2bl w:val="nil"/>
            </w:tcBorders>
          </w:tcPr>
          <w:p w14:paraId="5EEDA15E">
            <w:pPr>
              <w:spacing w:before="187" w:line="187" w:lineRule="auto"/>
              <w:ind w:left="166"/>
              <w:rPr>
                <w:rFonts w:eastAsia="Times New Roman"/>
                <w:szCs w:val="21"/>
              </w:rPr>
            </w:pPr>
            <w:r>
              <w:rPr>
                <w:rFonts w:eastAsia="Times New Roman"/>
                <w:szCs w:val="21"/>
              </w:rPr>
              <w:t>1</w:t>
            </w:r>
          </w:p>
        </w:tc>
        <w:tc>
          <w:tcPr>
            <w:tcW w:w="1166" w:type="dxa"/>
            <w:tcBorders>
              <w:tl2br w:val="nil"/>
              <w:tr2bl w:val="nil"/>
            </w:tcBorders>
          </w:tcPr>
          <w:p w14:paraId="50ADC9DC">
            <w:pPr>
              <w:spacing w:before="153" w:line="221" w:lineRule="auto"/>
              <w:ind w:left="402"/>
              <w:rPr>
                <w:szCs w:val="21"/>
              </w:rPr>
            </w:pPr>
            <w:r>
              <w:rPr>
                <w:spacing w:val="-9"/>
                <w:szCs w:val="21"/>
              </w:rPr>
              <w:t>甲</w:t>
            </w:r>
            <w:r>
              <w:rPr>
                <w:spacing w:val="-8"/>
                <w:szCs w:val="21"/>
              </w:rPr>
              <w:t>醇</w:t>
            </w:r>
          </w:p>
        </w:tc>
        <w:tc>
          <w:tcPr>
            <w:tcW w:w="1406" w:type="dxa"/>
            <w:tcBorders>
              <w:tl2br w:val="nil"/>
              <w:tr2bl w:val="nil"/>
            </w:tcBorders>
          </w:tcPr>
          <w:p w14:paraId="33D4C0D7">
            <w:pPr>
              <w:spacing w:before="187" w:line="187" w:lineRule="auto"/>
              <w:ind w:left="549"/>
              <w:rPr>
                <w:rFonts w:eastAsia="Times New Roman"/>
                <w:szCs w:val="21"/>
              </w:rPr>
            </w:pPr>
            <w:r>
              <w:rPr>
                <w:rFonts w:eastAsia="Times New Roman"/>
                <w:spacing w:val="-2"/>
                <w:szCs w:val="21"/>
              </w:rPr>
              <w:t>66</w:t>
            </w:r>
            <w:r>
              <w:rPr>
                <w:rFonts w:eastAsia="Times New Roman"/>
                <w:spacing w:val="-1"/>
                <w:szCs w:val="21"/>
              </w:rPr>
              <w:t>6</w:t>
            </w:r>
          </w:p>
        </w:tc>
        <w:tc>
          <w:tcPr>
            <w:tcW w:w="1917" w:type="dxa"/>
            <w:tcBorders>
              <w:tl2br w:val="nil"/>
              <w:tr2bl w:val="nil"/>
            </w:tcBorders>
          </w:tcPr>
          <w:p w14:paraId="68EE66C5">
            <w:pPr>
              <w:spacing w:before="153" w:line="219" w:lineRule="auto"/>
              <w:rPr>
                <w:szCs w:val="21"/>
              </w:rPr>
            </w:pPr>
            <w:r>
              <w:rPr>
                <w:spacing w:val="-4"/>
                <w:szCs w:val="21"/>
              </w:rPr>
              <w:t>易燃</w:t>
            </w:r>
            <w:r>
              <w:rPr>
                <w:spacing w:val="-2"/>
                <w:szCs w:val="21"/>
              </w:rPr>
              <w:t>、易爆、有毒</w:t>
            </w:r>
          </w:p>
        </w:tc>
        <w:tc>
          <w:tcPr>
            <w:tcW w:w="3263" w:type="dxa"/>
            <w:tcBorders>
              <w:tl2br w:val="nil"/>
              <w:tr2bl w:val="nil"/>
            </w:tcBorders>
          </w:tcPr>
          <w:p w14:paraId="38D53855">
            <w:pPr>
              <w:spacing w:before="159" w:line="279" w:lineRule="exact"/>
              <w:rPr>
                <w:szCs w:val="21"/>
              </w:rPr>
            </w:pPr>
            <w:r>
              <w:rPr>
                <w:rFonts w:eastAsia="Times New Roman"/>
                <w:spacing w:val="-4"/>
                <w:position w:val="1"/>
                <w:szCs w:val="21"/>
              </w:rPr>
              <w:t>2</w:t>
            </w:r>
            <w:r>
              <w:rPr>
                <w:spacing w:val="-4"/>
                <w:position w:val="1"/>
                <w:szCs w:val="21"/>
              </w:rPr>
              <w:t>台</w:t>
            </w:r>
            <w:r>
              <w:rPr>
                <w:rFonts w:eastAsia="Times New Roman"/>
                <w:spacing w:val="-4"/>
                <w:position w:val="1"/>
                <w:szCs w:val="21"/>
              </w:rPr>
              <w:t>30</w:t>
            </w:r>
            <w:r>
              <w:rPr>
                <w:rFonts w:eastAsia="Times New Roman"/>
                <w:spacing w:val="-3"/>
                <w:position w:val="1"/>
                <w:szCs w:val="21"/>
              </w:rPr>
              <w:t>0</w:t>
            </w:r>
            <w:r>
              <w:rPr>
                <w:rFonts w:eastAsia="Times New Roman"/>
                <w:spacing w:val="-2"/>
                <w:position w:val="1"/>
                <w:szCs w:val="21"/>
              </w:rPr>
              <w:t>m</w:t>
            </w:r>
            <w:r>
              <w:rPr>
                <w:rFonts w:eastAsia="Times New Roman"/>
                <w:spacing w:val="-2"/>
                <w:position w:val="10"/>
                <w:sz w:val="13"/>
                <w:szCs w:val="13"/>
              </w:rPr>
              <w:t xml:space="preserve">3 </w:t>
            </w:r>
            <w:r>
              <w:rPr>
                <w:spacing w:val="-2"/>
                <w:position w:val="1"/>
                <w:szCs w:val="21"/>
              </w:rPr>
              <w:t>固定顶甲醇储罐</w:t>
            </w:r>
          </w:p>
        </w:tc>
      </w:tr>
      <w:tr w14:paraId="2C687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Borders>
              <w:tl2br w:val="nil"/>
              <w:tr2bl w:val="nil"/>
            </w:tcBorders>
          </w:tcPr>
          <w:p w14:paraId="4A5D1E47">
            <w:pPr>
              <w:spacing w:before="187" w:line="187" w:lineRule="auto"/>
              <w:ind w:left="145"/>
              <w:rPr>
                <w:rFonts w:eastAsia="Times New Roman"/>
                <w:szCs w:val="21"/>
              </w:rPr>
            </w:pPr>
            <w:r>
              <w:rPr>
                <w:rFonts w:eastAsia="Times New Roman"/>
                <w:szCs w:val="21"/>
              </w:rPr>
              <w:t>2</w:t>
            </w:r>
          </w:p>
        </w:tc>
        <w:tc>
          <w:tcPr>
            <w:tcW w:w="1166" w:type="dxa"/>
            <w:tcBorders>
              <w:tl2br w:val="nil"/>
              <w:tr2bl w:val="nil"/>
            </w:tcBorders>
          </w:tcPr>
          <w:p w14:paraId="15EF2E89">
            <w:pPr>
              <w:spacing w:before="151" w:line="219" w:lineRule="auto"/>
              <w:ind w:left="375"/>
              <w:rPr>
                <w:szCs w:val="21"/>
              </w:rPr>
            </w:pPr>
            <w:r>
              <w:rPr>
                <w:spacing w:val="-2"/>
                <w:szCs w:val="21"/>
              </w:rPr>
              <w:t>氢</w:t>
            </w:r>
            <w:r>
              <w:rPr>
                <w:spacing w:val="-1"/>
                <w:szCs w:val="21"/>
              </w:rPr>
              <w:t>气</w:t>
            </w:r>
          </w:p>
        </w:tc>
        <w:tc>
          <w:tcPr>
            <w:tcW w:w="1406" w:type="dxa"/>
            <w:tcBorders>
              <w:tl2br w:val="nil"/>
              <w:tr2bl w:val="nil"/>
            </w:tcBorders>
          </w:tcPr>
          <w:p w14:paraId="233EC51A">
            <w:pPr>
              <w:spacing w:before="187" w:line="187" w:lineRule="auto"/>
              <w:ind w:left="469"/>
              <w:rPr>
                <w:rFonts w:eastAsia="Times New Roman"/>
                <w:szCs w:val="21"/>
              </w:rPr>
            </w:pPr>
            <w:r>
              <w:rPr>
                <w:rFonts w:eastAsia="Times New Roman"/>
                <w:spacing w:val="-1"/>
                <w:szCs w:val="21"/>
              </w:rPr>
              <w:t>0.00</w:t>
            </w:r>
            <w:r>
              <w:rPr>
                <w:rFonts w:eastAsia="Times New Roman"/>
                <w:szCs w:val="21"/>
              </w:rPr>
              <w:t>6</w:t>
            </w:r>
          </w:p>
        </w:tc>
        <w:tc>
          <w:tcPr>
            <w:tcW w:w="1917" w:type="dxa"/>
            <w:tcBorders>
              <w:tl2br w:val="nil"/>
              <w:tr2bl w:val="nil"/>
            </w:tcBorders>
          </w:tcPr>
          <w:p w14:paraId="261F1653">
            <w:pPr>
              <w:spacing w:before="151" w:line="219" w:lineRule="auto"/>
              <w:rPr>
                <w:szCs w:val="21"/>
              </w:rPr>
            </w:pPr>
            <w:r>
              <w:rPr>
                <w:spacing w:val="-6"/>
                <w:szCs w:val="21"/>
              </w:rPr>
              <w:t>易</w:t>
            </w:r>
            <w:r>
              <w:rPr>
                <w:spacing w:val="-4"/>
                <w:szCs w:val="21"/>
              </w:rPr>
              <w:t>燃</w:t>
            </w:r>
            <w:r>
              <w:rPr>
                <w:spacing w:val="-3"/>
                <w:szCs w:val="21"/>
              </w:rPr>
              <w:t>、易爆</w:t>
            </w:r>
          </w:p>
        </w:tc>
        <w:tc>
          <w:tcPr>
            <w:tcW w:w="3263" w:type="dxa"/>
            <w:tcBorders>
              <w:tl2br w:val="nil"/>
              <w:tr2bl w:val="nil"/>
            </w:tcBorders>
          </w:tcPr>
          <w:p w14:paraId="2654D34C">
            <w:pPr>
              <w:spacing w:before="172" w:line="219" w:lineRule="auto"/>
              <w:rPr>
                <w:szCs w:val="21"/>
              </w:rPr>
            </w:pPr>
            <w:r>
              <w:rPr>
                <w:spacing w:val="-1"/>
                <w:szCs w:val="21"/>
              </w:rPr>
              <w:t>膜提氢装</w:t>
            </w:r>
            <w:r>
              <w:rPr>
                <w:szCs w:val="21"/>
              </w:rPr>
              <w:t>置</w:t>
            </w:r>
          </w:p>
        </w:tc>
      </w:tr>
      <w:tr w14:paraId="61FCF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jc w:val="center"/>
        </w:trPr>
        <w:tc>
          <w:tcPr>
            <w:tcW w:w="708" w:type="dxa"/>
            <w:tcBorders>
              <w:tl2br w:val="nil"/>
              <w:tr2bl w:val="nil"/>
            </w:tcBorders>
          </w:tcPr>
          <w:p w14:paraId="441B7176">
            <w:pPr>
              <w:spacing w:line="259" w:lineRule="auto"/>
            </w:pPr>
          </w:p>
          <w:p w14:paraId="6FA328A8">
            <w:pPr>
              <w:spacing w:before="60" w:line="187" w:lineRule="auto"/>
              <w:ind w:left="150"/>
              <w:rPr>
                <w:rFonts w:eastAsia="Times New Roman"/>
                <w:szCs w:val="21"/>
              </w:rPr>
            </w:pPr>
            <w:r>
              <w:rPr>
                <w:rFonts w:eastAsia="Times New Roman"/>
                <w:szCs w:val="21"/>
              </w:rPr>
              <w:t>3</w:t>
            </w:r>
          </w:p>
        </w:tc>
        <w:tc>
          <w:tcPr>
            <w:tcW w:w="1166" w:type="dxa"/>
            <w:tcBorders>
              <w:tl2br w:val="nil"/>
              <w:tr2bl w:val="nil"/>
            </w:tcBorders>
          </w:tcPr>
          <w:p w14:paraId="2EF468F0">
            <w:pPr>
              <w:spacing w:before="288" w:line="218" w:lineRule="auto"/>
              <w:ind w:left="480"/>
              <w:rPr>
                <w:szCs w:val="21"/>
              </w:rPr>
            </w:pPr>
            <w:r>
              <w:rPr>
                <w:szCs w:val="21"/>
              </w:rPr>
              <w:t>氨</w:t>
            </w:r>
          </w:p>
        </w:tc>
        <w:tc>
          <w:tcPr>
            <w:tcW w:w="1406" w:type="dxa"/>
            <w:tcBorders>
              <w:tl2br w:val="nil"/>
              <w:tr2bl w:val="nil"/>
            </w:tcBorders>
          </w:tcPr>
          <w:p w14:paraId="39B7ADC5">
            <w:pPr>
              <w:spacing w:line="259" w:lineRule="auto"/>
            </w:pPr>
          </w:p>
          <w:p w14:paraId="52B4127D">
            <w:pPr>
              <w:spacing w:before="60" w:line="187" w:lineRule="auto"/>
              <w:ind w:left="524"/>
              <w:rPr>
                <w:rFonts w:eastAsia="Times New Roman"/>
                <w:szCs w:val="21"/>
              </w:rPr>
            </w:pPr>
            <w:r>
              <w:rPr>
                <w:rFonts w:eastAsia="Times New Roman"/>
                <w:spacing w:val="-2"/>
                <w:szCs w:val="21"/>
              </w:rPr>
              <w:t>59</w:t>
            </w:r>
            <w:r>
              <w:rPr>
                <w:rFonts w:eastAsia="Times New Roman"/>
                <w:spacing w:val="-1"/>
                <w:szCs w:val="21"/>
              </w:rPr>
              <w:t>.2</w:t>
            </w:r>
          </w:p>
        </w:tc>
        <w:tc>
          <w:tcPr>
            <w:tcW w:w="1917" w:type="dxa"/>
            <w:tcBorders>
              <w:tl2br w:val="nil"/>
              <w:tr2bl w:val="nil"/>
            </w:tcBorders>
          </w:tcPr>
          <w:p w14:paraId="385A23FA">
            <w:pPr>
              <w:spacing w:before="287" w:line="219" w:lineRule="auto"/>
              <w:rPr>
                <w:szCs w:val="21"/>
              </w:rPr>
            </w:pPr>
            <w:r>
              <w:rPr>
                <w:spacing w:val="-4"/>
                <w:szCs w:val="21"/>
              </w:rPr>
              <w:t>易燃</w:t>
            </w:r>
            <w:r>
              <w:rPr>
                <w:spacing w:val="-2"/>
                <w:szCs w:val="21"/>
              </w:rPr>
              <w:t>、易爆、有毒</w:t>
            </w:r>
          </w:p>
        </w:tc>
        <w:tc>
          <w:tcPr>
            <w:tcW w:w="3263" w:type="dxa"/>
            <w:tcBorders>
              <w:tl2br w:val="nil"/>
              <w:tr2bl w:val="nil"/>
            </w:tcBorders>
          </w:tcPr>
          <w:p w14:paraId="5E78E2F4">
            <w:pPr>
              <w:spacing w:before="17" w:line="229" w:lineRule="auto"/>
              <w:rPr>
                <w:szCs w:val="21"/>
              </w:rPr>
            </w:pPr>
            <w:r>
              <w:rPr>
                <w:rFonts w:eastAsia="Times New Roman"/>
                <w:spacing w:val="-4"/>
                <w:szCs w:val="21"/>
              </w:rPr>
              <w:t>4</w:t>
            </w:r>
            <w:r>
              <w:rPr>
                <w:spacing w:val="-4"/>
                <w:szCs w:val="21"/>
              </w:rPr>
              <w:t>台</w:t>
            </w:r>
            <w:r>
              <w:rPr>
                <w:rFonts w:eastAsia="Times New Roman"/>
                <w:spacing w:val="-4"/>
                <w:szCs w:val="21"/>
              </w:rPr>
              <w:t>16</w:t>
            </w:r>
            <w:r>
              <w:rPr>
                <w:rFonts w:eastAsia="Times New Roman"/>
                <w:spacing w:val="-2"/>
                <w:szCs w:val="21"/>
              </w:rPr>
              <w:t>m</w:t>
            </w:r>
            <w:r>
              <w:rPr>
                <w:rFonts w:eastAsia="Times New Roman"/>
                <w:spacing w:val="-3"/>
                <w:position w:val="9"/>
                <w:sz w:val="13"/>
                <w:szCs w:val="13"/>
              </w:rPr>
              <w:t>3</w:t>
            </w:r>
            <w:r>
              <w:rPr>
                <w:spacing w:val="-2"/>
                <w:szCs w:val="21"/>
              </w:rPr>
              <w:t>全压式液氨储罐</w:t>
            </w:r>
          </w:p>
        </w:tc>
      </w:tr>
      <w:tr w14:paraId="4547D1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jc w:val="center"/>
        </w:trPr>
        <w:tc>
          <w:tcPr>
            <w:tcW w:w="8460" w:type="dxa"/>
            <w:gridSpan w:val="5"/>
            <w:tcBorders>
              <w:tl2br w:val="nil"/>
              <w:tr2bl w:val="nil"/>
            </w:tcBorders>
          </w:tcPr>
          <w:p w14:paraId="773E9571">
            <w:pPr>
              <w:spacing w:before="123" w:line="221" w:lineRule="auto"/>
              <w:ind w:left="4308"/>
              <w:rPr>
                <w:szCs w:val="21"/>
              </w:rPr>
            </w:pPr>
            <w:r>
              <w:rPr>
                <w:spacing w:val="-7"/>
                <w:szCs w:val="21"/>
              </w:rPr>
              <w:t>国</w:t>
            </w:r>
            <w:r>
              <w:rPr>
                <w:spacing w:val="-4"/>
                <w:szCs w:val="21"/>
              </w:rPr>
              <w:t>瑞药业</w:t>
            </w:r>
          </w:p>
        </w:tc>
      </w:tr>
      <w:tr w14:paraId="35C7C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jc w:val="center"/>
        </w:trPr>
        <w:tc>
          <w:tcPr>
            <w:tcW w:w="708" w:type="dxa"/>
            <w:tcBorders>
              <w:tl2br w:val="nil"/>
              <w:tr2bl w:val="nil"/>
            </w:tcBorders>
          </w:tcPr>
          <w:p w14:paraId="6C73BFEC">
            <w:pPr>
              <w:spacing w:before="185" w:line="187" w:lineRule="auto"/>
              <w:ind w:left="144"/>
              <w:rPr>
                <w:rFonts w:eastAsia="Times New Roman"/>
                <w:szCs w:val="21"/>
              </w:rPr>
            </w:pPr>
            <w:r>
              <w:rPr>
                <w:rFonts w:eastAsia="Times New Roman"/>
                <w:szCs w:val="21"/>
              </w:rPr>
              <w:t>4</w:t>
            </w:r>
          </w:p>
        </w:tc>
        <w:tc>
          <w:tcPr>
            <w:tcW w:w="1166" w:type="dxa"/>
            <w:tcBorders>
              <w:tl2br w:val="nil"/>
              <w:tr2bl w:val="nil"/>
            </w:tcBorders>
          </w:tcPr>
          <w:p w14:paraId="3C216C30">
            <w:pPr>
              <w:spacing w:before="151" w:line="221" w:lineRule="auto"/>
              <w:ind w:left="166"/>
              <w:rPr>
                <w:szCs w:val="21"/>
              </w:rPr>
            </w:pPr>
            <w:r>
              <w:rPr>
                <w:spacing w:val="-2"/>
                <w:szCs w:val="21"/>
              </w:rPr>
              <w:t>三</w:t>
            </w:r>
            <w:r>
              <w:rPr>
                <w:spacing w:val="-1"/>
                <w:szCs w:val="21"/>
              </w:rPr>
              <w:t>氯甲烷</w:t>
            </w:r>
          </w:p>
        </w:tc>
        <w:tc>
          <w:tcPr>
            <w:tcW w:w="1406" w:type="dxa"/>
            <w:tcBorders>
              <w:tl2br w:val="nil"/>
              <w:tr2bl w:val="nil"/>
            </w:tcBorders>
          </w:tcPr>
          <w:p w14:paraId="4D697FE4">
            <w:pPr>
              <w:spacing w:before="185" w:line="187" w:lineRule="auto"/>
              <w:ind w:left="415"/>
              <w:rPr>
                <w:rFonts w:eastAsia="Times New Roman"/>
                <w:szCs w:val="21"/>
              </w:rPr>
            </w:pPr>
            <w:r>
              <w:rPr>
                <w:rFonts w:eastAsia="Times New Roman"/>
                <w:spacing w:val="-1"/>
                <w:szCs w:val="21"/>
              </w:rPr>
              <w:t>0.00</w:t>
            </w:r>
            <w:r>
              <w:rPr>
                <w:rFonts w:eastAsia="Times New Roman"/>
                <w:szCs w:val="21"/>
              </w:rPr>
              <w:t>45</w:t>
            </w:r>
          </w:p>
        </w:tc>
        <w:tc>
          <w:tcPr>
            <w:tcW w:w="1917" w:type="dxa"/>
            <w:tcBorders>
              <w:tl2br w:val="nil"/>
              <w:tr2bl w:val="nil"/>
            </w:tcBorders>
          </w:tcPr>
          <w:p w14:paraId="769D4A7A">
            <w:pPr>
              <w:spacing w:before="151" w:line="221" w:lineRule="auto"/>
              <w:ind w:left="840"/>
              <w:rPr>
                <w:szCs w:val="21"/>
              </w:rPr>
            </w:pPr>
            <w:r>
              <w:rPr>
                <w:spacing w:val="-2"/>
                <w:szCs w:val="21"/>
              </w:rPr>
              <w:t>有毒</w:t>
            </w:r>
          </w:p>
        </w:tc>
        <w:tc>
          <w:tcPr>
            <w:tcW w:w="3263" w:type="dxa"/>
            <w:tcBorders>
              <w:tl2br w:val="nil"/>
              <w:tr2bl w:val="nil"/>
            </w:tcBorders>
          </w:tcPr>
          <w:p w14:paraId="171F26AB">
            <w:pPr>
              <w:spacing w:before="172"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6EC3E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708" w:type="dxa"/>
            <w:tcBorders>
              <w:tl2br w:val="nil"/>
              <w:tr2bl w:val="nil"/>
            </w:tcBorders>
          </w:tcPr>
          <w:p w14:paraId="3DD79F66">
            <w:pPr>
              <w:spacing w:before="189" w:line="184" w:lineRule="auto"/>
              <w:ind w:left="151"/>
              <w:rPr>
                <w:rFonts w:eastAsia="Times New Roman"/>
                <w:szCs w:val="21"/>
              </w:rPr>
            </w:pPr>
            <w:r>
              <w:rPr>
                <w:rFonts w:eastAsia="Times New Roman"/>
                <w:szCs w:val="21"/>
              </w:rPr>
              <w:t>5</w:t>
            </w:r>
          </w:p>
        </w:tc>
        <w:tc>
          <w:tcPr>
            <w:tcW w:w="1166" w:type="dxa"/>
            <w:tcBorders>
              <w:tl2br w:val="nil"/>
              <w:tr2bl w:val="nil"/>
            </w:tcBorders>
          </w:tcPr>
          <w:p w14:paraId="6FFA28B0">
            <w:pPr>
              <w:spacing w:before="152" w:line="221" w:lineRule="auto"/>
              <w:ind w:left="166"/>
              <w:rPr>
                <w:szCs w:val="21"/>
              </w:rPr>
            </w:pPr>
            <w:r>
              <w:rPr>
                <w:spacing w:val="-2"/>
                <w:szCs w:val="21"/>
              </w:rPr>
              <w:t>三</w:t>
            </w:r>
            <w:r>
              <w:rPr>
                <w:spacing w:val="-1"/>
                <w:szCs w:val="21"/>
              </w:rPr>
              <w:t>氯化磷</w:t>
            </w:r>
          </w:p>
        </w:tc>
        <w:tc>
          <w:tcPr>
            <w:tcW w:w="1406" w:type="dxa"/>
            <w:tcBorders>
              <w:tl2br w:val="nil"/>
              <w:tr2bl w:val="nil"/>
            </w:tcBorders>
          </w:tcPr>
          <w:p w14:paraId="65CB63A5">
            <w:pPr>
              <w:spacing w:before="186" w:line="187" w:lineRule="auto"/>
              <w:ind w:left="362"/>
              <w:rPr>
                <w:rFonts w:eastAsia="Times New Roman"/>
                <w:szCs w:val="21"/>
              </w:rPr>
            </w:pPr>
            <w:r>
              <w:rPr>
                <w:rFonts w:eastAsia="Times New Roman"/>
                <w:spacing w:val="-1"/>
                <w:szCs w:val="21"/>
              </w:rPr>
              <w:t>0.001</w:t>
            </w:r>
            <w:r>
              <w:rPr>
                <w:rFonts w:eastAsia="Times New Roman"/>
                <w:szCs w:val="21"/>
              </w:rPr>
              <w:t>57</w:t>
            </w:r>
          </w:p>
        </w:tc>
        <w:tc>
          <w:tcPr>
            <w:tcW w:w="1917" w:type="dxa"/>
            <w:tcBorders>
              <w:tl2br w:val="nil"/>
              <w:tr2bl w:val="nil"/>
            </w:tcBorders>
          </w:tcPr>
          <w:p w14:paraId="0AF98696">
            <w:pPr>
              <w:spacing w:before="152" w:line="221" w:lineRule="auto"/>
              <w:ind w:left="840"/>
              <w:rPr>
                <w:szCs w:val="21"/>
              </w:rPr>
            </w:pPr>
            <w:r>
              <w:rPr>
                <w:spacing w:val="-2"/>
                <w:szCs w:val="21"/>
              </w:rPr>
              <w:t>剧毒</w:t>
            </w:r>
          </w:p>
        </w:tc>
        <w:tc>
          <w:tcPr>
            <w:tcW w:w="3263" w:type="dxa"/>
            <w:tcBorders>
              <w:tl2br w:val="nil"/>
              <w:tr2bl w:val="nil"/>
            </w:tcBorders>
          </w:tcPr>
          <w:p w14:paraId="2394ADA1">
            <w:pPr>
              <w:spacing w:before="171"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剧毒库</w:t>
            </w:r>
          </w:p>
        </w:tc>
      </w:tr>
      <w:tr w14:paraId="740F0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Borders>
              <w:tl2br w:val="nil"/>
              <w:tr2bl w:val="nil"/>
            </w:tcBorders>
          </w:tcPr>
          <w:p w14:paraId="382F91BA">
            <w:pPr>
              <w:spacing w:before="189" w:line="187" w:lineRule="auto"/>
              <w:ind w:left="150"/>
              <w:rPr>
                <w:rFonts w:eastAsia="Times New Roman"/>
                <w:szCs w:val="21"/>
              </w:rPr>
            </w:pPr>
            <w:r>
              <w:rPr>
                <w:rFonts w:eastAsia="Times New Roman"/>
                <w:szCs w:val="21"/>
              </w:rPr>
              <w:t>6</w:t>
            </w:r>
          </w:p>
        </w:tc>
        <w:tc>
          <w:tcPr>
            <w:tcW w:w="1166" w:type="dxa"/>
            <w:tcBorders>
              <w:tl2br w:val="nil"/>
              <w:tr2bl w:val="nil"/>
            </w:tcBorders>
          </w:tcPr>
          <w:p w14:paraId="3B9ED1A7">
            <w:pPr>
              <w:spacing w:before="153" w:line="225" w:lineRule="auto"/>
              <w:ind w:left="392"/>
              <w:rPr>
                <w:szCs w:val="21"/>
              </w:rPr>
            </w:pPr>
            <w:r>
              <w:rPr>
                <w:spacing w:val="-7"/>
                <w:szCs w:val="21"/>
              </w:rPr>
              <w:t>乙</w:t>
            </w:r>
            <w:r>
              <w:rPr>
                <w:spacing w:val="-5"/>
                <w:szCs w:val="21"/>
              </w:rPr>
              <w:t>醚</w:t>
            </w:r>
          </w:p>
        </w:tc>
        <w:tc>
          <w:tcPr>
            <w:tcW w:w="1406" w:type="dxa"/>
            <w:tcBorders>
              <w:tl2br w:val="nil"/>
              <w:tr2bl w:val="nil"/>
            </w:tcBorders>
          </w:tcPr>
          <w:p w14:paraId="3B65C432">
            <w:pPr>
              <w:spacing w:before="189" w:line="187" w:lineRule="auto"/>
              <w:ind w:left="415"/>
              <w:rPr>
                <w:rFonts w:eastAsia="Times New Roman"/>
                <w:szCs w:val="21"/>
              </w:rPr>
            </w:pPr>
            <w:r>
              <w:rPr>
                <w:rFonts w:eastAsia="Times New Roman"/>
                <w:spacing w:val="-1"/>
                <w:szCs w:val="21"/>
              </w:rPr>
              <w:t>0.01</w:t>
            </w:r>
            <w:r>
              <w:rPr>
                <w:rFonts w:eastAsia="Times New Roman"/>
                <w:szCs w:val="21"/>
              </w:rPr>
              <w:t>65</w:t>
            </w:r>
          </w:p>
        </w:tc>
        <w:tc>
          <w:tcPr>
            <w:tcW w:w="1917" w:type="dxa"/>
            <w:tcBorders>
              <w:tl2br w:val="nil"/>
              <w:tr2bl w:val="nil"/>
            </w:tcBorders>
          </w:tcPr>
          <w:p w14:paraId="325B72A8">
            <w:pPr>
              <w:spacing w:before="153" w:line="219" w:lineRule="auto"/>
              <w:ind w:left="224"/>
              <w:rPr>
                <w:szCs w:val="21"/>
              </w:rPr>
            </w:pPr>
            <w:r>
              <w:rPr>
                <w:spacing w:val="-4"/>
                <w:szCs w:val="21"/>
              </w:rPr>
              <w:t>易燃</w:t>
            </w:r>
            <w:r>
              <w:rPr>
                <w:spacing w:val="-2"/>
                <w:szCs w:val="21"/>
              </w:rPr>
              <w:t>、易爆、有毒</w:t>
            </w:r>
          </w:p>
        </w:tc>
        <w:tc>
          <w:tcPr>
            <w:tcW w:w="3263" w:type="dxa"/>
            <w:tcBorders>
              <w:tl2br w:val="nil"/>
              <w:tr2bl w:val="nil"/>
            </w:tcBorders>
          </w:tcPr>
          <w:p w14:paraId="4DAB5EDD">
            <w:pPr>
              <w:spacing w:before="174" w:line="221" w:lineRule="auto"/>
              <w:rPr>
                <w:szCs w:val="21"/>
              </w:rPr>
            </w:pPr>
            <w:r>
              <w:rPr>
                <w:rFonts w:eastAsia="Times New Roman"/>
                <w:spacing w:val="-1"/>
                <w:szCs w:val="21"/>
              </w:rPr>
              <w:t>500</w:t>
            </w:r>
            <w:r>
              <w:rPr>
                <w:rFonts w:eastAsia="Times New Roman"/>
                <w:szCs w:val="21"/>
              </w:rPr>
              <w:t>mL</w:t>
            </w:r>
            <w:r>
              <w:rPr>
                <w:spacing w:val="-1"/>
                <w:szCs w:val="21"/>
              </w:rPr>
              <w:t>瓶装，</w:t>
            </w:r>
            <w:r>
              <w:rPr>
                <w:szCs w:val="21"/>
              </w:rPr>
              <w:t>易制毒库</w:t>
            </w:r>
          </w:p>
        </w:tc>
      </w:tr>
      <w:tr w14:paraId="06F9CA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9" w:hRule="atLeast"/>
          <w:jc w:val="center"/>
        </w:trPr>
        <w:tc>
          <w:tcPr>
            <w:tcW w:w="708" w:type="dxa"/>
            <w:tcBorders>
              <w:tl2br w:val="nil"/>
              <w:tr2bl w:val="nil"/>
            </w:tcBorders>
          </w:tcPr>
          <w:p w14:paraId="749FDD71">
            <w:pPr>
              <w:spacing w:before="190" w:line="184" w:lineRule="auto"/>
              <w:ind w:left="149"/>
              <w:rPr>
                <w:rFonts w:eastAsia="Times New Roman"/>
                <w:szCs w:val="21"/>
              </w:rPr>
            </w:pPr>
            <w:r>
              <w:rPr>
                <w:rFonts w:eastAsia="Times New Roman"/>
                <w:szCs w:val="21"/>
              </w:rPr>
              <w:t>7</w:t>
            </w:r>
          </w:p>
        </w:tc>
        <w:tc>
          <w:tcPr>
            <w:tcW w:w="1166" w:type="dxa"/>
            <w:tcBorders>
              <w:tl2br w:val="nil"/>
              <w:tr2bl w:val="nil"/>
            </w:tcBorders>
          </w:tcPr>
          <w:p w14:paraId="41242196">
            <w:pPr>
              <w:spacing w:before="154" w:line="221" w:lineRule="auto"/>
              <w:ind w:left="402"/>
              <w:rPr>
                <w:szCs w:val="21"/>
              </w:rPr>
            </w:pPr>
            <w:r>
              <w:rPr>
                <w:spacing w:val="-9"/>
                <w:szCs w:val="21"/>
              </w:rPr>
              <w:t>甲</w:t>
            </w:r>
            <w:r>
              <w:rPr>
                <w:spacing w:val="-8"/>
                <w:szCs w:val="21"/>
              </w:rPr>
              <w:t>醇</w:t>
            </w:r>
          </w:p>
        </w:tc>
        <w:tc>
          <w:tcPr>
            <w:tcW w:w="1406" w:type="dxa"/>
            <w:tcBorders>
              <w:tl2br w:val="nil"/>
              <w:tr2bl w:val="nil"/>
            </w:tcBorders>
          </w:tcPr>
          <w:p w14:paraId="75EFBA67">
            <w:pPr>
              <w:spacing w:before="187" w:line="187" w:lineRule="auto"/>
              <w:ind w:left="469"/>
              <w:rPr>
                <w:rFonts w:eastAsia="Times New Roman"/>
                <w:szCs w:val="21"/>
              </w:rPr>
            </w:pPr>
            <w:r>
              <w:rPr>
                <w:rFonts w:eastAsia="Times New Roman"/>
                <w:spacing w:val="-1"/>
                <w:szCs w:val="21"/>
              </w:rPr>
              <w:t>0.02</w:t>
            </w:r>
            <w:r>
              <w:rPr>
                <w:rFonts w:eastAsia="Times New Roman"/>
                <w:szCs w:val="21"/>
              </w:rPr>
              <w:t>5</w:t>
            </w:r>
          </w:p>
        </w:tc>
        <w:tc>
          <w:tcPr>
            <w:tcW w:w="1917" w:type="dxa"/>
            <w:tcBorders>
              <w:tl2br w:val="nil"/>
              <w:tr2bl w:val="nil"/>
            </w:tcBorders>
          </w:tcPr>
          <w:p w14:paraId="614ABBB1">
            <w:pPr>
              <w:spacing w:before="154" w:line="219" w:lineRule="auto"/>
              <w:ind w:left="224"/>
              <w:rPr>
                <w:szCs w:val="21"/>
              </w:rPr>
            </w:pPr>
            <w:r>
              <w:rPr>
                <w:spacing w:val="-4"/>
                <w:szCs w:val="21"/>
              </w:rPr>
              <w:t>易燃</w:t>
            </w:r>
            <w:r>
              <w:rPr>
                <w:spacing w:val="-2"/>
                <w:szCs w:val="21"/>
              </w:rPr>
              <w:t>、易爆、有毒</w:t>
            </w:r>
          </w:p>
        </w:tc>
        <w:tc>
          <w:tcPr>
            <w:tcW w:w="3263" w:type="dxa"/>
            <w:tcBorders>
              <w:tl2br w:val="nil"/>
              <w:tr2bl w:val="nil"/>
            </w:tcBorders>
          </w:tcPr>
          <w:p w14:paraId="16CC0F71">
            <w:pPr>
              <w:spacing w:before="176" w:line="213" w:lineRule="auto"/>
              <w:rPr>
                <w:szCs w:val="21"/>
              </w:rPr>
            </w:pPr>
            <w:r>
              <w:rPr>
                <w:rFonts w:eastAsia="Times New Roman"/>
                <w:spacing w:val="-1"/>
                <w:szCs w:val="21"/>
              </w:rPr>
              <w:t>25</w:t>
            </w:r>
            <w:r>
              <w:rPr>
                <w:rFonts w:eastAsia="Times New Roman"/>
                <w:szCs w:val="21"/>
              </w:rPr>
              <w:t>kg</w:t>
            </w:r>
            <w:r>
              <w:rPr>
                <w:szCs w:val="21"/>
              </w:rPr>
              <w:t>桶装，危险品库</w:t>
            </w:r>
          </w:p>
        </w:tc>
      </w:tr>
      <w:tr w14:paraId="74208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708" w:type="dxa"/>
            <w:tcBorders>
              <w:tl2br w:val="nil"/>
              <w:tr2bl w:val="nil"/>
            </w:tcBorders>
          </w:tcPr>
          <w:p w14:paraId="50A78F2E">
            <w:pPr>
              <w:spacing w:before="187" w:line="187" w:lineRule="auto"/>
              <w:ind w:left="154"/>
              <w:rPr>
                <w:rFonts w:eastAsia="Times New Roman"/>
                <w:szCs w:val="21"/>
              </w:rPr>
            </w:pPr>
            <w:r>
              <w:rPr>
                <w:rFonts w:eastAsia="Times New Roman"/>
                <w:szCs w:val="21"/>
              </w:rPr>
              <w:t>8</w:t>
            </w:r>
          </w:p>
        </w:tc>
        <w:tc>
          <w:tcPr>
            <w:tcW w:w="1166" w:type="dxa"/>
            <w:tcBorders>
              <w:tl2br w:val="nil"/>
              <w:tr2bl w:val="nil"/>
            </w:tcBorders>
          </w:tcPr>
          <w:p w14:paraId="19AB5AD3">
            <w:pPr>
              <w:spacing w:before="154" w:line="219" w:lineRule="auto"/>
              <w:ind w:left="375"/>
              <w:rPr>
                <w:szCs w:val="21"/>
              </w:rPr>
            </w:pPr>
            <w:r>
              <w:rPr>
                <w:spacing w:val="-2"/>
                <w:szCs w:val="21"/>
              </w:rPr>
              <w:t>氢</w:t>
            </w:r>
            <w:r>
              <w:rPr>
                <w:spacing w:val="-1"/>
                <w:szCs w:val="21"/>
              </w:rPr>
              <w:t>气</w:t>
            </w:r>
          </w:p>
        </w:tc>
        <w:tc>
          <w:tcPr>
            <w:tcW w:w="1406" w:type="dxa"/>
            <w:tcBorders>
              <w:tl2br w:val="nil"/>
              <w:tr2bl w:val="nil"/>
            </w:tcBorders>
          </w:tcPr>
          <w:p w14:paraId="7632B797">
            <w:pPr>
              <w:spacing w:before="187" w:line="187" w:lineRule="auto"/>
              <w:ind w:left="415"/>
              <w:rPr>
                <w:rFonts w:eastAsia="Times New Roman"/>
                <w:szCs w:val="21"/>
              </w:rPr>
            </w:pPr>
            <w:r>
              <w:rPr>
                <w:rFonts w:eastAsia="Times New Roman"/>
                <w:spacing w:val="-1"/>
                <w:szCs w:val="21"/>
              </w:rPr>
              <w:t>0.00</w:t>
            </w:r>
            <w:r>
              <w:rPr>
                <w:rFonts w:eastAsia="Times New Roman"/>
                <w:szCs w:val="21"/>
              </w:rPr>
              <w:t>01</w:t>
            </w:r>
          </w:p>
        </w:tc>
        <w:tc>
          <w:tcPr>
            <w:tcW w:w="1917" w:type="dxa"/>
            <w:tcBorders>
              <w:tl2br w:val="nil"/>
              <w:tr2bl w:val="nil"/>
            </w:tcBorders>
          </w:tcPr>
          <w:p w14:paraId="673C40C6">
            <w:pPr>
              <w:spacing w:before="154" w:line="219" w:lineRule="auto"/>
              <w:ind w:left="539"/>
              <w:rPr>
                <w:szCs w:val="21"/>
              </w:rPr>
            </w:pPr>
            <w:r>
              <w:rPr>
                <w:spacing w:val="-6"/>
                <w:szCs w:val="21"/>
              </w:rPr>
              <w:t>易</w:t>
            </w:r>
            <w:r>
              <w:rPr>
                <w:spacing w:val="-4"/>
                <w:szCs w:val="21"/>
              </w:rPr>
              <w:t>燃</w:t>
            </w:r>
            <w:r>
              <w:rPr>
                <w:spacing w:val="-3"/>
                <w:szCs w:val="21"/>
              </w:rPr>
              <w:t>、易爆</w:t>
            </w:r>
          </w:p>
        </w:tc>
        <w:tc>
          <w:tcPr>
            <w:tcW w:w="3263" w:type="dxa"/>
            <w:tcBorders>
              <w:tl2br w:val="nil"/>
              <w:tr2bl w:val="nil"/>
            </w:tcBorders>
          </w:tcPr>
          <w:p w14:paraId="2E8586EC">
            <w:pPr>
              <w:spacing w:before="173" w:line="219" w:lineRule="auto"/>
              <w:rPr>
                <w:szCs w:val="21"/>
              </w:rPr>
            </w:pPr>
            <w:r>
              <w:rPr>
                <w:spacing w:val="-1"/>
                <w:szCs w:val="21"/>
              </w:rPr>
              <w:t>氢氧发生器</w:t>
            </w:r>
          </w:p>
        </w:tc>
      </w:tr>
      <w:tr w14:paraId="30CAE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0C83B663">
            <w:pPr>
              <w:spacing w:before="190" w:line="187" w:lineRule="auto"/>
              <w:ind w:left="149"/>
              <w:rPr>
                <w:rFonts w:eastAsia="Times New Roman"/>
                <w:szCs w:val="21"/>
              </w:rPr>
            </w:pPr>
            <w:r>
              <w:rPr>
                <w:rFonts w:eastAsia="Times New Roman"/>
                <w:szCs w:val="21"/>
              </w:rPr>
              <w:t>9</w:t>
            </w:r>
          </w:p>
        </w:tc>
        <w:tc>
          <w:tcPr>
            <w:tcW w:w="1166" w:type="dxa"/>
            <w:tcBorders>
              <w:tl2br w:val="nil"/>
              <w:tr2bl w:val="nil"/>
            </w:tcBorders>
          </w:tcPr>
          <w:p w14:paraId="768DD8AD">
            <w:pPr>
              <w:spacing w:before="154" w:line="222" w:lineRule="auto"/>
              <w:ind w:left="183"/>
              <w:rPr>
                <w:szCs w:val="21"/>
              </w:rPr>
            </w:pPr>
            <w:r>
              <w:rPr>
                <w:spacing w:val="-7"/>
                <w:szCs w:val="21"/>
              </w:rPr>
              <w:t>乙</w:t>
            </w:r>
            <w:r>
              <w:rPr>
                <w:spacing w:val="-5"/>
                <w:szCs w:val="21"/>
              </w:rPr>
              <w:t>酸乙酯</w:t>
            </w:r>
          </w:p>
        </w:tc>
        <w:tc>
          <w:tcPr>
            <w:tcW w:w="1406" w:type="dxa"/>
            <w:tcBorders>
              <w:tl2br w:val="nil"/>
              <w:tr2bl w:val="nil"/>
            </w:tcBorders>
          </w:tcPr>
          <w:p w14:paraId="279E992D">
            <w:pPr>
              <w:spacing w:before="190" w:line="187" w:lineRule="auto"/>
              <w:ind w:left="521"/>
              <w:rPr>
                <w:rFonts w:eastAsia="Times New Roman"/>
                <w:szCs w:val="21"/>
              </w:rPr>
            </w:pPr>
            <w:r>
              <w:rPr>
                <w:rFonts w:eastAsia="Times New Roman"/>
                <w:spacing w:val="-1"/>
                <w:szCs w:val="21"/>
              </w:rPr>
              <w:t>0.17</w:t>
            </w:r>
          </w:p>
        </w:tc>
        <w:tc>
          <w:tcPr>
            <w:tcW w:w="1917" w:type="dxa"/>
            <w:tcBorders>
              <w:tl2br w:val="nil"/>
              <w:tr2bl w:val="nil"/>
            </w:tcBorders>
          </w:tcPr>
          <w:p w14:paraId="5EE10F7E">
            <w:pPr>
              <w:spacing w:before="154" w:line="219" w:lineRule="auto"/>
              <w:ind w:left="224"/>
              <w:rPr>
                <w:szCs w:val="21"/>
              </w:rPr>
            </w:pPr>
            <w:r>
              <w:rPr>
                <w:spacing w:val="-4"/>
                <w:szCs w:val="21"/>
              </w:rPr>
              <w:t>易燃</w:t>
            </w:r>
            <w:r>
              <w:rPr>
                <w:spacing w:val="-2"/>
                <w:szCs w:val="21"/>
              </w:rPr>
              <w:t>、易爆、有毒</w:t>
            </w:r>
          </w:p>
        </w:tc>
        <w:tc>
          <w:tcPr>
            <w:tcW w:w="3263" w:type="dxa"/>
            <w:tcBorders>
              <w:tl2br w:val="nil"/>
              <w:tr2bl w:val="nil"/>
            </w:tcBorders>
          </w:tcPr>
          <w:p w14:paraId="2BA45E3C">
            <w:pPr>
              <w:spacing w:before="175" w:line="221" w:lineRule="auto"/>
              <w:rPr>
                <w:szCs w:val="21"/>
              </w:rPr>
            </w:pPr>
            <w:r>
              <w:rPr>
                <w:rFonts w:eastAsia="Times New Roman"/>
                <w:spacing w:val="-1"/>
                <w:szCs w:val="21"/>
              </w:rPr>
              <w:t>2</w:t>
            </w:r>
            <w:r>
              <w:rPr>
                <w:rFonts w:eastAsia="Times New Roman"/>
                <w:szCs w:val="21"/>
              </w:rPr>
              <w:t xml:space="preserve">00L </w:t>
            </w:r>
            <w:r>
              <w:rPr>
                <w:szCs w:val="21"/>
              </w:rPr>
              <w:t>桶装，危险品库</w:t>
            </w:r>
          </w:p>
        </w:tc>
      </w:tr>
      <w:tr w14:paraId="5C6FA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501DF534">
            <w:pPr>
              <w:spacing w:before="186" w:line="187" w:lineRule="auto"/>
              <w:ind w:left="166"/>
              <w:rPr>
                <w:rFonts w:eastAsia="Times New Roman"/>
                <w:szCs w:val="21"/>
              </w:rPr>
            </w:pPr>
            <w:r>
              <w:rPr>
                <w:rFonts w:eastAsia="Times New Roman"/>
                <w:spacing w:val="-6"/>
                <w:szCs w:val="21"/>
              </w:rPr>
              <w:t>10</w:t>
            </w:r>
          </w:p>
        </w:tc>
        <w:tc>
          <w:tcPr>
            <w:tcW w:w="1166" w:type="dxa"/>
            <w:tcBorders>
              <w:tl2br w:val="nil"/>
              <w:tr2bl w:val="nil"/>
            </w:tcBorders>
          </w:tcPr>
          <w:p w14:paraId="16279FE3">
            <w:pPr>
              <w:spacing w:before="152" w:line="220" w:lineRule="auto"/>
              <w:ind w:left="274"/>
              <w:rPr>
                <w:spacing w:val="-7"/>
                <w:szCs w:val="21"/>
              </w:rPr>
            </w:pPr>
            <w:r>
              <w:rPr>
                <w:spacing w:val="-2"/>
                <w:szCs w:val="21"/>
              </w:rPr>
              <w:t>天然气</w:t>
            </w:r>
          </w:p>
        </w:tc>
        <w:tc>
          <w:tcPr>
            <w:tcW w:w="1406" w:type="dxa"/>
            <w:tcBorders>
              <w:tl2br w:val="nil"/>
              <w:tr2bl w:val="nil"/>
            </w:tcBorders>
          </w:tcPr>
          <w:p w14:paraId="4A3DD03B">
            <w:pPr>
              <w:spacing w:before="186" w:line="187" w:lineRule="auto"/>
              <w:ind w:left="416"/>
              <w:rPr>
                <w:rFonts w:eastAsia="Times New Roman"/>
                <w:spacing w:val="-1"/>
                <w:szCs w:val="21"/>
              </w:rPr>
            </w:pPr>
            <w:r>
              <w:rPr>
                <w:rFonts w:eastAsia="Times New Roman"/>
                <w:spacing w:val="-1"/>
                <w:szCs w:val="21"/>
              </w:rPr>
              <w:t>0.00</w:t>
            </w:r>
            <w:r>
              <w:rPr>
                <w:rFonts w:eastAsia="Times New Roman"/>
                <w:szCs w:val="21"/>
              </w:rPr>
              <w:t>01</w:t>
            </w:r>
          </w:p>
        </w:tc>
        <w:tc>
          <w:tcPr>
            <w:tcW w:w="1917" w:type="dxa"/>
            <w:tcBorders>
              <w:tl2br w:val="nil"/>
              <w:tr2bl w:val="nil"/>
            </w:tcBorders>
          </w:tcPr>
          <w:p w14:paraId="14533577">
            <w:pPr>
              <w:spacing w:before="152" w:line="219" w:lineRule="auto"/>
              <w:ind w:left="540"/>
              <w:rPr>
                <w:spacing w:val="-4"/>
                <w:szCs w:val="21"/>
              </w:rPr>
            </w:pPr>
            <w:r>
              <w:rPr>
                <w:spacing w:val="-6"/>
                <w:szCs w:val="21"/>
              </w:rPr>
              <w:t>易</w:t>
            </w:r>
            <w:r>
              <w:rPr>
                <w:spacing w:val="-4"/>
                <w:szCs w:val="21"/>
              </w:rPr>
              <w:t>燃</w:t>
            </w:r>
            <w:r>
              <w:rPr>
                <w:spacing w:val="-3"/>
                <w:szCs w:val="21"/>
              </w:rPr>
              <w:t>、易爆</w:t>
            </w:r>
          </w:p>
        </w:tc>
        <w:tc>
          <w:tcPr>
            <w:tcW w:w="3263" w:type="dxa"/>
            <w:tcBorders>
              <w:tl2br w:val="nil"/>
              <w:tr2bl w:val="nil"/>
            </w:tcBorders>
          </w:tcPr>
          <w:p w14:paraId="4369E781">
            <w:pPr>
              <w:spacing w:before="172" w:line="219" w:lineRule="auto"/>
              <w:ind w:left="1599"/>
              <w:rPr>
                <w:rFonts w:eastAsia="Times New Roman"/>
                <w:spacing w:val="-1"/>
                <w:szCs w:val="21"/>
              </w:rPr>
            </w:pPr>
            <w:r>
              <w:rPr>
                <w:spacing w:val="-1"/>
                <w:szCs w:val="21"/>
              </w:rPr>
              <w:t>燃气锅炉</w:t>
            </w:r>
          </w:p>
        </w:tc>
      </w:tr>
      <w:tr w14:paraId="20A8EA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3500F34F">
            <w:pPr>
              <w:spacing w:before="187" w:line="187" w:lineRule="auto"/>
              <w:ind w:left="166"/>
              <w:rPr>
                <w:rFonts w:eastAsia="Times New Roman"/>
                <w:szCs w:val="21"/>
              </w:rPr>
            </w:pPr>
            <w:r>
              <w:rPr>
                <w:rFonts w:eastAsia="Times New Roman"/>
                <w:spacing w:val="-6"/>
                <w:szCs w:val="21"/>
              </w:rPr>
              <w:t>11</w:t>
            </w:r>
          </w:p>
        </w:tc>
        <w:tc>
          <w:tcPr>
            <w:tcW w:w="1166" w:type="dxa"/>
            <w:tcBorders>
              <w:tl2br w:val="nil"/>
              <w:tr2bl w:val="nil"/>
            </w:tcBorders>
          </w:tcPr>
          <w:p w14:paraId="6EF4447A">
            <w:pPr>
              <w:spacing w:before="151" w:line="220" w:lineRule="auto"/>
              <w:ind w:left="403"/>
              <w:rPr>
                <w:spacing w:val="-7"/>
                <w:szCs w:val="21"/>
              </w:rPr>
            </w:pPr>
            <w:r>
              <w:rPr>
                <w:spacing w:val="-9"/>
                <w:szCs w:val="21"/>
              </w:rPr>
              <w:t>甲</w:t>
            </w:r>
            <w:r>
              <w:rPr>
                <w:spacing w:val="-8"/>
                <w:szCs w:val="21"/>
              </w:rPr>
              <w:t>苯</w:t>
            </w:r>
          </w:p>
        </w:tc>
        <w:tc>
          <w:tcPr>
            <w:tcW w:w="1406" w:type="dxa"/>
            <w:tcBorders>
              <w:tl2br w:val="nil"/>
              <w:tr2bl w:val="nil"/>
            </w:tcBorders>
          </w:tcPr>
          <w:p w14:paraId="7CD1B9F5">
            <w:pPr>
              <w:spacing w:before="187" w:line="187" w:lineRule="auto"/>
              <w:ind w:left="522"/>
              <w:rPr>
                <w:rFonts w:eastAsia="Times New Roman"/>
                <w:spacing w:val="-1"/>
                <w:szCs w:val="21"/>
              </w:rPr>
            </w:pPr>
            <w:r>
              <w:rPr>
                <w:rFonts w:eastAsia="Times New Roman"/>
                <w:spacing w:val="-1"/>
                <w:szCs w:val="21"/>
              </w:rPr>
              <w:t>0.47</w:t>
            </w:r>
          </w:p>
        </w:tc>
        <w:tc>
          <w:tcPr>
            <w:tcW w:w="1917" w:type="dxa"/>
            <w:tcBorders>
              <w:tl2br w:val="nil"/>
              <w:tr2bl w:val="nil"/>
            </w:tcBorders>
          </w:tcPr>
          <w:p w14:paraId="6BD12692">
            <w:pPr>
              <w:spacing w:before="151" w:line="219" w:lineRule="auto"/>
              <w:ind w:left="225"/>
              <w:rPr>
                <w:spacing w:val="-4"/>
                <w:szCs w:val="21"/>
              </w:rPr>
            </w:pPr>
            <w:r>
              <w:rPr>
                <w:spacing w:val="-4"/>
                <w:szCs w:val="21"/>
              </w:rPr>
              <w:t>易燃</w:t>
            </w:r>
            <w:r>
              <w:rPr>
                <w:spacing w:val="-2"/>
                <w:szCs w:val="21"/>
              </w:rPr>
              <w:t>、易爆、有毒</w:t>
            </w:r>
          </w:p>
        </w:tc>
        <w:tc>
          <w:tcPr>
            <w:tcW w:w="3263" w:type="dxa"/>
            <w:tcBorders>
              <w:tl2br w:val="nil"/>
              <w:tr2bl w:val="nil"/>
            </w:tcBorders>
          </w:tcPr>
          <w:p w14:paraId="01CFDD8C">
            <w:pPr>
              <w:spacing w:line="213" w:lineRule="auto"/>
              <w:rPr>
                <w:rFonts w:eastAsia="Times New Roman"/>
                <w:spacing w:val="-1"/>
                <w:szCs w:val="21"/>
              </w:rPr>
            </w:pPr>
            <w:r>
              <w:rPr>
                <w:rFonts w:eastAsia="Times New Roman"/>
                <w:spacing w:val="-1"/>
                <w:szCs w:val="21"/>
              </w:rPr>
              <w:t>25</w:t>
            </w:r>
            <w:r>
              <w:rPr>
                <w:rFonts w:eastAsia="Times New Roman"/>
                <w:szCs w:val="21"/>
              </w:rPr>
              <w:t xml:space="preserve">kg </w:t>
            </w:r>
            <w:r>
              <w:rPr>
                <w:szCs w:val="21"/>
              </w:rPr>
              <w:t>桶装，易制毒库</w:t>
            </w:r>
          </w:p>
        </w:tc>
      </w:tr>
      <w:tr w14:paraId="0BA0B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427F633A">
            <w:pPr>
              <w:spacing w:before="186" w:line="187" w:lineRule="auto"/>
              <w:ind w:left="166"/>
              <w:rPr>
                <w:rFonts w:eastAsia="Times New Roman"/>
                <w:szCs w:val="21"/>
              </w:rPr>
            </w:pPr>
            <w:r>
              <w:rPr>
                <w:rFonts w:eastAsia="Times New Roman"/>
                <w:spacing w:val="-6"/>
                <w:szCs w:val="21"/>
              </w:rPr>
              <w:t>12</w:t>
            </w:r>
          </w:p>
        </w:tc>
        <w:tc>
          <w:tcPr>
            <w:tcW w:w="1166" w:type="dxa"/>
            <w:tcBorders>
              <w:tl2br w:val="nil"/>
              <w:tr2bl w:val="nil"/>
            </w:tcBorders>
          </w:tcPr>
          <w:p w14:paraId="7EA8F294">
            <w:pPr>
              <w:spacing w:before="152" w:line="221" w:lineRule="auto"/>
              <w:ind w:left="393"/>
              <w:rPr>
                <w:spacing w:val="-7"/>
                <w:szCs w:val="21"/>
              </w:rPr>
            </w:pPr>
            <w:r>
              <w:rPr>
                <w:spacing w:val="-7"/>
                <w:szCs w:val="21"/>
              </w:rPr>
              <w:t>乙</w:t>
            </w:r>
            <w:r>
              <w:rPr>
                <w:spacing w:val="-5"/>
                <w:szCs w:val="21"/>
              </w:rPr>
              <w:t>炔</w:t>
            </w:r>
          </w:p>
        </w:tc>
        <w:tc>
          <w:tcPr>
            <w:tcW w:w="1406" w:type="dxa"/>
            <w:tcBorders>
              <w:tl2br w:val="nil"/>
              <w:tr2bl w:val="nil"/>
            </w:tcBorders>
          </w:tcPr>
          <w:p w14:paraId="22E98BFB">
            <w:pPr>
              <w:spacing w:before="186" w:line="187" w:lineRule="auto"/>
              <w:ind w:left="522"/>
              <w:rPr>
                <w:rFonts w:eastAsia="Times New Roman"/>
                <w:spacing w:val="-1"/>
                <w:szCs w:val="21"/>
              </w:rPr>
            </w:pPr>
            <w:r>
              <w:rPr>
                <w:rFonts w:eastAsia="Times New Roman"/>
                <w:spacing w:val="-1"/>
                <w:szCs w:val="21"/>
              </w:rPr>
              <w:t>0.02</w:t>
            </w:r>
          </w:p>
        </w:tc>
        <w:tc>
          <w:tcPr>
            <w:tcW w:w="1917" w:type="dxa"/>
            <w:tcBorders>
              <w:tl2br w:val="nil"/>
              <w:tr2bl w:val="nil"/>
            </w:tcBorders>
          </w:tcPr>
          <w:p w14:paraId="216AF9A7">
            <w:pPr>
              <w:spacing w:before="152" w:line="219" w:lineRule="auto"/>
              <w:ind w:left="540"/>
              <w:rPr>
                <w:spacing w:val="-4"/>
                <w:szCs w:val="21"/>
              </w:rPr>
            </w:pPr>
            <w:r>
              <w:rPr>
                <w:spacing w:val="-6"/>
                <w:szCs w:val="21"/>
              </w:rPr>
              <w:t>易</w:t>
            </w:r>
            <w:r>
              <w:rPr>
                <w:spacing w:val="-4"/>
                <w:szCs w:val="21"/>
              </w:rPr>
              <w:t>燃</w:t>
            </w:r>
            <w:r>
              <w:rPr>
                <w:spacing w:val="-3"/>
                <w:szCs w:val="21"/>
              </w:rPr>
              <w:t>、易爆</w:t>
            </w:r>
          </w:p>
        </w:tc>
        <w:tc>
          <w:tcPr>
            <w:tcW w:w="3263" w:type="dxa"/>
            <w:tcBorders>
              <w:tl2br w:val="nil"/>
              <w:tr2bl w:val="nil"/>
            </w:tcBorders>
          </w:tcPr>
          <w:p w14:paraId="752D3482">
            <w:pPr>
              <w:spacing w:line="220" w:lineRule="auto"/>
              <w:rPr>
                <w:rFonts w:eastAsia="Times New Roman"/>
                <w:spacing w:val="-1"/>
                <w:szCs w:val="21"/>
              </w:rPr>
            </w:pPr>
            <w:r>
              <w:rPr>
                <w:rFonts w:eastAsia="Times New Roman"/>
                <w:spacing w:val="-1"/>
                <w:szCs w:val="21"/>
              </w:rPr>
              <w:t>4</w:t>
            </w:r>
            <w:r>
              <w:rPr>
                <w:rFonts w:eastAsia="Times New Roman"/>
                <w:szCs w:val="21"/>
              </w:rPr>
              <w:t xml:space="preserve">0L </w:t>
            </w:r>
            <w:r>
              <w:rPr>
                <w:szCs w:val="21"/>
              </w:rPr>
              <w:t>气瓶，气瓶库</w:t>
            </w:r>
          </w:p>
        </w:tc>
      </w:tr>
      <w:tr w14:paraId="250BB1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213202DF">
            <w:pPr>
              <w:spacing w:before="190" w:line="187" w:lineRule="auto"/>
              <w:ind w:left="166"/>
              <w:rPr>
                <w:rFonts w:eastAsia="Times New Roman"/>
                <w:szCs w:val="21"/>
              </w:rPr>
            </w:pPr>
            <w:r>
              <w:rPr>
                <w:rFonts w:eastAsia="Times New Roman"/>
                <w:spacing w:val="-6"/>
                <w:szCs w:val="21"/>
              </w:rPr>
              <w:t>13</w:t>
            </w:r>
          </w:p>
        </w:tc>
        <w:tc>
          <w:tcPr>
            <w:tcW w:w="1166" w:type="dxa"/>
            <w:tcBorders>
              <w:tl2br w:val="nil"/>
              <w:tr2bl w:val="nil"/>
            </w:tcBorders>
          </w:tcPr>
          <w:p w14:paraId="1E5F8D11">
            <w:pPr>
              <w:spacing w:before="156" w:line="220" w:lineRule="auto"/>
              <w:ind w:left="378"/>
              <w:rPr>
                <w:spacing w:val="-7"/>
                <w:szCs w:val="21"/>
              </w:rPr>
            </w:pPr>
            <w:r>
              <w:rPr>
                <w:spacing w:val="-3"/>
                <w:szCs w:val="21"/>
              </w:rPr>
              <w:t>苯</w:t>
            </w:r>
            <w:r>
              <w:rPr>
                <w:spacing w:val="-2"/>
                <w:szCs w:val="21"/>
              </w:rPr>
              <w:t>酚</w:t>
            </w:r>
          </w:p>
        </w:tc>
        <w:tc>
          <w:tcPr>
            <w:tcW w:w="1406" w:type="dxa"/>
            <w:tcBorders>
              <w:tl2br w:val="nil"/>
              <w:tr2bl w:val="nil"/>
            </w:tcBorders>
          </w:tcPr>
          <w:p w14:paraId="5B9DC69A">
            <w:pPr>
              <w:spacing w:before="190" w:line="187" w:lineRule="auto"/>
              <w:ind w:left="522"/>
              <w:rPr>
                <w:rFonts w:eastAsia="Times New Roman"/>
                <w:spacing w:val="-1"/>
                <w:szCs w:val="21"/>
              </w:rPr>
            </w:pPr>
            <w:r>
              <w:rPr>
                <w:rFonts w:eastAsia="Times New Roman"/>
                <w:spacing w:val="-1"/>
                <w:szCs w:val="21"/>
              </w:rPr>
              <w:t>0.24</w:t>
            </w:r>
          </w:p>
        </w:tc>
        <w:tc>
          <w:tcPr>
            <w:tcW w:w="1917" w:type="dxa"/>
            <w:tcBorders>
              <w:tl2br w:val="nil"/>
              <w:tr2bl w:val="nil"/>
            </w:tcBorders>
          </w:tcPr>
          <w:p w14:paraId="5A024009">
            <w:pPr>
              <w:spacing w:before="156" w:line="219" w:lineRule="auto"/>
              <w:ind w:left="225"/>
              <w:rPr>
                <w:spacing w:val="-4"/>
                <w:szCs w:val="21"/>
              </w:rPr>
            </w:pPr>
            <w:r>
              <w:rPr>
                <w:spacing w:val="-4"/>
                <w:szCs w:val="21"/>
              </w:rPr>
              <w:t>易燃</w:t>
            </w:r>
            <w:r>
              <w:rPr>
                <w:spacing w:val="-2"/>
                <w:szCs w:val="21"/>
              </w:rPr>
              <w:t>、易爆、有毒</w:t>
            </w:r>
          </w:p>
        </w:tc>
        <w:tc>
          <w:tcPr>
            <w:tcW w:w="3263" w:type="dxa"/>
            <w:tcBorders>
              <w:tl2br w:val="nil"/>
              <w:tr2bl w:val="nil"/>
            </w:tcBorders>
          </w:tcPr>
          <w:p w14:paraId="7BDBA357">
            <w:pPr>
              <w:spacing w:line="213" w:lineRule="auto"/>
              <w:rPr>
                <w:rFonts w:eastAsia="Times New Roman"/>
                <w:spacing w:val="-1"/>
                <w:szCs w:val="21"/>
              </w:rPr>
            </w:pPr>
            <w:r>
              <w:rPr>
                <w:rFonts w:eastAsia="Times New Roman"/>
                <w:spacing w:val="-1"/>
                <w:szCs w:val="21"/>
              </w:rPr>
              <w:t>25</w:t>
            </w:r>
            <w:r>
              <w:rPr>
                <w:rFonts w:eastAsia="Times New Roman"/>
                <w:szCs w:val="21"/>
              </w:rPr>
              <w:t xml:space="preserve">kg </w:t>
            </w:r>
            <w:r>
              <w:rPr>
                <w:szCs w:val="21"/>
              </w:rPr>
              <w:t>桶装，危险品库</w:t>
            </w:r>
          </w:p>
        </w:tc>
      </w:tr>
      <w:tr w14:paraId="1A8B0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5"/>
            <w:tcBorders>
              <w:tl2br w:val="nil"/>
              <w:tr2bl w:val="nil"/>
            </w:tcBorders>
          </w:tcPr>
          <w:p w14:paraId="40FD9AAB">
            <w:pPr>
              <w:spacing w:before="176" w:line="213" w:lineRule="auto"/>
              <w:ind w:left="1047"/>
              <w:jc w:val="center"/>
              <w:rPr>
                <w:rFonts w:eastAsia="Times New Roman"/>
                <w:spacing w:val="-1"/>
                <w:szCs w:val="21"/>
              </w:rPr>
            </w:pPr>
            <w:r>
              <w:t>安徽山河药用辅料股份有限公司</w:t>
            </w:r>
          </w:p>
        </w:tc>
      </w:tr>
      <w:tr w14:paraId="0F376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30B7E1D5">
            <w:pPr>
              <w:spacing w:before="190" w:line="187" w:lineRule="auto"/>
              <w:ind w:left="166"/>
              <w:rPr>
                <w:spacing w:val="-6"/>
                <w:szCs w:val="21"/>
              </w:rPr>
            </w:pPr>
            <w:r>
              <w:rPr>
                <w:spacing w:val="-6"/>
                <w:szCs w:val="21"/>
              </w:rPr>
              <w:t>14</w:t>
            </w:r>
          </w:p>
        </w:tc>
        <w:tc>
          <w:tcPr>
            <w:tcW w:w="1166" w:type="dxa"/>
            <w:tcBorders>
              <w:tl2br w:val="nil"/>
              <w:tr2bl w:val="nil"/>
            </w:tcBorders>
          </w:tcPr>
          <w:p w14:paraId="09932C43">
            <w:pPr>
              <w:spacing w:before="156" w:line="220" w:lineRule="auto"/>
              <w:rPr>
                <w:spacing w:val="-3"/>
                <w:szCs w:val="21"/>
              </w:rPr>
            </w:pPr>
            <w:r>
              <w:rPr>
                <w:spacing w:val="-3"/>
                <w:szCs w:val="21"/>
              </w:rPr>
              <w:t>氯甲烷</w:t>
            </w:r>
          </w:p>
        </w:tc>
        <w:tc>
          <w:tcPr>
            <w:tcW w:w="1406" w:type="dxa"/>
            <w:tcBorders>
              <w:tl2br w:val="nil"/>
              <w:tr2bl w:val="nil"/>
            </w:tcBorders>
          </w:tcPr>
          <w:p w14:paraId="7B9BC568">
            <w:pPr>
              <w:spacing w:before="171" w:line="187" w:lineRule="auto"/>
              <w:rPr>
                <w:rFonts w:eastAsia="Times New Roman"/>
                <w:spacing w:val="-1"/>
                <w:szCs w:val="21"/>
              </w:rPr>
            </w:pPr>
            <w:r>
              <w:rPr>
                <w:spacing w:val="-1"/>
                <w:szCs w:val="21"/>
              </w:rPr>
              <w:t>110.4</w:t>
            </w:r>
          </w:p>
        </w:tc>
        <w:tc>
          <w:tcPr>
            <w:tcW w:w="1917" w:type="dxa"/>
            <w:tcBorders>
              <w:tl2br w:val="nil"/>
              <w:tr2bl w:val="nil"/>
            </w:tcBorders>
          </w:tcPr>
          <w:p w14:paraId="3F8EB55E">
            <w:pPr>
              <w:spacing w:before="156" w:line="219" w:lineRule="auto"/>
              <w:ind w:left="225"/>
              <w:rPr>
                <w:spacing w:val="-4"/>
                <w:szCs w:val="21"/>
              </w:rPr>
            </w:pPr>
            <w:r>
              <w:rPr>
                <w:szCs w:val="21"/>
              </w:rPr>
              <w:t>易燃气体</w:t>
            </w:r>
          </w:p>
        </w:tc>
        <w:tc>
          <w:tcPr>
            <w:tcW w:w="3263" w:type="dxa"/>
            <w:tcBorders>
              <w:tl2br w:val="nil"/>
              <w:tr2bl w:val="nil"/>
            </w:tcBorders>
          </w:tcPr>
          <w:p w14:paraId="156F0E91">
            <w:pPr>
              <w:spacing w:before="176" w:line="213" w:lineRule="auto"/>
              <w:ind w:left="1047"/>
              <w:rPr>
                <w:rFonts w:eastAsia="Times New Roman"/>
                <w:spacing w:val="-1"/>
                <w:szCs w:val="21"/>
              </w:rPr>
            </w:pPr>
            <w:r>
              <w:rPr>
                <w:szCs w:val="21"/>
              </w:rPr>
              <w:t>罐区</w:t>
            </w:r>
          </w:p>
        </w:tc>
      </w:tr>
      <w:tr w14:paraId="54206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6451746B">
            <w:pPr>
              <w:spacing w:before="190" w:line="187" w:lineRule="auto"/>
              <w:ind w:left="166"/>
              <w:rPr>
                <w:spacing w:val="-6"/>
                <w:szCs w:val="21"/>
              </w:rPr>
            </w:pPr>
            <w:r>
              <w:rPr>
                <w:spacing w:val="-6"/>
                <w:szCs w:val="21"/>
              </w:rPr>
              <w:t>15</w:t>
            </w:r>
          </w:p>
        </w:tc>
        <w:tc>
          <w:tcPr>
            <w:tcW w:w="1166" w:type="dxa"/>
            <w:tcBorders>
              <w:tl2br w:val="nil"/>
              <w:tr2bl w:val="nil"/>
            </w:tcBorders>
          </w:tcPr>
          <w:p w14:paraId="2030764E">
            <w:pPr>
              <w:spacing w:before="156" w:line="220" w:lineRule="auto"/>
              <w:rPr>
                <w:spacing w:val="-3"/>
                <w:szCs w:val="21"/>
              </w:rPr>
            </w:pPr>
            <w:r>
              <w:rPr>
                <w:spacing w:val="-3"/>
                <w:szCs w:val="21"/>
              </w:rPr>
              <w:t>环氧丙烷</w:t>
            </w:r>
          </w:p>
        </w:tc>
        <w:tc>
          <w:tcPr>
            <w:tcW w:w="1406" w:type="dxa"/>
            <w:tcBorders>
              <w:tl2br w:val="nil"/>
              <w:tr2bl w:val="nil"/>
            </w:tcBorders>
          </w:tcPr>
          <w:p w14:paraId="31435D79">
            <w:pPr>
              <w:spacing w:before="171" w:line="187" w:lineRule="auto"/>
              <w:rPr>
                <w:rFonts w:eastAsia="Times New Roman"/>
                <w:spacing w:val="-1"/>
                <w:szCs w:val="21"/>
              </w:rPr>
            </w:pPr>
            <w:r>
              <w:rPr>
                <w:spacing w:val="-1"/>
                <w:szCs w:val="21"/>
              </w:rPr>
              <w:t>41.5</w:t>
            </w:r>
          </w:p>
        </w:tc>
        <w:tc>
          <w:tcPr>
            <w:tcW w:w="1917" w:type="dxa"/>
            <w:tcBorders>
              <w:tl2br w:val="nil"/>
              <w:tr2bl w:val="nil"/>
            </w:tcBorders>
          </w:tcPr>
          <w:p w14:paraId="12E47510">
            <w:pPr>
              <w:spacing w:before="156" w:line="219" w:lineRule="auto"/>
              <w:ind w:left="225"/>
              <w:rPr>
                <w:spacing w:val="-4"/>
                <w:szCs w:val="21"/>
              </w:rPr>
            </w:pPr>
            <w:r>
              <w:rPr>
                <w:szCs w:val="21"/>
              </w:rPr>
              <w:t>易燃液体</w:t>
            </w:r>
          </w:p>
        </w:tc>
        <w:tc>
          <w:tcPr>
            <w:tcW w:w="3263" w:type="dxa"/>
            <w:tcBorders>
              <w:tl2br w:val="nil"/>
              <w:tr2bl w:val="nil"/>
            </w:tcBorders>
          </w:tcPr>
          <w:p w14:paraId="5F8AAA4A">
            <w:pPr>
              <w:spacing w:before="176" w:line="213" w:lineRule="auto"/>
              <w:ind w:left="1047"/>
              <w:rPr>
                <w:rFonts w:eastAsia="Times New Roman"/>
                <w:spacing w:val="-1"/>
                <w:szCs w:val="21"/>
              </w:rPr>
            </w:pPr>
            <w:r>
              <w:rPr>
                <w:szCs w:val="21"/>
              </w:rPr>
              <w:t>罐区</w:t>
            </w:r>
          </w:p>
        </w:tc>
      </w:tr>
      <w:tr w14:paraId="42D28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583F5BC1">
            <w:pPr>
              <w:spacing w:before="190" w:line="187" w:lineRule="auto"/>
              <w:ind w:left="166"/>
              <w:rPr>
                <w:spacing w:val="-6"/>
                <w:szCs w:val="21"/>
              </w:rPr>
            </w:pPr>
            <w:r>
              <w:rPr>
                <w:spacing w:val="-6"/>
                <w:szCs w:val="21"/>
              </w:rPr>
              <w:t>16</w:t>
            </w:r>
          </w:p>
        </w:tc>
        <w:tc>
          <w:tcPr>
            <w:tcW w:w="1166" w:type="dxa"/>
            <w:tcBorders>
              <w:tl2br w:val="nil"/>
              <w:tr2bl w:val="nil"/>
            </w:tcBorders>
          </w:tcPr>
          <w:p w14:paraId="0BAEC42F">
            <w:pPr>
              <w:spacing w:before="156" w:line="220" w:lineRule="auto"/>
              <w:rPr>
                <w:spacing w:val="-3"/>
                <w:szCs w:val="21"/>
              </w:rPr>
            </w:pPr>
            <w:r>
              <w:rPr>
                <w:spacing w:val="-3"/>
                <w:szCs w:val="21"/>
              </w:rPr>
              <w:t>甲苯</w:t>
            </w:r>
          </w:p>
        </w:tc>
        <w:tc>
          <w:tcPr>
            <w:tcW w:w="1406" w:type="dxa"/>
            <w:tcBorders>
              <w:tl2br w:val="nil"/>
              <w:tr2bl w:val="nil"/>
            </w:tcBorders>
          </w:tcPr>
          <w:p w14:paraId="10765247">
            <w:pPr>
              <w:spacing w:before="171" w:line="187" w:lineRule="auto"/>
              <w:rPr>
                <w:rFonts w:eastAsia="Times New Roman"/>
                <w:spacing w:val="-1"/>
                <w:szCs w:val="21"/>
              </w:rPr>
            </w:pPr>
            <w:r>
              <w:rPr>
                <w:spacing w:val="-1"/>
                <w:szCs w:val="21"/>
              </w:rPr>
              <w:t>26.1</w:t>
            </w:r>
          </w:p>
        </w:tc>
        <w:tc>
          <w:tcPr>
            <w:tcW w:w="1917" w:type="dxa"/>
            <w:tcBorders>
              <w:tl2br w:val="nil"/>
              <w:tr2bl w:val="nil"/>
            </w:tcBorders>
          </w:tcPr>
          <w:p w14:paraId="2FAD2A33">
            <w:pPr>
              <w:spacing w:before="156" w:line="219" w:lineRule="auto"/>
              <w:ind w:left="225"/>
              <w:rPr>
                <w:spacing w:val="-4"/>
                <w:szCs w:val="21"/>
              </w:rPr>
            </w:pPr>
            <w:r>
              <w:rPr>
                <w:szCs w:val="21"/>
              </w:rPr>
              <w:t>易燃液体</w:t>
            </w:r>
          </w:p>
        </w:tc>
        <w:tc>
          <w:tcPr>
            <w:tcW w:w="3263" w:type="dxa"/>
            <w:tcBorders>
              <w:tl2br w:val="nil"/>
              <w:tr2bl w:val="nil"/>
            </w:tcBorders>
          </w:tcPr>
          <w:p w14:paraId="1A19443C">
            <w:pPr>
              <w:spacing w:before="176" w:line="213" w:lineRule="auto"/>
              <w:ind w:left="1047"/>
              <w:rPr>
                <w:rFonts w:eastAsia="Times New Roman"/>
                <w:spacing w:val="-1"/>
                <w:szCs w:val="21"/>
              </w:rPr>
            </w:pPr>
            <w:r>
              <w:rPr>
                <w:szCs w:val="21"/>
              </w:rPr>
              <w:t>罐区</w:t>
            </w:r>
          </w:p>
        </w:tc>
      </w:tr>
      <w:tr w14:paraId="025F8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5"/>
            <w:tcBorders>
              <w:tl2br w:val="nil"/>
              <w:tr2bl w:val="nil"/>
            </w:tcBorders>
          </w:tcPr>
          <w:p w14:paraId="748C0752">
            <w:pPr>
              <w:spacing w:before="176" w:line="213" w:lineRule="auto"/>
              <w:ind w:left="1047"/>
              <w:jc w:val="center"/>
              <w:rPr>
                <w:rFonts w:eastAsia="Times New Roman"/>
                <w:spacing w:val="-1"/>
                <w:szCs w:val="21"/>
              </w:rPr>
            </w:pPr>
            <w:r>
              <w:rPr>
                <w:szCs w:val="21"/>
              </w:rPr>
              <w:t>淮南锦德生物科技有限公司</w:t>
            </w:r>
          </w:p>
        </w:tc>
      </w:tr>
      <w:tr w14:paraId="5CFE3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048D91E6">
            <w:pPr>
              <w:spacing w:before="156" w:line="220" w:lineRule="auto"/>
              <w:rPr>
                <w:spacing w:val="-3"/>
                <w:szCs w:val="21"/>
              </w:rPr>
            </w:pPr>
            <w:r>
              <w:rPr>
                <w:spacing w:val="-3"/>
                <w:szCs w:val="21"/>
              </w:rPr>
              <w:t>17</w:t>
            </w:r>
          </w:p>
        </w:tc>
        <w:tc>
          <w:tcPr>
            <w:tcW w:w="1166" w:type="dxa"/>
            <w:tcBorders>
              <w:tl2br w:val="nil"/>
              <w:tr2bl w:val="nil"/>
            </w:tcBorders>
          </w:tcPr>
          <w:p w14:paraId="1160834C">
            <w:pPr>
              <w:spacing w:before="156" w:line="220" w:lineRule="auto"/>
              <w:rPr>
                <w:spacing w:val="-3"/>
                <w:szCs w:val="21"/>
              </w:rPr>
            </w:pPr>
            <w:r>
              <w:rPr>
                <w:spacing w:val="-3"/>
                <w:szCs w:val="21"/>
              </w:rPr>
              <w:t>氯苯</w:t>
            </w:r>
          </w:p>
        </w:tc>
        <w:tc>
          <w:tcPr>
            <w:tcW w:w="1406" w:type="dxa"/>
            <w:tcBorders>
              <w:tl2br w:val="nil"/>
              <w:tr2bl w:val="nil"/>
            </w:tcBorders>
          </w:tcPr>
          <w:p w14:paraId="308E15C4">
            <w:pPr>
              <w:spacing w:before="156" w:line="220" w:lineRule="auto"/>
              <w:rPr>
                <w:spacing w:val="-3"/>
                <w:szCs w:val="21"/>
              </w:rPr>
            </w:pPr>
            <w:r>
              <w:rPr>
                <w:spacing w:val="-3"/>
                <w:szCs w:val="21"/>
              </w:rPr>
              <w:t>630</w:t>
            </w:r>
          </w:p>
        </w:tc>
        <w:tc>
          <w:tcPr>
            <w:tcW w:w="1917" w:type="dxa"/>
            <w:tcBorders>
              <w:tl2br w:val="nil"/>
              <w:tr2bl w:val="nil"/>
            </w:tcBorders>
          </w:tcPr>
          <w:p w14:paraId="1903C22D">
            <w:pPr>
              <w:spacing w:before="156" w:line="220" w:lineRule="auto"/>
              <w:rPr>
                <w:spacing w:val="-3"/>
                <w:szCs w:val="21"/>
              </w:rPr>
            </w:pPr>
            <w:r>
              <w:rPr>
                <w:szCs w:val="21"/>
              </w:rPr>
              <w:t>易燃液体</w:t>
            </w:r>
          </w:p>
        </w:tc>
        <w:tc>
          <w:tcPr>
            <w:tcW w:w="3263" w:type="dxa"/>
            <w:tcBorders>
              <w:tl2br w:val="nil"/>
              <w:tr2bl w:val="nil"/>
            </w:tcBorders>
          </w:tcPr>
          <w:p w14:paraId="1A1CF254">
            <w:pPr>
              <w:widowControl/>
              <w:jc w:val="left"/>
              <w:rPr>
                <w:spacing w:val="-3"/>
                <w:szCs w:val="21"/>
              </w:rPr>
            </w:pPr>
            <w:r>
              <w:rPr>
                <w:kern w:val="0"/>
                <w:sz w:val="20"/>
              </w:rPr>
              <w:t>甲类储罐区</w:t>
            </w:r>
          </w:p>
        </w:tc>
      </w:tr>
      <w:tr w14:paraId="1C7E7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6F00A02F">
            <w:pPr>
              <w:spacing w:before="156" w:line="220" w:lineRule="auto"/>
              <w:rPr>
                <w:spacing w:val="-3"/>
                <w:szCs w:val="21"/>
              </w:rPr>
            </w:pPr>
            <w:r>
              <w:rPr>
                <w:spacing w:val="-3"/>
                <w:szCs w:val="21"/>
              </w:rPr>
              <w:t>18</w:t>
            </w:r>
          </w:p>
        </w:tc>
        <w:tc>
          <w:tcPr>
            <w:tcW w:w="1166" w:type="dxa"/>
            <w:tcBorders>
              <w:tl2br w:val="nil"/>
              <w:tr2bl w:val="nil"/>
            </w:tcBorders>
          </w:tcPr>
          <w:p w14:paraId="3C37B38C">
            <w:pPr>
              <w:spacing w:before="156" w:line="220" w:lineRule="auto"/>
              <w:rPr>
                <w:spacing w:val="-3"/>
                <w:szCs w:val="21"/>
              </w:rPr>
            </w:pPr>
            <w:r>
              <w:rPr>
                <w:spacing w:val="-3"/>
                <w:szCs w:val="21"/>
              </w:rPr>
              <w:t>三氯化磷</w:t>
            </w:r>
          </w:p>
        </w:tc>
        <w:tc>
          <w:tcPr>
            <w:tcW w:w="1406" w:type="dxa"/>
            <w:tcBorders>
              <w:tl2br w:val="nil"/>
              <w:tr2bl w:val="nil"/>
            </w:tcBorders>
          </w:tcPr>
          <w:p w14:paraId="58F28A6D">
            <w:pPr>
              <w:spacing w:before="156" w:line="220" w:lineRule="auto"/>
              <w:rPr>
                <w:spacing w:val="-3"/>
                <w:szCs w:val="21"/>
              </w:rPr>
            </w:pPr>
            <w:r>
              <w:rPr>
                <w:spacing w:val="-3"/>
                <w:szCs w:val="21"/>
              </w:rPr>
              <w:t>200</w:t>
            </w:r>
          </w:p>
        </w:tc>
        <w:tc>
          <w:tcPr>
            <w:tcW w:w="1917" w:type="dxa"/>
            <w:tcBorders>
              <w:tl2br w:val="nil"/>
              <w:tr2bl w:val="nil"/>
            </w:tcBorders>
          </w:tcPr>
          <w:p w14:paraId="646F48A1">
            <w:pPr>
              <w:widowControl/>
              <w:jc w:val="left"/>
              <w:rPr>
                <w:spacing w:val="-3"/>
                <w:szCs w:val="21"/>
              </w:rPr>
            </w:pPr>
            <w:r>
              <w:rPr>
                <w:kern w:val="0"/>
                <w:sz w:val="20"/>
              </w:rPr>
              <w:t>毒性、腐蚀</w:t>
            </w:r>
          </w:p>
        </w:tc>
        <w:tc>
          <w:tcPr>
            <w:tcW w:w="3263" w:type="dxa"/>
            <w:tcBorders>
              <w:tl2br w:val="nil"/>
              <w:tr2bl w:val="nil"/>
            </w:tcBorders>
          </w:tcPr>
          <w:p w14:paraId="4C40D832">
            <w:pPr>
              <w:widowControl/>
              <w:jc w:val="left"/>
              <w:rPr>
                <w:spacing w:val="-3"/>
                <w:szCs w:val="21"/>
              </w:rPr>
            </w:pPr>
            <w:r>
              <w:rPr>
                <w:kern w:val="0"/>
                <w:sz w:val="20"/>
              </w:rPr>
              <w:t>甲类储罐区</w:t>
            </w:r>
          </w:p>
        </w:tc>
      </w:tr>
      <w:tr w14:paraId="2F343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2308C742">
            <w:pPr>
              <w:spacing w:before="156" w:line="220" w:lineRule="auto"/>
              <w:rPr>
                <w:spacing w:val="-3"/>
                <w:szCs w:val="21"/>
              </w:rPr>
            </w:pPr>
            <w:r>
              <w:rPr>
                <w:spacing w:val="-3"/>
                <w:szCs w:val="21"/>
              </w:rPr>
              <w:t>19</w:t>
            </w:r>
          </w:p>
        </w:tc>
        <w:tc>
          <w:tcPr>
            <w:tcW w:w="1166" w:type="dxa"/>
            <w:tcBorders>
              <w:tl2br w:val="nil"/>
              <w:tr2bl w:val="nil"/>
            </w:tcBorders>
          </w:tcPr>
          <w:p w14:paraId="13FE93BB">
            <w:pPr>
              <w:spacing w:before="156" w:line="220" w:lineRule="auto"/>
              <w:rPr>
                <w:spacing w:val="-3"/>
                <w:szCs w:val="21"/>
              </w:rPr>
            </w:pPr>
            <w:r>
              <w:rPr>
                <w:spacing w:val="-3"/>
                <w:szCs w:val="21"/>
              </w:rPr>
              <w:t>甲醇</w:t>
            </w:r>
          </w:p>
        </w:tc>
        <w:tc>
          <w:tcPr>
            <w:tcW w:w="1406" w:type="dxa"/>
            <w:tcBorders>
              <w:tl2br w:val="nil"/>
              <w:tr2bl w:val="nil"/>
            </w:tcBorders>
          </w:tcPr>
          <w:p w14:paraId="0881D067">
            <w:pPr>
              <w:spacing w:before="156" w:line="220" w:lineRule="auto"/>
              <w:rPr>
                <w:spacing w:val="-3"/>
                <w:szCs w:val="21"/>
              </w:rPr>
            </w:pPr>
            <w:r>
              <w:rPr>
                <w:spacing w:val="-3"/>
                <w:szCs w:val="21"/>
              </w:rPr>
              <w:t>50</w:t>
            </w:r>
          </w:p>
        </w:tc>
        <w:tc>
          <w:tcPr>
            <w:tcW w:w="1917" w:type="dxa"/>
            <w:tcBorders>
              <w:tl2br w:val="nil"/>
              <w:tr2bl w:val="nil"/>
            </w:tcBorders>
          </w:tcPr>
          <w:p w14:paraId="7AA8CB48">
            <w:pPr>
              <w:widowControl/>
              <w:jc w:val="left"/>
              <w:rPr>
                <w:spacing w:val="-3"/>
                <w:szCs w:val="21"/>
              </w:rPr>
            </w:pPr>
            <w:r>
              <w:rPr>
                <w:kern w:val="0"/>
                <w:sz w:val="20"/>
              </w:rPr>
              <w:t>易燃、毒性</w:t>
            </w:r>
          </w:p>
        </w:tc>
        <w:tc>
          <w:tcPr>
            <w:tcW w:w="3263" w:type="dxa"/>
            <w:tcBorders>
              <w:tl2br w:val="nil"/>
              <w:tr2bl w:val="nil"/>
            </w:tcBorders>
          </w:tcPr>
          <w:p w14:paraId="67726A9B">
            <w:pPr>
              <w:widowControl/>
              <w:jc w:val="left"/>
              <w:rPr>
                <w:spacing w:val="-3"/>
                <w:szCs w:val="21"/>
              </w:rPr>
            </w:pPr>
            <w:r>
              <w:rPr>
                <w:kern w:val="0"/>
                <w:sz w:val="20"/>
              </w:rPr>
              <w:t>甲类储罐区</w:t>
            </w:r>
          </w:p>
        </w:tc>
      </w:tr>
      <w:tr w14:paraId="1DEF2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3BCD03CB">
            <w:pPr>
              <w:spacing w:before="156" w:line="220" w:lineRule="auto"/>
              <w:rPr>
                <w:spacing w:val="-3"/>
                <w:szCs w:val="21"/>
              </w:rPr>
            </w:pPr>
            <w:r>
              <w:rPr>
                <w:spacing w:val="-3"/>
                <w:szCs w:val="21"/>
              </w:rPr>
              <w:t>20</w:t>
            </w:r>
          </w:p>
        </w:tc>
        <w:tc>
          <w:tcPr>
            <w:tcW w:w="1166" w:type="dxa"/>
            <w:tcBorders>
              <w:tl2br w:val="nil"/>
              <w:tr2bl w:val="nil"/>
            </w:tcBorders>
          </w:tcPr>
          <w:p w14:paraId="1ACACF00">
            <w:pPr>
              <w:spacing w:before="156" w:line="220" w:lineRule="auto"/>
              <w:rPr>
                <w:spacing w:val="-3"/>
                <w:szCs w:val="21"/>
              </w:rPr>
            </w:pPr>
            <w:r>
              <w:rPr>
                <w:spacing w:val="-3"/>
                <w:szCs w:val="21"/>
              </w:rPr>
              <w:t>甲苯</w:t>
            </w:r>
          </w:p>
        </w:tc>
        <w:tc>
          <w:tcPr>
            <w:tcW w:w="1406" w:type="dxa"/>
            <w:tcBorders>
              <w:tl2br w:val="nil"/>
              <w:tr2bl w:val="nil"/>
            </w:tcBorders>
          </w:tcPr>
          <w:p w14:paraId="56637DE6">
            <w:pPr>
              <w:spacing w:before="156" w:line="220" w:lineRule="auto"/>
              <w:rPr>
                <w:spacing w:val="-3"/>
                <w:szCs w:val="21"/>
              </w:rPr>
            </w:pPr>
            <w:r>
              <w:rPr>
                <w:spacing w:val="-3"/>
                <w:szCs w:val="21"/>
              </w:rPr>
              <w:t>50</w:t>
            </w:r>
          </w:p>
        </w:tc>
        <w:tc>
          <w:tcPr>
            <w:tcW w:w="1917" w:type="dxa"/>
            <w:tcBorders>
              <w:tl2br w:val="nil"/>
              <w:tr2bl w:val="nil"/>
            </w:tcBorders>
          </w:tcPr>
          <w:p w14:paraId="2C0A2A0C">
            <w:pPr>
              <w:widowControl/>
              <w:jc w:val="left"/>
              <w:rPr>
                <w:spacing w:val="-3"/>
                <w:szCs w:val="21"/>
              </w:rPr>
            </w:pPr>
            <w:r>
              <w:rPr>
                <w:kern w:val="0"/>
                <w:sz w:val="20"/>
              </w:rPr>
              <w:t>易燃、腐蚀</w:t>
            </w:r>
          </w:p>
        </w:tc>
        <w:tc>
          <w:tcPr>
            <w:tcW w:w="3263" w:type="dxa"/>
            <w:tcBorders>
              <w:tl2br w:val="nil"/>
              <w:tr2bl w:val="nil"/>
            </w:tcBorders>
          </w:tcPr>
          <w:p w14:paraId="217F3784">
            <w:pPr>
              <w:widowControl/>
              <w:jc w:val="left"/>
              <w:rPr>
                <w:spacing w:val="-3"/>
                <w:szCs w:val="21"/>
              </w:rPr>
            </w:pPr>
            <w:r>
              <w:rPr>
                <w:kern w:val="0"/>
                <w:sz w:val="20"/>
              </w:rPr>
              <w:t>甲类储罐区</w:t>
            </w:r>
          </w:p>
        </w:tc>
      </w:tr>
      <w:tr w14:paraId="64C5A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8460" w:type="dxa"/>
            <w:gridSpan w:val="5"/>
            <w:tcBorders>
              <w:tl2br w:val="nil"/>
              <w:tr2bl w:val="nil"/>
            </w:tcBorders>
          </w:tcPr>
          <w:p w14:paraId="378650EA">
            <w:pPr>
              <w:spacing w:before="176" w:line="213" w:lineRule="auto"/>
              <w:ind w:left="1047"/>
              <w:jc w:val="center"/>
              <w:rPr>
                <w:rFonts w:eastAsia="Times New Roman"/>
                <w:spacing w:val="-1"/>
                <w:szCs w:val="21"/>
              </w:rPr>
            </w:pPr>
            <w:r>
              <w:rPr>
                <w:szCs w:val="21"/>
              </w:rPr>
              <w:t>安徽森吉制药有限公司</w:t>
            </w:r>
          </w:p>
        </w:tc>
      </w:tr>
      <w:tr w14:paraId="4CB2C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3D0F4EFA">
            <w:pPr>
              <w:spacing w:before="190" w:line="187" w:lineRule="auto"/>
              <w:ind w:left="166"/>
              <w:rPr>
                <w:spacing w:val="-6"/>
                <w:szCs w:val="21"/>
              </w:rPr>
            </w:pPr>
            <w:r>
              <w:rPr>
                <w:spacing w:val="-6"/>
                <w:szCs w:val="21"/>
              </w:rPr>
              <w:t>21</w:t>
            </w:r>
          </w:p>
        </w:tc>
        <w:tc>
          <w:tcPr>
            <w:tcW w:w="1166" w:type="dxa"/>
            <w:tcBorders>
              <w:tl2br w:val="nil"/>
              <w:tr2bl w:val="nil"/>
            </w:tcBorders>
            <w:vAlign w:val="center"/>
          </w:tcPr>
          <w:p w14:paraId="7B2F6013">
            <w:pPr>
              <w:jc w:val="center"/>
              <w:rPr>
                <w:kern w:val="0"/>
                <w:szCs w:val="21"/>
              </w:rPr>
            </w:pPr>
            <w:r>
              <w:rPr>
                <w:rStyle w:val="60"/>
                <w:rFonts w:ascii="Times New Roman" w:hAnsi="Times New Roman"/>
                <w:kern w:val="0"/>
                <w:sz w:val="21"/>
                <w:szCs w:val="21"/>
              </w:rPr>
              <w:t>乙酸乙酯</w:t>
            </w:r>
          </w:p>
        </w:tc>
        <w:tc>
          <w:tcPr>
            <w:tcW w:w="1406" w:type="dxa"/>
            <w:tcBorders>
              <w:tl2br w:val="nil"/>
              <w:tr2bl w:val="nil"/>
            </w:tcBorders>
          </w:tcPr>
          <w:p w14:paraId="0A09A61E">
            <w:pPr>
              <w:spacing w:before="190" w:line="187" w:lineRule="auto"/>
              <w:ind w:left="522"/>
              <w:rPr>
                <w:spacing w:val="-1"/>
                <w:szCs w:val="21"/>
              </w:rPr>
            </w:pPr>
            <w:r>
              <w:rPr>
                <w:spacing w:val="-1"/>
                <w:szCs w:val="21"/>
              </w:rPr>
              <w:t>45</w:t>
            </w:r>
          </w:p>
        </w:tc>
        <w:tc>
          <w:tcPr>
            <w:tcW w:w="1917" w:type="dxa"/>
            <w:tcBorders>
              <w:tl2br w:val="nil"/>
              <w:tr2bl w:val="nil"/>
            </w:tcBorders>
          </w:tcPr>
          <w:p w14:paraId="2A56AA1A">
            <w:pPr>
              <w:spacing w:before="156" w:line="219" w:lineRule="auto"/>
              <w:ind w:left="225"/>
              <w:rPr>
                <w:spacing w:val="-4"/>
                <w:szCs w:val="21"/>
              </w:rPr>
            </w:pPr>
            <w:r>
              <w:rPr>
                <w:szCs w:val="21"/>
              </w:rPr>
              <w:t>易燃液体</w:t>
            </w:r>
          </w:p>
        </w:tc>
        <w:tc>
          <w:tcPr>
            <w:tcW w:w="3263" w:type="dxa"/>
            <w:tcBorders>
              <w:tl2br w:val="nil"/>
              <w:tr2bl w:val="nil"/>
            </w:tcBorders>
          </w:tcPr>
          <w:p w14:paraId="2D0D1644">
            <w:pPr>
              <w:spacing w:before="176" w:line="213" w:lineRule="auto"/>
              <w:ind w:left="1047"/>
              <w:rPr>
                <w:rFonts w:eastAsia="Times New Roman"/>
                <w:spacing w:val="-1"/>
                <w:szCs w:val="21"/>
              </w:rPr>
            </w:pPr>
            <w:r>
              <w:rPr>
                <w:rStyle w:val="59"/>
                <w:rFonts w:ascii="Times New Roman" w:hAnsi="Times New Roman"/>
                <w:sz w:val="21"/>
                <w:szCs w:val="21"/>
              </w:rPr>
              <w:t>罐区</w:t>
            </w:r>
          </w:p>
        </w:tc>
      </w:tr>
      <w:tr w14:paraId="7A084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34D09E53">
            <w:pPr>
              <w:spacing w:before="190" w:line="187" w:lineRule="auto"/>
              <w:ind w:left="166"/>
              <w:rPr>
                <w:spacing w:val="-6"/>
                <w:szCs w:val="21"/>
              </w:rPr>
            </w:pPr>
            <w:r>
              <w:rPr>
                <w:spacing w:val="-6"/>
                <w:szCs w:val="21"/>
              </w:rPr>
              <w:t>22</w:t>
            </w:r>
          </w:p>
        </w:tc>
        <w:tc>
          <w:tcPr>
            <w:tcW w:w="1166" w:type="dxa"/>
            <w:tcBorders>
              <w:tl2br w:val="nil"/>
              <w:tr2bl w:val="nil"/>
            </w:tcBorders>
            <w:vAlign w:val="center"/>
          </w:tcPr>
          <w:p w14:paraId="4623D03B">
            <w:pPr>
              <w:jc w:val="center"/>
              <w:rPr>
                <w:kern w:val="0"/>
                <w:szCs w:val="21"/>
              </w:rPr>
            </w:pPr>
            <w:r>
              <w:rPr>
                <w:rStyle w:val="60"/>
                <w:rFonts w:ascii="Times New Roman" w:hAnsi="Times New Roman"/>
                <w:kern w:val="0"/>
                <w:sz w:val="21"/>
                <w:szCs w:val="21"/>
              </w:rPr>
              <w:t>甲醇</w:t>
            </w:r>
          </w:p>
        </w:tc>
        <w:tc>
          <w:tcPr>
            <w:tcW w:w="1406" w:type="dxa"/>
            <w:tcBorders>
              <w:tl2br w:val="nil"/>
              <w:tr2bl w:val="nil"/>
            </w:tcBorders>
          </w:tcPr>
          <w:p w14:paraId="6142A8B5">
            <w:pPr>
              <w:spacing w:before="190" w:line="187" w:lineRule="auto"/>
              <w:ind w:left="522"/>
              <w:rPr>
                <w:spacing w:val="-1"/>
                <w:szCs w:val="21"/>
              </w:rPr>
            </w:pPr>
            <w:r>
              <w:rPr>
                <w:spacing w:val="-1"/>
                <w:szCs w:val="21"/>
              </w:rPr>
              <w:t>39.6</w:t>
            </w:r>
          </w:p>
        </w:tc>
        <w:tc>
          <w:tcPr>
            <w:tcW w:w="1917" w:type="dxa"/>
            <w:tcBorders>
              <w:tl2br w:val="nil"/>
              <w:tr2bl w:val="nil"/>
            </w:tcBorders>
          </w:tcPr>
          <w:p w14:paraId="63356979">
            <w:pPr>
              <w:spacing w:before="156" w:line="219" w:lineRule="auto"/>
              <w:ind w:left="225"/>
              <w:rPr>
                <w:spacing w:val="-4"/>
                <w:szCs w:val="21"/>
              </w:rPr>
            </w:pPr>
            <w:r>
              <w:rPr>
                <w:szCs w:val="21"/>
              </w:rPr>
              <w:t>易燃液体</w:t>
            </w:r>
          </w:p>
        </w:tc>
        <w:tc>
          <w:tcPr>
            <w:tcW w:w="3263" w:type="dxa"/>
            <w:tcBorders>
              <w:tl2br w:val="nil"/>
              <w:tr2bl w:val="nil"/>
            </w:tcBorders>
          </w:tcPr>
          <w:p w14:paraId="740E6513">
            <w:pPr>
              <w:spacing w:before="176" w:line="213" w:lineRule="auto"/>
              <w:ind w:left="1047"/>
              <w:rPr>
                <w:rFonts w:eastAsia="Times New Roman"/>
                <w:spacing w:val="-1"/>
                <w:szCs w:val="21"/>
              </w:rPr>
            </w:pPr>
            <w:r>
              <w:rPr>
                <w:rStyle w:val="59"/>
                <w:rFonts w:ascii="Times New Roman" w:hAnsi="Times New Roman"/>
                <w:sz w:val="21"/>
                <w:szCs w:val="21"/>
              </w:rPr>
              <w:t>罐区</w:t>
            </w:r>
          </w:p>
        </w:tc>
      </w:tr>
      <w:tr w14:paraId="07224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474EB99A">
            <w:pPr>
              <w:spacing w:before="190" w:line="187" w:lineRule="auto"/>
              <w:ind w:left="166"/>
              <w:rPr>
                <w:spacing w:val="-6"/>
                <w:szCs w:val="21"/>
              </w:rPr>
            </w:pPr>
            <w:r>
              <w:rPr>
                <w:spacing w:val="-6"/>
                <w:szCs w:val="21"/>
              </w:rPr>
              <w:t>23</w:t>
            </w:r>
          </w:p>
        </w:tc>
        <w:tc>
          <w:tcPr>
            <w:tcW w:w="1166" w:type="dxa"/>
            <w:tcBorders>
              <w:tl2br w:val="nil"/>
              <w:tr2bl w:val="nil"/>
            </w:tcBorders>
            <w:vAlign w:val="center"/>
          </w:tcPr>
          <w:p w14:paraId="5EF2C38B">
            <w:pPr>
              <w:jc w:val="center"/>
              <w:rPr>
                <w:kern w:val="0"/>
                <w:szCs w:val="21"/>
              </w:rPr>
            </w:pPr>
            <w:r>
              <w:rPr>
                <w:rStyle w:val="60"/>
                <w:rFonts w:ascii="Times New Roman" w:hAnsi="Times New Roman"/>
                <w:kern w:val="0"/>
                <w:sz w:val="21"/>
                <w:szCs w:val="21"/>
              </w:rPr>
              <w:t>甲苯</w:t>
            </w:r>
          </w:p>
        </w:tc>
        <w:tc>
          <w:tcPr>
            <w:tcW w:w="1406" w:type="dxa"/>
            <w:tcBorders>
              <w:tl2br w:val="nil"/>
              <w:tr2bl w:val="nil"/>
            </w:tcBorders>
          </w:tcPr>
          <w:p w14:paraId="02F62AD1">
            <w:pPr>
              <w:spacing w:before="190" w:line="187" w:lineRule="auto"/>
              <w:ind w:left="522"/>
              <w:rPr>
                <w:spacing w:val="-1"/>
                <w:szCs w:val="21"/>
              </w:rPr>
            </w:pPr>
            <w:r>
              <w:rPr>
                <w:spacing w:val="-1"/>
                <w:szCs w:val="21"/>
              </w:rPr>
              <w:t>43.6</w:t>
            </w:r>
          </w:p>
        </w:tc>
        <w:tc>
          <w:tcPr>
            <w:tcW w:w="1917" w:type="dxa"/>
            <w:tcBorders>
              <w:tl2br w:val="nil"/>
              <w:tr2bl w:val="nil"/>
            </w:tcBorders>
          </w:tcPr>
          <w:p w14:paraId="3EA51BE4">
            <w:pPr>
              <w:spacing w:before="156" w:line="219" w:lineRule="auto"/>
              <w:ind w:left="225"/>
              <w:rPr>
                <w:spacing w:val="-4"/>
                <w:szCs w:val="21"/>
              </w:rPr>
            </w:pPr>
            <w:r>
              <w:rPr>
                <w:szCs w:val="21"/>
              </w:rPr>
              <w:t>易燃液体</w:t>
            </w:r>
          </w:p>
        </w:tc>
        <w:tc>
          <w:tcPr>
            <w:tcW w:w="3263" w:type="dxa"/>
            <w:tcBorders>
              <w:tl2br w:val="nil"/>
              <w:tr2bl w:val="nil"/>
            </w:tcBorders>
          </w:tcPr>
          <w:p w14:paraId="1A70065F">
            <w:pPr>
              <w:spacing w:before="176" w:line="213" w:lineRule="auto"/>
              <w:ind w:left="1047"/>
              <w:rPr>
                <w:rFonts w:eastAsia="Times New Roman"/>
                <w:spacing w:val="-1"/>
                <w:szCs w:val="21"/>
              </w:rPr>
            </w:pPr>
            <w:r>
              <w:rPr>
                <w:rStyle w:val="59"/>
                <w:rFonts w:ascii="Times New Roman" w:hAnsi="Times New Roman"/>
                <w:sz w:val="21"/>
                <w:szCs w:val="21"/>
              </w:rPr>
              <w:t>罐区</w:t>
            </w:r>
          </w:p>
        </w:tc>
      </w:tr>
      <w:tr w14:paraId="467B3D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jc w:val="center"/>
        </w:trPr>
        <w:tc>
          <w:tcPr>
            <w:tcW w:w="708" w:type="dxa"/>
            <w:tcBorders>
              <w:tl2br w:val="nil"/>
              <w:tr2bl w:val="nil"/>
            </w:tcBorders>
          </w:tcPr>
          <w:p w14:paraId="4FA3688F">
            <w:pPr>
              <w:spacing w:before="190" w:line="187" w:lineRule="auto"/>
              <w:ind w:left="166"/>
              <w:rPr>
                <w:spacing w:val="-6"/>
                <w:szCs w:val="21"/>
              </w:rPr>
            </w:pPr>
            <w:r>
              <w:rPr>
                <w:spacing w:val="-6"/>
                <w:szCs w:val="21"/>
              </w:rPr>
              <w:t>24</w:t>
            </w:r>
          </w:p>
        </w:tc>
        <w:tc>
          <w:tcPr>
            <w:tcW w:w="1166" w:type="dxa"/>
            <w:tcBorders>
              <w:tl2br w:val="nil"/>
              <w:tr2bl w:val="nil"/>
            </w:tcBorders>
            <w:vAlign w:val="center"/>
          </w:tcPr>
          <w:p w14:paraId="2783C142">
            <w:pPr>
              <w:jc w:val="center"/>
              <w:rPr>
                <w:kern w:val="0"/>
                <w:szCs w:val="21"/>
              </w:rPr>
            </w:pPr>
            <w:r>
              <w:rPr>
                <w:rStyle w:val="60"/>
                <w:rFonts w:ascii="Times New Roman" w:hAnsi="Times New Roman"/>
                <w:kern w:val="0"/>
                <w:sz w:val="21"/>
                <w:szCs w:val="21"/>
              </w:rPr>
              <w:t>氢气</w:t>
            </w:r>
          </w:p>
        </w:tc>
        <w:tc>
          <w:tcPr>
            <w:tcW w:w="1406" w:type="dxa"/>
            <w:tcBorders>
              <w:tl2br w:val="nil"/>
              <w:tr2bl w:val="nil"/>
            </w:tcBorders>
          </w:tcPr>
          <w:p w14:paraId="3C089B10">
            <w:pPr>
              <w:spacing w:before="190" w:line="187" w:lineRule="auto"/>
              <w:ind w:left="522"/>
              <w:rPr>
                <w:spacing w:val="-1"/>
                <w:szCs w:val="21"/>
              </w:rPr>
            </w:pPr>
            <w:r>
              <w:rPr>
                <w:spacing w:val="-1"/>
                <w:szCs w:val="21"/>
              </w:rPr>
              <w:t>0.12</w:t>
            </w:r>
          </w:p>
        </w:tc>
        <w:tc>
          <w:tcPr>
            <w:tcW w:w="1917" w:type="dxa"/>
            <w:tcBorders>
              <w:tl2br w:val="nil"/>
              <w:tr2bl w:val="nil"/>
            </w:tcBorders>
          </w:tcPr>
          <w:p w14:paraId="0A152205">
            <w:pPr>
              <w:spacing w:before="156" w:line="219" w:lineRule="auto"/>
              <w:ind w:left="225"/>
              <w:rPr>
                <w:spacing w:val="-4"/>
                <w:szCs w:val="21"/>
              </w:rPr>
            </w:pPr>
            <w:r>
              <w:rPr>
                <w:szCs w:val="21"/>
              </w:rPr>
              <w:t>易燃气体</w:t>
            </w:r>
          </w:p>
        </w:tc>
        <w:tc>
          <w:tcPr>
            <w:tcW w:w="3263" w:type="dxa"/>
            <w:tcBorders>
              <w:tl2br w:val="nil"/>
              <w:tr2bl w:val="nil"/>
            </w:tcBorders>
          </w:tcPr>
          <w:p w14:paraId="0BD20A53">
            <w:pPr>
              <w:spacing w:before="176" w:line="213" w:lineRule="auto"/>
              <w:ind w:left="1047"/>
              <w:rPr>
                <w:rFonts w:eastAsia="Times New Roman"/>
                <w:spacing w:val="-1"/>
                <w:szCs w:val="21"/>
              </w:rPr>
            </w:pPr>
            <w:r>
              <w:rPr>
                <w:rStyle w:val="59"/>
                <w:rFonts w:ascii="Times New Roman" w:hAnsi="Times New Roman"/>
                <w:sz w:val="21"/>
                <w:szCs w:val="21"/>
              </w:rPr>
              <w:t>钢瓶、危险品库三</w:t>
            </w:r>
          </w:p>
        </w:tc>
      </w:tr>
    </w:tbl>
    <w:p w14:paraId="53AD0CDB">
      <w:pPr>
        <w:spacing w:line="360" w:lineRule="auto"/>
        <w:ind w:firstLine="482" w:firstLineChars="200"/>
        <w:rPr>
          <w:rFonts w:eastAsiaTheme="minorEastAsia"/>
          <w:b/>
          <w:bCs/>
          <w:kern w:val="0"/>
          <w:sz w:val="24"/>
          <w:szCs w:val="24"/>
        </w:rPr>
      </w:pPr>
      <w:r>
        <w:rPr>
          <w:rFonts w:eastAsiaTheme="minorEastAsia"/>
          <w:b/>
          <w:bCs/>
          <w:kern w:val="0"/>
          <w:sz w:val="24"/>
          <w:szCs w:val="24"/>
        </w:rPr>
        <w:t>（2）重点监管的危险化工工艺辨识</w:t>
      </w:r>
    </w:p>
    <w:p w14:paraId="1D5B57AF">
      <w:pPr>
        <w:widowControl/>
        <w:spacing w:line="360" w:lineRule="auto"/>
        <w:ind w:firstLine="436" w:firstLineChars="200"/>
        <w:jc w:val="left"/>
        <w:rPr>
          <w:sz w:val="24"/>
          <w:szCs w:val="24"/>
        </w:rPr>
      </w:pPr>
      <w:r>
        <w:rPr>
          <w:spacing w:val="-11"/>
          <w:sz w:val="24"/>
          <w:szCs w:val="24"/>
        </w:rPr>
        <w:t>因</w:t>
      </w:r>
      <w:r>
        <w:rPr>
          <w:spacing w:val="-10"/>
          <w:sz w:val="24"/>
          <w:szCs w:val="24"/>
        </w:rPr>
        <w:t>恒诚制药部分已停产，涉及的危险工艺氯化工艺已停产，不</w:t>
      </w:r>
      <w:r>
        <w:rPr>
          <w:sz w:val="24"/>
          <w:szCs w:val="24"/>
        </w:rPr>
        <w:t>再进行辨识和分析。对照《国家安全监管总局关于公布首批重点监管的危险化工 工艺目录的通知》(安监总管三〔2009〕116号)、《国家安全监管总局关于公布第二批重点监管危险化工工艺目录和调整首批重点监管危险化工工艺中部分典型工艺的通知》(安监总管三〔2013〕3号)，化工园区四至范围内已入驻的德邦化工、恒诚制药、水卫士环保科技、国瑞药业四家化工企业涉及的危险化工工艺，辨识情况见</w:t>
      </w:r>
      <w:r>
        <w:rPr>
          <w:spacing w:val="-4"/>
          <w:sz w:val="24"/>
          <w:szCs w:val="24"/>
        </w:rPr>
        <w:t>表9</w:t>
      </w:r>
      <w:r>
        <w:rPr>
          <w:rFonts w:eastAsia="Times New Roman"/>
          <w:spacing w:val="-4"/>
          <w:sz w:val="24"/>
          <w:szCs w:val="24"/>
        </w:rPr>
        <w:t>.</w:t>
      </w:r>
      <w:r>
        <w:rPr>
          <w:spacing w:val="-4"/>
          <w:sz w:val="24"/>
          <w:szCs w:val="24"/>
        </w:rPr>
        <w:t>2</w:t>
      </w:r>
      <w:r>
        <w:rPr>
          <w:rFonts w:eastAsia="Times New Roman"/>
          <w:spacing w:val="-4"/>
          <w:sz w:val="24"/>
          <w:szCs w:val="24"/>
        </w:rPr>
        <w:t>-</w:t>
      </w:r>
      <w:r>
        <w:rPr>
          <w:spacing w:val="-4"/>
          <w:sz w:val="24"/>
          <w:szCs w:val="24"/>
        </w:rPr>
        <w:t>2</w:t>
      </w:r>
      <w:r>
        <w:rPr>
          <w:sz w:val="24"/>
          <w:szCs w:val="24"/>
        </w:rPr>
        <w:t>。</w:t>
      </w:r>
    </w:p>
    <w:p w14:paraId="09C5624C">
      <w:pPr>
        <w:spacing w:line="360" w:lineRule="auto"/>
        <w:ind w:firstLine="464" w:firstLineChars="200"/>
        <w:rPr>
          <w:sz w:val="24"/>
          <w:szCs w:val="24"/>
        </w:rPr>
      </w:pPr>
      <w:r>
        <w:rPr>
          <w:spacing w:val="-4"/>
          <w:sz w:val="24"/>
          <w:szCs w:val="24"/>
        </w:rPr>
        <w:t>表9</w:t>
      </w:r>
      <w:r>
        <w:rPr>
          <w:rFonts w:eastAsia="Times New Roman"/>
          <w:spacing w:val="-4"/>
          <w:sz w:val="24"/>
          <w:szCs w:val="24"/>
        </w:rPr>
        <w:t>.</w:t>
      </w:r>
      <w:r>
        <w:rPr>
          <w:spacing w:val="-4"/>
          <w:sz w:val="24"/>
          <w:szCs w:val="24"/>
        </w:rPr>
        <w:t>2</w:t>
      </w:r>
      <w:r>
        <w:rPr>
          <w:rFonts w:eastAsia="Times New Roman"/>
          <w:spacing w:val="-4"/>
          <w:sz w:val="24"/>
          <w:szCs w:val="24"/>
        </w:rPr>
        <w:t>-</w:t>
      </w:r>
      <w:r>
        <w:rPr>
          <w:spacing w:val="-4"/>
          <w:sz w:val="24"/>
          <w:szCs w:val="24"/>
        </w:rPr>
        <w:t>2</w:t>
      </w:r>
      <w:r>
        <w:rPr>
          <w:spacing w:val="-1"/>
          <w:sz w:val="24"/>
          <w:szCs w:val="24"/>
        </w:rPr>
        <w:t>化工园区</w:t>
      </w:r>
      <w:r>
        <w:rPr>
          <w:sz w:val="24"/>
          <w:szCs w:val="24"/>
        </w:rPr>
        <w:t>重点监管的危险化工工艺辨识表</w:t>
      </w:r>
    </w:p>
    <w:tbl>
      <w:tblPr>
        <w:tblStyle w:val="58"/>
        <w:tblW w:w="879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2"/>
        <w:gridCol w:w="1288"/>
        <w:gridCol w:w="1862"/>
        <w:gridCol w:w="1300"/>
        <w:gridCol w:w="3625"/>
      </w:tblGrid>
      <w:tr w14:paraId="37DB3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722" w:type="dxa"/>
          </w:tcPr>
          <w:p w14:paraId="29770A0D">
            <w:pPr>
              <w:spacing w:before="154" w:line="222" w:lineRule="auto"/>
              <w:ind w:left="153"/>
              <w:rPr>
                <w:szCs w:val="21"/>
              </w:rPr>
            </w:pPr>
            <w:r>
              <w:rPr>
                <w:spacing w:val="-2"/>
                <w:szCs w:val="21"/>
              </w:rPr>
              <w:t>序</w:t>
            </w:r>
            <w:r>
              <w:rPr>
                <w:spacing w:val="-1"/>
                <w:szCs w:val="21"/>
              </w:rPr>
              <w:t>号</w:t>
            </w:r>
          </w:p>
        </w:tc>
        <w:tc>
          <w:tcPr>
            <w:tcW w:w="1288" w:type="dxa"/>
          </w:tcPr>
          <w:p w14:paraId="6E341D31">
            <w:pPr>
              <w:spacing w:before="154" w:line="221" w:lineRule="auto"/>
              <w:ind w:left="286"/>
              <w:rPr>
                <w:szCs w:val="21"/>
              </w:rPr>
            </w:pPr>
            <w:r>
              <w:rPr>
                <w:spacing w:val="-2"/>
                <w:szCs w:val="21"/>
              </w:rPr>
              <w:t>危</w:t>
            </w:r>
            <w:r>
              <w:rPr>
                <w:spacing w:val="-1"/>
                <w:szCs w:val="21"/>
              </w:rPr>
              <w:t>险工艺</w:t>
            </w:r>
          </w:p>
        </w:tc>
        <w:tc>
          <w:tcPr>
            <w:tcW w:w="1862" w:type="dxa"/>
          </w:tcPr>
          <w:p w14:paraId="734807DA">
            <w:pPr>
              <w:spacing w:before="154" w:line="235" w:lineRule="auto"/>
              <w:ind w:left="282"/>
              <w:rPr>
                <w:szCs w:val="21"/>
              </w:rPr>
            </w:pPr>
            <w:r>
              <w:rPr>
                <w:spacing w:val="1"/>
                <w:szCs w:val="21"/>
              </w:rPr>
              <w:t>所在装</w:t>
            </w:r>
            <w:r>
              <w:rPr>
                <w:szCs w:val="21"/>
              </w:rPr>
              <w:t>置</w:t>
            </w:r>
            <w:r>
              <w:rPr>
                <w:rFonts w:eastAsia="Times New Roman"/>
                <w:b/>
                <w:bCs/>
                <w:szCs w:val="21"/>
              </w:rPr>
              <w:t>/</w:t>
            </w:r>
            <w:r>
              <w:rPr>
                <w:szCs w:val="21"/>
              </w:rPr>
              <w:t>工序</w:t>
            </w:r>
          </w:p>
        </w:tc>
        <w:tc>
          <w:tcPr>
            <w:tcW w:w="1300" w:type="dxa"/>
          </w:tcPr>
          <w:p w14:paraId="51A0E919">
            <w:pPr>
              <w:spacing w:before="153" w:line="221" w:lineRule="auto"/>
              <w:rPr>
                <w:szCs w:val="21"/>
              </w:rPr>
            </w:pPr>
            <w:r>
              <w:rPr>
                <w:spacing w:val="-1"/>
                <w:szCs w:val="21"/>
              </w:rPr>
              <w:t>所在公</w:t>
            </w:r>
            <w:r>
              <w:rPr>
                <w:szCs w:val="21"/>
              </w:rPr>
              <w:t>司</w:t>
            </w:r>
          </w:p>
        </w:tc>
        <w:tc>
          <w:tcPr>
            <w:tcW w:w="3625" w:type="dxa"/>
          </w:tcPr>
          <w:p w14:paraId="21BB03D8">
            <w:pPr>
              <w:spacing w:before="154" w:line="221" w:lineRule="auto"/>
              <w:ind w:left="1091"/>
              <w:rPr>
                <w:szCs w:val="21"/>
              </w:rPr>
            </w:pPr>
            <w:r>
              <w:rPr>
                <w:szCs w:val="21"/>
              </w:rPr>
              <w:t>配备的自控系统</w:t>
            </w:r>
          </w:p>
        </w:tc>
      </w:tr>
      <w:tr w14:paraId="54555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2" w:hRule="atLeast"/>
        </w:trPr>
        <w:tc>
          <w:tcPr>
            <w:tcW w:w="722" w:type="dxa"/>
          </w:tcPr>
          <w:p w14:paraId="0277BD71">
            <w:pPr>
              <w:spacing w:line="280" w:lineRule="auto"/>
            </w:pPr>
          </w:p>
          <w:p w14:paraId="26B82BFA">
            <w:pPr>
              <w:spacing w:before="60" w:line="187" w:lineRule="auto"/>
              <w:ind w:left="170"/>
              <w:rPr>
                <w:rFonts w:eastAsia="Times New Roman"/>
                <w:szCs w:val="21"/>
              </w:rPr>
            </w:pPr>
            <w:r>
              <w:rPr>
                <w:rFonts w:eastAsia="Times New Roman"/>
                <w:szCs w:val="21"/>
              </w:rPr>
              <w:t>1</w:t>
            </w:r>
          </w:p>
        </w:tc>
        <w:tc>
          <w:tcPr>
            <w:tcW w:w="1288" w:type="dxa"/>
          </w:tcPr>
          <w:p w14:paraId="4EC35B2A">
            <w:pPr>
              <w:rPr>
                <w:szCs w:val="21"/>
              </w:rPr>
            </w:pPr>
            <w:r>
              <w:rPr>
                <w:spacing w:val="-2"/>
                <w:szCs w:val="21"/>
              </w:rPr>
              <w:t>新</w:t>
            </w:r>
            <w:r>
              <w:rPr>
                <w:spacing w:val="-1"/>
                <w:szCs w:val="21"/>
              </w:rPr>
              <w:t>型煤化工</w:t>
            </w:r>
            <w:r>
              <w:rPr>
                <w:spacing w:val="-3"/>
                <w:szCs w:val="21"/>
              </w:rPr>
              <w:t>工</w:t>
            </w:r>
            <w:r>
              <w:rPr>
                <w:spacing w:val="-2"/>
                <w:szCs w:val="21"/>
              </w:rPr>
              <w:t>艺</w:t>
            </w:r>
          </w:p>
        </w:tc>
        <w:tc>
          <w:tcPr>
            <w:tcW w:w="1862" w:type="dxa"/>
          </w:tcPr>
          <w:p w14:paraId="47E3087A">
            <w:pPr>
              <w:spacing w:before="308" w:line="219" w:lineRule="auto"/>
              <w:ind w:left="154"/>
              <w:rPr>
                <w:szCs w:val="21"/>
              </w:rPr>
            </w:pPr>
            <w:r>
              <w:rPr>
                <w:spacing w:val="-1"/>
                <w:szCs w:val="21"/>
              </w:rPr>
              <w:t>煤转化煤</w:t>
            </w:r>
            <w:r>
              <w:rPr>
                <w:szCs w:val="21"/>
              </w:rPr>
              <w:t>气发生炉</w:t>
            </w:r>
          </w:p>
        </w:tc>
        <w:tc>
          <w:tcPr>
            <w:tcW w:w="1300" w:type="dxa"/>
          </w:tcPr>
          <w:p w14:paraId="34EBF9A5">
            <w:pPr>
              <w:spacing w:before="308" w:line="221" w:lineRule="auto"/>
              <w:rPr>
                <w:szCs w:val="21"/>
              </w:rPr>
            </w:pPr>
            <w:r>
              <w:rPr>
                <w:spacing w:val="-2"/>
                <w:szCs w:val="21"/>
              </w:rPr>
              <w:t>德邦</w:t>
            </w:r>
            <w:r>
              <w:rPr>
                <w:spacing w:val="-1"/>
                <w:szCs w:val="21"/>
              </w:rPr>
              <w:t>化工</w:t>
            </w:r>
          </w:p>
        </w:tc>
        <w:tc>
          <w:tcPr>
            <w:tcW w:w="3625" w:type="dxa"/>
          </w:tcPr>
          <w:p w14:paraId="42A31431">
            <w:pPr>
              <w:spacing w:before="153" w:line="287" w:lineRule="auto"/>
              <w:ind w:left="116" w:right="108" w:hanging="1"/>
              <w:rPr>
                <w:szCs w:val="21"/>
              </w:rPr>
            </w:pPr>
            <w:r>
              <w:rPr>
                <w:spacing w:val="5"/>
                <w:szCs w:val="21"/>
              </w:rPr>
              <w:t>设置</w:t>
            </w:r>
            <w:r>
              <w:rPr>
                <w:rFonts w:eastAsia="Times New Roman"/>
                <w:szCs w:val="21"/>
              </w:rPr>
              <w:t>DCS</w:t>
            </w:r>
            <w:r>
              <w:rPr>
                <w:spacing w:val="5"/>
                <w:szCs w:val="21"/>
              </w:rPr>
              <w:t>自动化控制系统，未设</w:t>
            </w:r>
            <w:r>
              <w:rPr>
                <w:spacing w:val="4"/>
                <w:szCs w:val="21"/>
              </w:rPr>
              <w:t>置</w:t>
            </w:r>
            <w:r>
              <w:rPr>
                <w:rFonts w:eastAsia="Times New Roman"/>
                <w:spacing w:val="-1"/>
                <w:szCs w:val="21"/>
              </w:rPr>
              <w:t>SIS</w:t>
            </w:r>
            <w:r>
              <w:rPr>
                <w:spacing w:val="-1"/>
                <w:szCs w:val="21"/>
              </w:rPr>
              <w:t>安全仪表系统</w:t>
            </w:r>
          </w:p>
        </w:tc>
      </w:tr>
      <w:tr w14:paraId="015F1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22" w:type="dxa"/>
          </w:tcPr>
          <w:p w14:paraId="3128EED3">
            <w:pPr>
              <w:spacing w:line="279" w:lineRule="auto"/>
            </w:pPr>
          </w:p>
          <w:p w14:paraId="0A363460">
            <w:pPr>
              <w:spacing w:before="61" w:line="187" w:lineRule="auto"/>
              <w:ind w:left="150"/>
              <w:rPr>
                <w:rFonts w:eastAsia="Times New Roman"/>
                <w:szCs w:val="21"/>
              </w:rPr>
            </w:pPr>
            <w:r>
              <w:rPr>
                <w:rFonts w:eastAsia="Times New Roman"/>
                <w:szCs w:val="21"/>
              </w:rPr>
              <w:t>2</w:t>
            </w:r>
          </w:p>
        </w:tc>
        <w:tc>
          <w:tcPr>
            <w:tcW w:w="1288" w:type="dxa"/>
          </w:tcPr>
          <w:p w14:paraId="27A0C498">
            <w:pPr>
              <w:spacing w:before="308" w:line="218" w:lineRule="auto"/>
              <w:ind w:left="182"/>
              <w:rPr>
                <w:szCs w:val="21"/>
              </w:rPr>
            </w:pPr>
            <w:r>
              <w:rPr>
                <w:spacing w:val="-2"/>
                <w:szCs w:val="21"/>
              </w:rPr>
              <w:t>合</w:t>
            </w:r>
            <w:r>
              <w:rPr>
                <w:spacing w:val="-1"/>
                <w:szCs w:val="21"/>
              </w:rPr>
              <w:t>成氨工艺</w:t>
            </w:r>
          </w:p>
        </w:tc>
        <w:tc>
          <w:tcPr>
            <w:tcW w:w="1862" w:type="dxa"/>
          </w:tcPr>
          <w:p w14:paraId="1E0946BC">
            <w:pPr>
              <w:spacing w:before="308" w:line="218" w:lineRule="auto"/>
              <w:ind w:left="575"/>
              <w:rPr>
                <w:szCs w:val="21"/>
              </w:rPr>
            </w:pPr>
            <w:r>
              <w:rPr>
                <w:spacing w:val="-2"/>
                <w:szCs w:val="21"/>
              </w:rPr>
              <w:t>氨</w:t>
            </w:r>
            <w:r>
              <w:rPr>
                <w:spacing w:val="-1"/>
                <w:szCs w:val="21"/>
              </w:rPr>
              <w:t>合成塔</w:t>
            </w:r>
          </w:p>
        </w:tc>
        <w:tc>
          <w:tcPr>
            <w:tcW w:w="1300" w:type="dxa"/>
          </w:tcPr>
          <w:p w14:paraId="0B6D794D">
            <w:pPr>
              <w:spacing w:before="308" w:line="221" w:lineRule="auto"/>
              <w:rPr>
                <w:szCs w:val="21"/>
              </w:rPr>
            </w:pPr>
            <w:r>
              <w:rPr>
                <w:spacing w:val="-2"/>
                <w:szCs w:val="21"/>
              </w:rPr>
              <w:t>德邦</w:t>
            </w:r>
            <w:r>
              <w:rPr>
                <w:spacing w:val="-1"/>
                <w:szCs w:val="21"/>
              </w:rPr>
              <w:t>化工</w:t>
            </w:r>
          </w:p>
        </w:tc>
        <w:tc>
          <w:tcPr>
            <w:tcW w:w="3625" w:type="dxa"/>
          </w:tcPr>
          <w:p w14:paraId="1AFDA592">
            <w:pPr>
              <w:spacing w:before="150" w:line="288" w:lineRule="auto"/>
              <w:ind w:left="116" w:right="108" w:hanging="1"/>
              <w:rPr>
                <w:szCs w:val="21"/>
              </w:rPr>
            </w:pPr>
            <w:r>
              <w:rPr>
                <w:spacing w:val="5"/>
                <w:szCs w:val="21"/>
              </w:rPr>
              <w:t>设置</w:t>
            </w:r>
            <w:r>
              <w:rPr>
                <w:rFonts w:eastAsia="Times New Roman"/>
                <w:szCs w:val="21"/>
              </w:rPr>
              <w:t>DCS</w:t>
            </w:r>
            <w:r>
              <w:rPr>
                <w:spacing w:val="5"/>
                <w:szCs w:val="21"/>
              </w:rPr>
              <w:t>自动化控制系统，未设</w:t>
            </w:r>
            <w:r>
              <w:rPr>
                <w:spacing w:val="4"/>
                <w:szCs w:val="21"/>
              </w:rPr>
              <w:t>置</w:t>
            </w:r>
            <w:r>
              <w:rPr>
                <w:rFonts w:eastAsia="Times New Roman"/>
                <w:spacing w:val="-1"/>
                <w:szCs w:val="21"/>
              </w:rPr>
              <w:t>SIS</w:t>
            </w:r>
            <w:r>
              <w:rPr>
                <w:spacing w:val="-1"/>
                <w:szCs w:val="21"/>
              </w:rPr>
              <w:t>安全仪表系统</w:t>
            </w:r>
          </w:p>
        </w:tc>
      </w:tr>
      <w:tr w14:paraId="488D2D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22" w:type="dxa"/>
          </w:tcPr>
          <w:p w14:paraId="14F4ECAB">
            <w:pPr>
              <w:spacing w:line="280" w:lineRule="auto"/>
            </w:pPr>
          </w:p>
          <w:p w14:paraId="2258E066">
            <w:pPr>
              <w:spacing w:before="61" w:line="187" w:lineRule="auto"/>
              <w:ind w:left="154"/>
              <w:rPr>
                <w:rFonts w:eastAsia="Times New Roman"/>
                <w:szCs w:val="21"/>
              </w:rPr>
            </w:pPr>
            <w:r>
              <w:rPr>
                <w:rFonts w:eastAsia="Times New Roman"/>
                <w:szCs w:val="21"/>
              </w:rPr>
              <w:t>3</w:t>
            </w:r>
          </w:p>
        </w:tc>
        <w:tc>
          <w:tcPr>
            <w:tcW w:w="1288" w:type="dxa"/>
          </w:tcPr>
          <w:p w14:paraId="364670B9">
            <w:pPr>
              <w:spacing w:before="308" w:line="217" w:lineRule="auto"/>
              <w:ind w:left="182"/>
              <w:rPr>
                <w:szCs w:val="21"/>
              </w:rPr>
            </w:pPr>
            <w:r>
              <w:rPr>
                <w:spacing w:val="-2"/>
                <w:szCs w:val="21"/>
              </w:rPr>
              <w:t>重</w:t>
            </w:r>
            <w:r>
              <w:rPr>
                <w:spacing w:val="-1"/>
                <w:szCs w:val="21"/>
              </w:rPr>
              <w:t>氮化工艺</w:t>
            </w:r>
          </w:p>
        </w:tc>
        <w:tc>
          <w:tcPr>
            <w:tcW w:w="1862" w:type="dxa"/>
          </w:tcPr>
          <w:p w14:paraId="6C378465">
            <w:pPr>
              <w:spacing w:before="308" w:line="217" w:lineRule="auto"/>
              <w:ind w:left="595"/>
              <w:rPr>
                <w:szCs w:val="21"/>
              </w:rPr>
            </w:pPr>
            <w:r>
              <w:rPr>
                <w:spacing w:val="-7"/>
                <w:szCs w:val="21"/>
              </w:rPr>
              <w:t>中</w:t>
            </w:r>
            <w:r>
              <w:rPr>
                <w:spacing w:val="-6"/>
                <w:szCs w:val="21"/>
              </w:rPr>
              <w:t>试车间</w:t>
            </w:r>
          </w:p>
        </w:tc>
        <w:tc>
          <w:tcPr>
            <w:tcW w:w="1300" w:type="dxa"/>
          </w:tcPr>
          <w:p w14:paraId="5ECD7126">
            <w:pPr>
              <w:spacing w:before="309" w:line="221" w:lineRule="auto"/>
              <w:rPr>
                <w:szCs w:val="21"/>
              </w:rPr>
            </w:pPr>
            <w:r>
              <w:rPr>
                <w:spacing w:val="-8"/>
                <w:szCs w:val="21"/>
              </w:rPr>
              <w:t>国</w:t>
            </w:r>
            <w:r>
              <w:rPr>
                <w:spacing w:val="-6"/>
                <w:szCs w:val="21"/>
              </w:rPr>
              <w:t>瑞制药</w:t>
            </w:r>
          </w:p>
        </w:tc>
        <w:tc>
          <w:tcPr>
            <w:tcW w:w="3625" w:type="dxa"/>
          </w:tcPr>
          <w:p w14:paraId="2BE25FF9">
            <w:pPr>
              <w:spacing w:before="152"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42602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79EB091">
            <w:pPr>
              <w:spacing w:line="284" w:lineRule="auto"/>
            </w:pPr>
          </w:p>
          <w:p w14:paraId="47331E08">
            <w:pPr>
              <w:spacing w:before="60" w:line="187" w:lineRule="auto"/>
              <w:ind w:left="149"/>
              <w:rPr>
                <w:rFonts w:eastAsia="Times New Roman"/>
                <w:szCs w:val="21"/>
              </w:rPr>
            </w:pPr>
            <w:r>
              <w:rPr>
                <w:rFonts w:eastAsia="Times New Roman"/>
                <w:szCs w:val="21"/>
              </w:rPr>
              <w:t>4</w:t>
            </w:r>
          </w:p>
        </w:tc>
        <w:tc>
          <w:tcPr>
            <w:tcW w:w="1288" w:type="dxa"/>
          </w:tcPr>
          <w:p w14:paraId="4C711AE6"/>
          <w:p w14:paraId="3094C875">
            <w:pPr>
              <w:spacing w:before="68" w:line="222" w:lineRule="auto"/>
              <w:ind w:left="288"/>
              <w:rPr>
                <w:szCs w:val="21"/>
              </w:rPr>
            </w:pPr>
            <w:r>
              <w:rPr>
                <w:spacing w:val="-2"/>
                <w:szCs w:val="21"/>
              </w:rPr>
              <w:t>硝化工</w:t>
            </w:r>
            <w:r>
              <w:rPr>
                <w:spacing w:val="-1"/>
                <w:szCs w:val="21"/>
              </w:rPr>
              <w:t>艺</w:t>
            </w:r>
          </w:p>
        </w:tc>
        <w:tc>
          <w:tcPr>
            <w:tcW w:w="1862" w:type="dxa"/>
          </w:tcPr>
          <w:p w14:paraId="14F14F70"/>
          <w:p w14:paraId="732376A3">
            <w:pPr>
              <w:spacing w:before="68" w:line="217" w:lineRule="auto"/>
              <w:ind w:left="595"/>
              <w:rPr>
                <w:szCs w:val="21"/>
              </w:rPr>
            </w:pPr>
            <w:r>
              <w:rPr>
                <w:spacing w:val="-7"/>
                <w:szCs w:val="21"/>
              </w:rPr>
              <w:t>中</w:t>
            </w:r>
            <w:r>
              <w:rPr>
                <w:spacing w:val="-6"/>
                <w:szCs w:val="21"/>
              </w:rPr>
              <w:t>试车间</w:t>
            </w:r>
          </w:p>
        </w:tc>
        <w:tc>
          <w:tcPr>
            <w:tcW w:w="1300" w:type="dxa"/>
          </w:tcPr>
          <w:p w14:paraId="3EF298E0"/>
          <w:p w14:paraId="6A13FE75">
            <w:pPr>
              <w:spacing w:before="68" w:line="221" w:lineRule="auto"/>
              <w:rPr>
                <w:szCs w:val="21"/>
              </w:rPr>
            </w:pPr>
            <w:r>
              <w:rPr>
                <w:spacing w:val="-8"/>
                <w:szCs w:val="21"/>
              </w:rPr>
              <w:t>国</w:t>
            </w:r>
            <w:r>
              <w:rPr>
                <w:spacing w:val="-6"/>
                <w:szCs w:val="21"/>
              </w:rPr>
              <w:t>瑞制药</w:t>
            </w:r>
          </w:p>
        </w:tc>
        <w:tc>
          <w:tcPr>
            <w:tcW w:w="3625" w:type="dxa"/>
          </w:tcPr>
          <w:p w14:paraId="18F796A7">
            <w:pPr>
              <w:spacing w:before="153" w:line="290"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118EF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C860A25">
            <w:pPr>
              <w:spacing w:line="283" w:lineRule="auto"/>
            </w:pPr>
          </w:p>
          <w:p w14:paraId="2DD278EB">
            <w:pPr>
              <w:spacing w:before="60" w:line="184" w:lineRule="auto"/>
              <w:ind w:left="156"/>
              <w:rPr>
                <w:rFonts w:eastAsia="Times New Roman"/>
                <w:szCs w:val="21"/>
              </w:rPr>
            </w:pPr>
            <w:r>
              <w:rPr>
                <w:rFonts w:eastAsia="Times New Roman"/>
                <w:szCs w:val="21"/>
              </w:rPr>
              <w:t>5</w:t>
            </w:r>
          </w:p>
        </w:tc>
        <w:tc>
          <w:tcPr>
            <w:tcW w:w="1288" w:type="dxa"/>
          </w:tcPr>
          <w:p w14:paraId="6902A1C9">
            <w:pPr>
              <w:spacing w:before="309" w:line="221" w:lineRule="auto"/>
              <w:ind w:left="182"/>
              <w:rPr>
                <w:szCs w:val="21"/>
              </w:rPr>
            </w:pPr>
            <w:r>
              <w:rPr>
                <w:spacing w:val="-2"/>
                <w:szCs w:val="21"/>
              </w:rPr>
              <w:t>烷</w:t>
            </w:r>
            <w:r>
              <w:rPr>
                <w:spacing w:val="-1"/>
                <w:szCs w:val="21"/>
              </w:rPr>
              <w:t>基化工艺</w:t>
            </w:r>
          </w:p>
        </w:tc>
        <w:tc>
          <w:tcPr>
            <w:tcW w:w="1862" w:type="dxa"/>
          </w:tcPr>
          <w:p w14:paraId="614F0AF2">
            <w:pPr>
              <w:spacing w:before="308" w:line="217" w:lineRule="auto"/>
              <w:ind w:left="595"/>
              <w:rPr>
                <w:szCs w:val="21"/>
              </w:rPr>
            </w:pPr>
            <w:r>
              <w:rPr>
                <w:spacing w:val="-7"/>
                <w:szCs w:val="21"/>
              </w:rPr>
              <w:t>中</w:t>
            </w:r>
            <w:r>
              <w:rPr>
                <w:spacing w:val="-6"/>
                <w:szCs w:val="21"/>
              </w:rPr>
              <w:t>试车间</w:t>
            </w:r>
          </w:p>
        </w:tc>
        <w:tc>
          <w:tcPr>
            <w:tcW w:w="1300" w:type="dxa"/>
          </w:tcPr>
          <w:p w14:paraId="7A66C8CB">
            <w:pPr>
              <w:spacing w:before="309" w:line="221" w:lineRule="auto"/>
              <w:rPr>
                <w:szCs w:val="21"/>
              </w:rPr>
            </w:pPr>
            <w:r>
              <w:rPr>
                <w:spacing w:val="-8"/>
                <w:szCs w:val="21"/>
              </w:rPr>
              <w:t>国</w:t>
            </w:r>
            <w:r>
              <w:rPr>
                <w:spacing w:val="-6"/>
                <w:szCs w:val="21"/>
              </w:rPr>
              <w:t>瑞制药</w:t>
            </w:r>
          </w:p>
        </w:tc>
        <w:tc>
          <w:tcPr>
            <w:tcW w:w="3625" w:type="dxa"/>
          </w:tcPr>
          <w:p w14:paraId="7D2A8FD4">
            <w:pPr>
              <w:spacing w:before="152"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7F5AF7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0FBB99D8">
            <w:pPr>
              <w:spacing w:line="278" w:lineRule="auto"/>
            </w:pPr>
          </w:p>
          <w:p w14:paraId="4385DF2E">
            <w:pPr>
              <w:spacing w:before="60" w:line="187" w:lineRule="auto"/>
              <w:ind w:left="155"/>
              <w:rPr>
                <w:rFonts w:eastAsia="Times New Roman"/>
                <w:szCs w:val="21"/>
              </w:rPr>
            </w:pPr>
            <w:r>
              <w:rPr>
                <w:rFonts w:eastAsia="Times New Roman"/>
                <w:szCs w:val="21"/>
              </w:rPr>
              <w:t>6</w:t>
            </w:r>
          </w:p>
        </w:tc>
        <w:tc>
          <w:tcPr>
            <w:tcW w:w="1288" w:type="dxa"/>
          </w:tcPr>
          <w:p w14:paraId="5F88BA7E">
            <w:pPr>
              <w:spacing w:before="307" w:line="218" w:lineRule="auto"/>
              <w:ind w:left="182"/>
              <w:rPr>
                <w:szCs w:val="21"/>
              </w:rPr>
            </w:pPr>
            <w:r>
              <w:rPr>
                <w:spacing w:val="-2"/>
                <w:szCs w:val="21"/>
              </w:rPr>
              <w:t>合</w:t>
            </w:r>
            <w:r>
              <w:rPr>
                <w:spacing w:val="-1"/>
                <w:szCs w:val="21"/>
              </w:rPr>
              <w:t>成氨工艺</w:t>
            </w:r>
          </w:p>
        </w:tc>
        <w:tc>
          <w:tcPr>
            <w:tcW w:w="1862" w:type="dxa"/>
          </w:tcPr>
          <w:p w14:paraId="5F9DABC6">
            <w:pPr>
              <w:spacing w:before="306" w:line="217" w:lineRule="auto"/>
              <w:ind w:left="595"/>
              <w:rPr>
                <w:szCs w:val="21"/>
              </w:rPr>
            </w:pPr>
            <w:r>
              <w:rPr>
                <w:spacing w:val="-7"/>
                <w:szCs w:val="21"/>
              </w:rPr>
              <w:t>中</w:t>
            </w:r>
            <w:r>
              <w:rPr>
                <w:spacing w:val="-6"/>
                <w:szCs w:val="21"/>
              </w:rPr>
              <w:t>试车间</w:t>
            </w:r>
          </w:p>
        </w:tc>
        <w:tc>
          <w:tcPr>
            <w:tcW w:w="1300" w:type="dxa"/>
          </w:tcPr>
          <w:p w14:paraId="04F0877D">
            <w:pPr>
              <w:spacing w:before="307" w:line="221" w:lineRule="auto"/>
              <w:rPr>
                <w:szCs w:val="21"/>
              </w:rPr>
            </w:pPr>
            <w:r>
              <w:rPr>
                <w:spacing w:val="-8"/>
                <w:szCs w:val="21"/>
              </w:rPr>
              <w:t>国</w:t>
            </w:r>
            <w:r>
              <w:rPr>
                <w:spacing w:val="-6"/>
                <w:szCs w:val="21"/>
              </w:rPr>
              <w:t>瑞制药</w:t>
            </w:r>
          </w:p>
        </w:tc>
        <w:tc>
          <w:tcPr>
            <w:tcW w:w="3625" w:type="dxa"/>
          </w:tcPr>
          <w:p w14:paraId="375AF011">
            <w:pPr>
              <w:spacing w:before="150"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5C9058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27E70B1C">
            <w:pPr>
              <w:spacing w:line="284" w:lineRule="auto"/>
            </w:pPr>
          </w:p>
          <w:p w14:paraId="400D86A1">
            <w:pPr>
              <w:spacing w:before="61" w:line="184" w:lineRule="auto"/>
              <w:ind w:left="154"/>
              <w:rPr>
                <w:rFonts w:eastAsia="Times New Roman"/>
                <w:szCs w:val="21"/>
              </w:rPr>
            </w:pPr>
            <w:r>
              <w:rPr>
                <w:rFonts w:eastAsia="Times New Roman"/>
                <w:szCs w:val="21"/>
              </w:rPr>
              <w:t>7</w:t>
            </w:r>
          </w:p>
        </w:tc>
        <w:tc>
          <w:tcPr>
            <w:tcW w:w="1288" w:type="dxa"/>
          </w:tcPr>
          <w:p w14:paraId="065ECFCC">
            <w:pPr>
              <w:spacing w:before="307" w:line="220" w:lineRule="auto"/>
              <w:ind w:left="287"/>
              <w:rPr>
                <w:szCs w:val="21"/>
              </w:rPr>
            </w:pPr>
            <w:r>
              <w:rPr>
                <w:spacing w:val="-2"/>
                <w:szCs w:val="21"/>
              </w:rPr>
              <w:t>氧化</w:t>
            </w:r>
            <w:r>
              <w:rPr>
                <w:spacing w:val="-1"/>
                <w:szCs w:val="21"/>
              </w:rPr>
              <w:t>工艺</w:t>
            </w:r>
          </w:p>
        </w:tc>
        <w:tc>
          <w:tcPr>
            <w:tcW w:w="1862" w:type="dxa"/>
          </w:tcPr>
          <w:p w14:paraId="0118BDF2">
            <w:pPr>
              <w:spacing w:before="307" w:line="217" w:lineRule="auto"/>
              <w:ind w:left="595"/>
              <w:rPr>
                <w:szCs w:val="21"/>
              </w:rPr>
            </w:pPr>
            <w:r>
              <w:rPr>
                <w:spacing w:val="-7"/>
                <w:szCs w:val="21"/>
              </w:rPr>
              <w:t>中</w:t>
            </w:r>
            <w:r>
              <w:rPr>
                <w:spacing w:val="-6"/>
                <w:szCs w:val="21"/>
              </w:rPr>
              <w:t>试车间</w:t>
            </w:r>
          </w:p>
        </w:tc>
        <w:tc>
          <w:tcPr>
            <w:tcW w:w="1300" w:type="dxa"/>
          </w:tcPr>
          <w:p w14:paraId="68EEA5FA">
            <w:pPr>
              <w:spacing w:before="308" w:line="221" w:lineRule="auto"/>
              <w:rPr>
                <w:szCs w:val="21"/>
              </w:rPr>
            </w:pPr>
            <w:r>
              <w:rPr>
                <w:spacing w:val="-8"/>
                <w:szCs w:val="21"/>
              </w:rPr>
              <w:t>国</w:t>
            </w:r>
            <w:r>
              <w:rPr>
                <w:spacing w:val="-6"/>
                <w:szCs w:val="21"/>
              </w:rPr>
              <w:t>瑞制药</w:t>
            </w:r>
          </w:p>
        </w:tc>
        <w:tc>
          <w:tcPr>
            <w:tcW w:w="3625" w:type="dxa"/>
          </w:tcPr>
          <w:p w14:paraId="376AFB63">
            <w:pPr>
              <w:spacing w:before="151" w:line="288" w:lineRule="auto"/>
              <w:ind w:left="112" w:right="45" w:hanging="1"/>
              <w:rPr>
                <w:szCs w:val="21"/>
              </w:rPr>
            </w:pPr>
            <w:r>
              <w:rPr>
                <w:spacing w:val="-6"/>
                <w:szCs w:val="21"/>
              </w:rPr>
              <w:t>根据安监总厅管三函〔</w:t>
            </w:r>
            <w:r>
              <w:rPr>
                <w:rFonts w:eastAsia="Times New Roman"/>
                <w:spacing w:val="-6"/>
                <w:szCs w:val="21"/>
              </w:rPr>
              <w:t>2013</w:t>
            </w:r>
            <w:r>
              <w:rPr>
                <w:spacing w:val="-6"/>
                <w:szCs w:val="21"/>
              </w:rPr>
              <w:t>〕</w:t>
            </w:r>
            <w:r>
              <w:rPr>
                <w:rFonts w:eastAsia="Times New Roman"/>
                <w:spacing w:val="-6"/>
                <w:szCs w:val="21"/>
              </w:rPr>
              <w:t>136</w:t>
            </w:r>
            <w:r>
              <w:rPr>
                <w:spacing w:val="-6"/>
                <w:szCs w:val="21"/>
              </w:rPr>
              <w:t>号</w:t>
            </w:r>
            <w:r>
              <w:rPr>
                <w:spacing w:val="-3"/>
                <w:szCs w:val="21"/>
              </w:rPr>
              <w:t>，</w:t>
            </w:r>
            <w:r>
              <w:rPr>
                <w:spacing w:val="-1"/>
                <w:szCs w:val="21"/>
              </w:rPr>
              <w:t>无需设置自动系</w:t>
            </w:r>
            <w:r>
              <w:rPr>
                <w:szCs w:val="21"/>
              </w:rPr>
              <w:t>统</w:t>
            </w:r>
          </w:p>
        </w:tc>
      </w:tr>
      <w:tr w14:paraId="3ACFA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2165F666">
            <w:pPr>
              <w:spacing w:line="282" w:lineRule="auto"/>
            </w:pPr>
          </w:p>
          <w:p w14:paraId="54CD5E19">
            <w:pPr>
              <w:spacing w:before="61" w:line="187" w:lineRule="auto"/>
              <w:ind w:left="159"/>
              <w:rPr>
                <w:rFonts w:eastAsia="Times New Roman"/>
                <w:szCs w:val="21"/>
              </w:rPr>
            </w:pPr>
            <w:r>
              <w:rPr>
                <w:rFonts w:eastAsia="Times New Roman"/>
                <w:szCs w:val="21"/>
              </w:rPr>
              <w:t>8</w:t>
            </w:r>
          </w:p>
        </w:tc>
        <w:tc>
          <w:tcPr>
            <w:tcW w:w="1288" w:type="dxa"/>
          </w:tcPr>
          <w:p w14:paraId="507BC0D4">
            <w:pPr>
              <w:spacing w:before="308" w:line="220" w:lineRule="auto"/>
              <w:ind w:left="285"/>
              <w:rPr>
                <w:szCs w:val="21"/>
              </w:rPr>
            </w:pPr>
            <w:r>
              <w:rPr>
                <w:spacing w:val="-1"/>
                <w:szCs w:val="21"/>
              </w:rPr>
              <w:t>磺化工</w:t>
            </w:r>
            <w:r>
              <w:rPr>
                <w:szCs w:val="21"/>
              </w:rPr>
              <w:t>艺</w:t>
            </w:r>
          </w:p>
        </w:tc>
        <w:tc>
          <w:tcPr>
            <w:tcW w:w="1862" w:type="dxa"/>
          </w:tcPr>
          <w:p w14:paraId="7F871D3A">
            <w:pPr>
              <w:spacing w:before="308" w:line="217" w:lineRule="auto"/>
              <w:ind w:left="595"/>
              <w:rPr>
                <w:szCs w:val="21"/>
              </w:rPr>
            </w:pPr>
            <w:r>
              <w:rPr>
                <w:spacing w:val="-7"/>
                <w:szCs w:val="21"/>
              </w:rPr>
              <w:t>中</w:t>
            </w:r>
            <w:r>
              <w:rPr>
                <w:spacing w:val="-6"/>
                <w:szCs w:val="21"/>
              </w:rPr>
              <w:t>试车间</w:t>
            </w:r>
          </w:p>
        </w:tc>
        <w:tc>
          <w:tcPr>
            <w:tcW w:w="1300" w:type="dxa"/>
          </w:tcPr>
          <w:p w14:paraId="23A4AB37">
            <w:pPr>
              <w:spacing w:before="309" w:line="221" w:lineRule="auto"/>
              <w:rPr>
                <w:szCs w:val="21"/>
              </w:rPr>
            </w:pPr>
            <w:r>
              <w:rPr>
                <w:spacing w:val="-8"/>
                <w:szCs w:val="21"/>
              </w:rPr>
              <w:t>国</w:t>
            </w:r>
            <w:r>
              <w:rPr>
                <w:spacing w:val="-6"/>
                <w:szCs w:val="21"/>
              </w:rPr>
              <w:t>瑞制药</w:t>
            </w:r>
          </w:p>
        </w:tc>
        <w:tc>
          <w:tcPr>
            <w:tcW w:w="3625" w:type="dxa"/>
          </w:tcPr>
          <w:p w14:paraId="333663F3">
            <w:pPr>
              <w:spacing w:before="152" w:line="290" w:lineRule="auto"/>
              <w:ind w:left="112" w:right="45" w:hanging="1"/>
              <w:rPr>
                <w:szCs w:val="21"/>
              </w:rPr>
            </w:pPr>
            <w:r>
              <w:rPr>
                <w:spacing w:val="-6"/>
                <w:szCs w:val="21"/>
              </w:rPr>
              <w:t>根据安监总厅管三函 〔</w:t>
            </w:r>
            <w:r>
              <w:rPr>
                <w:rFonts w:eastAsia="Times New Roman"/>
                <w:spacing w:val="-6"/>
                <w:szCs w:val="21"/>
              </w:rPr>
              <w:t>2013</w:t>
            </w:r>
            <w:r>
              <w:rPr>
                <w:spacing w:val="-6"/>
                <w:szCs w:val="21"/>
              </w:rPr>
              <w:t>〕</w:t>
            </w:r>
            <w:r>
              <w:rPr>
                <w:rFonts w:eastAsia="Times New Roman"/>
                <w:spacing w:val="-6"/>
                <w:szCs w:val="21"/>
              </w:rPr>
              <w:t xml:space="preserve">136 </w:t>
            </w:r>
            <w:r>
              <w:rPr>
                <w:spacing w:val="-6"/>
                <w:szCs w:val="21"/>
              </w:rPr>
              <w:t>号</w:t>
            </w:r>
            <w:r>
              <w:rPr>
                <w:spacing w:val="-3"/>
                <w:szCs w:val="21"/>
              </w:rPr>
              <w:t>，</w:t>
            </w:r>
            <w:r>
              <w:rPr>
                <w:spacing w:val="-1"/>
                <w:szCs w:val="21"/>
              </w:rPr>
              <w:t>无需设置自动系</w:t>
            </w:r>
            <w:r>
              <w:rPr>
                <w:szCs w:val="21"/>
              </w:rPr>
              <w:t>统</w:t>
            </w:r>
          </w:p>
        </w:tc>
      </w:tr>
      <w:tr w14:paraId="175D7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455C73AD">
            <w:pPr>
              <w:spacing w:line="284" w:lineRule="auto"/>
            </w:pPr>
          </w:p>
          <w:p w14:paraId="3CD894B6">
            <w:pPr>
              <w:spacing w:before="60" w:line="187" w:lineRule="auto"/>
              <w:ind w:left="154"/>
              <w:rPr>
                <w:rFonts w:eastAsia="Times New Roman"/>
                <w:szCs w:val="21"/>
              </w:rPr>
            </w:pPr>
            <w:r>
              <w:rPr>
                <w:rFonts w:eastAsia="Times New Roman"/>
                <w:szCs w:val="21"/>
              </w:rPr>
              <w:t>9</w:t>
            </w:r>
          </w:p>
        </w:tc>
        <w:tc>
          <w:tcPr>
            <w:tcW w:w="1288" w:type="dxa"/>
          </w:tcPr>
          <w:p w14:paraId="15CE7433">
            <w:pPr>
              <w:spacing w:line="243" w:lineRule="auto"/>
            </w:pPr>
          </w:p>
          <w:p w14:paraId="1DDEE2A0">
            <w:pPr>
              <w:spacing w:before="68" w:line="219" w:lineRule="auto"/>
              <w:ind w:left="286"/>
              <w:rPr>
                <w:szCs w:val="21"/>
              </w:rPr>
            </w:pPr>
            <w:r>
              <w:rPr>
                <w:spacing w:val="-2"/>
                <w:szCs w:val="21"/>
              </w:rPr>
              <w:t>加</w:t>
            </w:r>
            <w:r>
              <w:rPr>
                <w:spacing w:val="-1"/>
                <w:szCs w:val="21"/>
              </w:rPr>
              <w:t>氢工艺</w:t>
            </w:r>
          </w:p>
        </w:tc>
        <w:tc>
          <w:tcPr>
            <w:tcW w:w="1862" w:type="dxa"/>
          </w:tcPr>
          <w:p w14:paraId="3880602B">
            <w:pPr>
              <w:spacing w:line="242" w:lineRule="auto"/>
            </w:pPr>
          </w:p>
          <w:p w14:paraId="03C1B052">
            <w:pPr>
              <w:spacing w:before="69" w:line="217" w:lineRule="auto"/>
              <w:ind w:left="595"/>
              <w:rPr>
                <w:szCs w:val="21"/>
              </w:rPr>
            </w:pPr>
            <w:r>
              <w:rPr>
                <w:spacing w:val="-7"/>
                <w:szCs w:val="21"/>
              </w:rPr>
              <w:t>中</w:t>
            </w:r>
            <w:r>
              <w:rPr>
                <w:spacing w:val="-6"/>
                <w:szCs w:val="21"/>
              </w:rPr>
              <w:t>试车间</w:t>
            </w:r>
          </w:p>
        </w:tc>
        <w:tc>
          <w:tcPr>
            <w:tcW w:w="1300" w:type="dxa"/>
          </w:tcPr>
          <w:p w14:paraId="275CE2B8">
            <w:pPr>
              <w:spacing w:line="243" w:lineRule="auto"/>
            </w:pPr>
          </w:p>
          <w:p w14:paraId="462F960D">
            <w:pPr>
              <w:spacing w:before="68" w:line="221" w:lineRule="auto"/>
              <w:rPr>
                <w:szCs w:val="21"/>
              </w:rPr>
            </w:pPr>
            <w:r>
              <w:rPr>
                <w:spacing w:val="-8"/>
                <w:szCs w:val="21"/>
              </w:rPr>
              <w:t>国</w:t>
            </w:r>
            <w:r>
              <w:rPr>
                <w:spacing w:val="-6"/>
                <w:szCs w:val="21"/>
              </w:rPr>
              <w:t>瑞制药</w:t>
            </w:r>
          </w:p>
        </w:tc>
        <w:tc>
          <w:tcPr>
            <w:tcW w:w="3625" w:type="dxa"/>
          </w:tcPr>
          <w:p w14:paraId="2FA280C9">
            <w:pPr>
              <w:spacing w:before="153" w:line="290" w:lineRule="auto"/>
              <w:ind w:left="112" w:right="45" w:hanging="1"/>
              <w:rPr>
                <w:szCs w:val="21"/>
              </w:rPr>
            </w:pPr>
            <w:r>
              <w:rPr>
                <w:spacing w:val="-6"/>
                <w:szCs w:val="21"/>
              </w:rPr>
              <w:t>根据安监总厅管三函 〔</w:t>
            </w:r>
            <w:r>
              <w:rPr>
                <w:rFonts w:eastAsia="Times New Roman"/>
                <w:spacing w:val="-6"/>
                <w:szCs w:val="21"/>
              </w:rPr>
              <w:t>2013</w:t>
            </w:r>
            <w:r>
              <w:rPr>
                <w:spacing w:val="-6"/>
                <w:szCs w:val="21"/>
              </w:rPr>
              <w:t>〕</w:t>
            </w:r>
            <w:r>
              <w:rPr>
                <w:rFonts w:eastAsia="Times New Roman"/>
                <w:spacing w:val="-6"/>
                <w:szCs w:val="21"/>
              </w:rPr>
              <w:t xml:space="preserve">136 </w:t>
            </w:r>
            <w:r>
              <w:rPr>
                <w:spacing w:val="-6"/>
                <w:szCs w:val="21"/>
              </w:rPr>
              <w:t>号</w:t>
            </w:r>
            <w:r>
              <w:rPr>
                <w:spacing w:val="-3"/>
                <w:szCs w:val="21"/>
              </w:rPr>
              <w:t>，</w:t>
            </w:r>
            <w:r>
              <w:rPr>
                <w:spacing w:val="-1"/>
                <w:szCs w:val="21"/>
              </w:rPr>
              <w:t>无需设置自动系</w:t>
            </w:r>
            <w:r>
              <w:rPr>
                <w:szCs w:val="21"/>
              </w:rPr>
              <w:t>统</w:t>
            </w:r>
          </w:p>
        </w:tc>
      </w:tr>
      <w:tr w14:paraId="4424E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11AC9505">
            <w:pPr>
              <w:spacing w:before="60" w:line="187" w:lineRule="auto"/>
              <w:ind w:left="154"/>
              <w:rPr>
                <w:szCs w:val="21"/>
              </w:rPr>
            </w:pPr>
            <w:r>
              <w:rPr>
                <w:szCs w:val="21"/>
              </w:rPr>
              <w:t>10</w:t>
            </w:r>
          </w:p>
        </w:tc>
        <w:tc>
          <w:tcPr>
            <w:tcW w:w="1288" w:type="dxa"/>
          </w:tcPr>
          <w:p w14:paraId="66CD8390">
            <w:pPr>
              <w:spacing w:before="68" w:line="219" w:lineRule="auto"/>
              <w:jc w:val="center"/>
              <w:rPr>
                <w:spacing w:val="-2"/>
                <w:szCs w:val="21"/>
              </w:rPr>
            </w:pPr>
            <w:r>
              <w:rPr>
                <w:spacing w:val="-2"/>
                <w:szCs w:val="21"/>
              </w:rPr>
              <w:t>聚合工艺</w:t>
            </w:r>
          </w:p>
        </w:tc>
        <w:tc>
          <w:tcPr>
            <w:tcW w:w="1862" w:type="dxa"/>
          </w:tcPr>
          <w:p w14:paraId="28659530">
            <w:pPr>
              <w:spacing w:before="69" w:line="217" w:lineRule="auto"/>
              <w:ind w:left="595"/>
              <w:rPr>
                <w:spacing w:val="-7"/>
                <w:szCs w:val="21"/>
              </w:rPr>
            </w:pPr>
            <w:r>
              <w:rPr>
                <w:spacing w:val="-7"/>
                <w:szCs w:val="21"/>
              </w:rPr>
              <w:t>生产车间</w:t>
            </w:r>
          </w:p>
        </w:tc>
        <w:tc>
          <w:tcPr>
            <w:tcW w:w="1300" w:type="dxa"/>
          </w:tcPr>
          <w:p w14:paraId="5F4C2AE8">
            <w:pPr>
              <w:spacing w:before="68" w:line="221" w:lineRule="auto"/>
              <w:rPr>
                <w:spacing w:val="-8"/>
                <w:szCs w:val="21"/>
              </w:rPr>
            </w:pPr>
            <w:r>
              <w:t>山河药辅</w:t>
            </w:r>
          </w:p>
        </w:tc>
        <w:tc>
          <w:tcPr>
            <w:tcW w:w="3625" w:type="dxa"/>
          </w:tcPr>
          <w:p w14:paraId="6091617A">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3CF45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200732AB">
            <w:pPr>
              <w:spacing w:before="60" w:line="187" w:lineRule="auto"/>
              <w:ind w:left="154"/>
              <w:rPr>
                <w:szCs w:val="21"/>
              </w:rPr>
            </w:pPr>
            <w:r>
              <w:rPr>
                <w:szCs w:val="21"/>
              </w:rPr>
              <w:t>11</w:t>
            </w:r>
          </w:p>
        </w:tc>
        <w:tc>
          <w:tcPr>
            <w:tcW w:w="1288" w:type="dxa"/>
          </w:tcPr>
          <w:p w14:paraId="7AD3D0D7">
            <w:pPr>
              <w:spacing w:before="68" w:line="219" w:lineRule="auto"/>
              <w:jc w:val="center"/>
              <w:rPr>
                <w:spacing w:val="-2"/>
                <w:szCs w:val="21"/>
              </w:rPr>
            </w:pPr>
            <w:r>
              <w:rPr>
                <w:spacing w:val="-2"/>
                <w:szCs w:val="21"/>
              </w:rPr>
              <w:t>烷基化工艺</w:t>
            </w:r>
          </w:p>
        </w:tc>
        <w:tc>
          <w:tcPr>
            <w:tcW w:w="1862" w:type="dxa"/>
          </w:tcPr>
          <w:p w14:paraId="0D3C5F44">
            <w:pPr>
              <w:spacing w:before="69" w:line="217" w:lineRule="auto"/>
              <w:ind w:left="595"/>
              <w:rPr>
                <w:spacing w:val="-7"/>
                <w:szCs w:val="21"/>
              </w:rPr>
            </w:pPr>
            <w:r>
              <w:rPr>
                <w:spacing w:val="-7"/>
                <w:szCs w:val="21"/>
              </w:rPr>
              <w:t>生产车间</w:t>
            </w:r>
          </w:p>
        </w:tc>
        <w:tc>
          <w:tcPr>
            <w:tcW w:w="1300" w:type="dxa"/>
          </w:tcPr>
          <w:p w14:paraId="2A5FC036">
            <w:pPr>
              <w:spacing w:before="68" w:line="221" w:lineRule="auto"/>
              <w:rPr>
                <w:spacing w:val="-8"/>
                <w:szCs w:val="21"/>
              </w:rPr>
            </w:pPr>
            <w:r>
              <w:t>山河药辅</w:t>
            </w:r>
          </w:p>
        </w:tc>
        <w:tc>
          <w:tcPr>
            <w:tcW w:w="3625" w:type="dxa"/>
          </w:tcPr>
          <w:p w14:paraId="0FA16128">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3CCEFD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6F1FA102">
            <w:pPr>
              <w:spacing w:before="60" w:line="187" w:lineRule="auto"/>
              <w:ind w:left="154"/>
              <w:rPr>
                <w:szCs w:val="21"/>
              </w:rPr>
            </w:pPr>
            <w:r>
              <w:rPr>
                <w:szCs w:val="21"/>
              </w:rPr>
              <w:t>12</w:t>
            </w:r>
          </w:p>
        </w:tc>
        <w:tc>
          <w:tcPr>
            <w:tcW w:w="1288" w:type="dxa"/>
          </w:tcPr>
          <w:p w14:paraId="72A75149">
            <w:pPr>
              <w:spacing w:before="68" w:line="219" w:lineRule="auto"/>
              <w:jc w:val="center"/>
              <w:rPr>
                <w:spacing w:val="-2"/>
                <w:szCs w:val="21"/>
              </w:rPr>
            </w:pPr>
            <w:r>
              <w:rPr>
                <w:spacing w:val="-2"/>
                <w:szCs w:val="21"/>
                <w:lang w:val="zh-CN"/>
              </w:rPr>
              <w:t>氯化</w:t>
            </w:r>
            <w:r>
              <w:rPr>
                <w:spacing w:val="-2"/>
                <w:szCs w:val="21"/>
              </w:rPr>
              <w:t>工艺</w:t>
            </w:r>
          </w:p>
        </w:tc>
        <w:tc>
          <w:tcPr>
            <w:tcW w:w="1862" w:type="dxa"/>
          </w:tcPr>
          <w:p w14:paraId="129446A1">
            <w:pPr>
              <w:spacing w:before="68" w:line="221" w:lineRule="auto"/>
              <w:ind w:firstLine="840" w:firstLineChars="300"/>
            </w:pPr>
            <w:r>
              <w:t>生产车间</w:t>
            </w:r>
          </w:p>
        </w:tc>
        <w:tc>
          <w:tcPr>
            <w:tcW w:w="1300" w:type="dxa"/>
          </w:tcPr>
          <w:p w14:paraId="215EDDDD">
            <w:pPr>
              <w:spacing w:before="68" w:line="221" w:lineRule="auto"/>
            </w:pPr>
            <w:r>
              <w:t>森吉制药</w:t>
            </w:r>
          </w:p>
        </w:tc>
        <w:tc>
          <w:tcPr>
            <w:tcW w:w="3625" w:type="dxa"/>
          </w:tcPr>
          <w:p w14:paraId="573B12E0">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247C1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5D2AA3C4">
            <w:pPr>
              <w:spacing w:before="60" w:line="187" w:lineRule="auto"/>
              <w:ind w:left="154"/>
              <w:rPr>
                <w:szCs w:val="21"/>
              </w:rPr>
            </w:pPr>
            <w:r>
              <w:rPr>
                <w:szCs w:val="21"/>
              </w:rPr>
              <w:t>13</w:t>
            </w:r>
          </w:p>
        </w:tc>
        <w:tc>
          <w:tcPr>
            <w:tcW w:w="1288" w:type="dxa"/>
          </w:tcPr>
          <w:p w14:paraId="37007C18">
            <w:pPr>
              <w:spacing w:before="68" w:line="219" w:lineRule="auto"/>
              <w:jc w:val="center"/>
              <w:rPr>
                <w:spacing w:val="-2"/>
                <w:szCs w:val="21"/>
              </w:rPr>
            </w:pPr>
            <w:r>
              <w:rPr>
                <w:spacing w:val="-2"/>
                <w:szCs w:val="21"/>
                <w:lang w:val="zh-CN"/>
              </w:rPr>
              <w:t>加氢化</w:t>
            </w:r>
            <w:r>
              <w:rPr>
                <w:spacing w:val="-2"/>
                <w:szCs w:val="21"/>
              </w:rPr>
              <w:t>工艺</w:t>
            </w:r>
          </w:p>
        </w:tc>
        <w:tc>
          <w:tcPr>
            <w:tcW w:w="1862" w:type="dxa"/>
          </w:tcPr>
          <w:p w14:paraId="61A9153E">
            <w:pPr>
              <w:spacing w:before="69" w:line="217" w:lineRule="auto"/>
              <w:ind w:left="595"/>
              <w:rPr>
                <w:spacing w:val="-7"/>
                <w:szCs w:val="21"/>
              </w:rPr>
            </w:pPr>
            <w:r>
              <w:rPr>
                <w:spacing w:val="-7"/>
                <w:szCs w:val="21"/>
              </w:rPr>
              <w:t>生产车间</w:t>
            </w:r>
          </w:p>
        </w:tc>
        <w:tc>
          <w:tcPr>
            <w:tcW w:w="1300" w:type="dxa"/>
          </w:tcPr>
          <w:p w14:paraId="0A71F16F">
            <w:pPr>
              <w:spacing w:before="68" w:line="221" w:lineRule="auto"/>
              <w:rPr>
                <w:spacing w:val="-8"/>
                <w:szCs w:val="21"/>
              </w:rPr>
            </w:pPr>
            <w:r>
              <w:t>森吉制药</w:t>
            </w:r>
          </w:p>
        </w:tc>
        <w:tc>
          <w:tcPr>
            <w:tcW w:w="3625" w:type="dxa"/>
          </w:tcPr>
          <w:p w14:paraId="5C152846">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r w14:paraId="62E58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trPr>
        <w:tc>
          <w:tcPr>
            <w:tcW w:w="722" w:type="dxa"/>
          </w:tcPr>
          <w:p w14:paraId="3D530853">
            <w:pPr>
              <w:spacing w:before="60" w:line="187" w:lineRule="auto"/>
              <w:ind w:left="154"/>
              <w:rPr>
                <w:szCs w:val="21"/>
              </w:rPr>
            </w:pPr>
            <w:r>
              <w:rPr>
                <w:szCs w:val="21"/>
              </w:rPr>
              <w:t>14</w:t>
            </w:r>
          </w:p>
        </w:tc>
        <w:tc>
          <w:tcPr>
            <w:tcW w:w="1288" w:type="dxa"/>
          </w:tcPr>
          <w:p w14:paraId="5B451D3F">
            <w:pPr>
              <w:spacing w:before="68" w:line="219" w:lineRule="auto"/>
              <w:jc w:val="center"/>
              <w:rPr>
                <w:spacing w:val="-2"/>
                <w:szCs w:val="21"/>
              </w:rPr>
            </w:pPr>
            <w:r>
              <w:rPr>
                <w:spacing w:val="-2"/>
                <w:szCs w:val="21"/>
                <w:lang w:val="zh-CN"/>
              </w:rPr>
              <w:t>烷基化</w:t>
            </w:r>
            <w:r>
              <w:rPr>
                <w:spacing w:val="-2"/>
                <w:szCs w:val="21"/>
              </w:rPr>
              <w:t>工艺</w:t>
            </w:r>
          </w:p>
        </w:tc>
        <w:tc>
          <w:tcPr>
            <w:tcW w:w="1862" w:type="dxa"/>
          </w:tcPr>
          <w:p w14:paraId="2515B95F">
            <w:pPr>
              <w:spacing w:before="69" w:line="217" w:lineRule="auto"/>
              <w:ind w:left="595"/>
              <w:rPr>
                <w:spacing w:val="-7"/>
                <w:szCs w:val="21"/>
              </w:rPr>
            </w:pPr>
            <w:r>
              <w:rPr>
                <w:spacing w:val="-7"/>
                <w:szCs w:val="21"/>
              </w:rPr>
              <w:t>生产车间</w:t>
            </w:r>
          </w:p>
        </w:tc>
        <w:tc>
          <w:tcPr>
            <w:tcW w:w="1300" w:type="dxa"/>
          </w:tcPr>
          <w:p w14:paraId="5402129D">
            <w:pPr>
              <w:spacing w:before="68" w:line="221" w:lineRule="auto"/>
              <w:rPr>
                <w:spacing w:val="-8"/>
                <w:szCs w:val="21"/>
              </w:rPr>
            </w:pPr>
            <w:r>
              <w:t>森吉制药</w:t>
            </w:r>
          </w:p>
        </w:tc>
        <w:tc>
          <w:tcPr>
            <w:tcW w:w="3625" w:type="dxa"/>
          </w:tcPr>
          <w:p w14:paraId="195FC228">
            <w:pPr>
              <w:spacing w:before="153" w:line="290" w:lineRule="auto"/>
              <w:ind w:left="112" w:right="45" w:hanging="1"/>
              <w:rPr>
                <w:spacing w:val="-6"/>
                <w:szCs w:val="21"/>
              </w:rPr>
            </w:pPr>
            <w:r>
              <w:rPr>
                <w:spacing w:val="5"/>
                <w:szCs w:val="21"/>
              </w:rPr>
              <w:t>设置</w:t>
            </w:r>
            <w:r>
              <w:rPr>
                <w:rFonts w:eastAsia="Times New Roman"/>
                <w:szCs w:val="21"/>
              </w:rPr>
              <w:t>DCS</w:t>
            </w:r>
            <w:r>
              <w:rPr>
                <w:spacing w:val="5"/>
                <w:szCs w:val="21"/>
              </w:rPr>
              <w:t>自动化控制系统，</w:t>
            </w:r>
            <w:r>
              <w:rPr>
                <w:rFonts w:eastAsia="Times New Roman"/>
                <w:spacing w:val="-1"/>
                <w:szCs w:val="21"/>
              </w:rPr>
              <w:t>SIS</w:t>
            </w:r>
            <w:r>
              <w:rPr>
                <w:spacing w:val="-1"/>
                <w:szCs w:val="21"/>
              </w:rPr>
              <w:t>安全仪表系统</w:t>
            </w:r>
          </w:p>
        </w:tc>
      </w:tr>
    </w:tbl>
    <w:p w14:paraId="7724EFFF">
      <w:pPr>
        <w:spacing w:line="360" w:lineRule="auto"/>
        <w:ind w:firstLine="482" w:firstLineChars="200"/>
        <w:rPr>
          <w:rFonts w:eastAsiaTheme="minorEastAsia"/>
          <w:b/>
          <w:bCs/>
          <w:kern w:val="0"/>
          <w:sz w:val="24"/>
          <w:szCs w:val="24"/>
        </w:rPr>
      </w:pPr>
      <w:r>
        <w:rPr>
          <w:rFonts w:eastAsiaTheme="minorEastAsia"/>
          <w:b/>
          <w:bCs/>
          <w:kern w:val="0"/>
          <w:sz w:val="24"/>
          <w:szCs w:val="24"/>
        </w:rPr>
        <w:t>（3）重大危险源辨识</w:t>
      </w:r>
    </w:p>
    <w:p w14:paraId="344059A2">
      <w:pPr>
        <w:widowControl/>
        <w:spacing w:line="360" w:lineRule="auto"/>
        <w:ind w:firstLine="480" w:firstLineChars="200"/>
        <w:jc w:val="left"/>
        <w:rPr>
          <w:rFonts w:eastAsia="宋体"/>
          <w:sz w:val="24"/>
          <w:szCs w:val="24"/>
        </w:rPr>
      </w:pPr>
      <w:r>
        <w:rPr>
          <w:sz w:val="24"/>
        </w:rPr>
        <w:t>根据《安徽德邦化工有限公司安全生产许可证换证评价》《安徽德邦化工有限公司60万吨/年联碱技改工程安全验收评价报告》《国药集团国瑞药业有限公司国药集团医药产业基地项目安全验收评价报告》《国药集团国瑞药业有限公司”退城进园”项目(二期)安全条件评价》《安徽水卫士环保科 技有限公司WL-水处理系列药剂项目安全设计诊断报告》《安徽东盛制药有限公司400吨/年氯硝柳胺系列产品及固体制片项目安全设计诊断报告》以及现场调查，根据《危险化学品重大危险源辨识》(GB18218-2018)初步辨识，化工园区危险化学品重大危险源辨识结果见</w:t>
      </w:r>
      <w:r>
        <w:rPr>
          <w:spacing w:val="-1"/>
          <w:sz w:val="24"/>
          <w:szCs w:val="24"/>
        </w:rPr>
        <w:t>表7.1-10、化工园区</w:t>
      </w:r>
      <w:r>
        <w:rPr>
          <w:sz w:val="24"/>
          <w:szCs w:val="24"/>
        </w:rPr>
        <w:t>危险化学品重大危险源辨识结果汇总表</w:t>
      </w:r>
      <w:r>
        <w:rPr>
          <w:rFonts w:hint="eastAsia"/>
          <w:sz w:val="24"/>
          <w:szCs w:val="24"/>
        </w:rPr>
        <w:t>。</w:t>
      </w:r>
    </w:p>
    <w:p w14:paraId="2D07CFFB">
      <w:pPr>
        <w:pStyle w:val="12"/>
        <w:spacing w:beforeLines="50" w:afterLines="50" w:line="360" w:lineRule="auto"/>
        <w:ind w:firstLine="0"/>
        <w:jc w:val="left"/>
        <w:outlineLvl w:val="1"/>
        <w:rPr>
          <w:b/>
          <w:szCs w:val="28"/>
        </w:rPr>
      </w:pPr>
      <w:bookmarkStart w:id="272" w:name="_Toc18530"/>
      <w:r>
        <w:rPr>
          <w:b/>
          <w:szCs w:val="28"/>
        </w:rPr>
        <w:t>9.3重大危险源选址</w:t>
      </w:r>
      <w:bookmarkEnd w:id="266"/>
      <w:bookmarkEnd w:id="267"/>
      <w:bookmarkEnd w:id="268"/>
      <w:bookmarkEnd w:id="269"/>
      <w:bookmarkEnd w:id="270"/>
      <w:bookmarkEnd w:id="271"/>
      <w:bookmarkEnd w:id="272"/>
    </w:p>
    <w:p w14:paraId="0360B712">
      <w:pPr>
        <w:pStyle w:val="12"/>
        <w:spacing w:line="360" w:lineRule="auto"/>
        <w:ind w:firstLine="480" w:firstLineChars="200"/>
        <w:jc w:val="left"/>
        <w:rPr>
          <w:kern w:val="0"/>
          <w:sz w:val="24"/>
          <w:szCs w:val="24"/>
        </w:rPr>
      </w:pPr>
      <w:r>
        <w:rPr>
          <w:kern w:val="0"/>
          <w:sz w:val="24"/>
          <w:szCs w:val="24"/>
        </w:rPr>
        <w:t>重大危险源企业的选址应满足以下原则：</w:t>
      </w:r>
    </w:p>
    <w:p w14:paraId="4298BEDD">
      <w:pPr>
        <w:pStyle w:val="12"/>
        <w:spacing w:line="360" w:lineRule="auto"/>
        <w:ind w:firstLine="0"/>
        <w:jc w:val="left"/>
        <w:rPr>
          <w:kern w:val="0"/>
          <w:sz w:val="24"/>
          <w:szCs w:val="24"/>
        </w:rPr>
      </w:pPr>
      <w:r>
        <w:rPr>
          <w:kern w:val="0"/>
          <w:sz w:val="24"/>
          <w:szCs w:val="24"/>
        </w:rPr>
        <w:t>①充分考虑地震、软地基、湿陷性黄土、膨胀土等地质因素以及风、雷、沙暴等气象危害；</w:t>
      </w:r>
    </w:p>
    <w:p w14:paraId="5F6E8F8C">
      <w:pPr>
        <w:pStyle w:val="12"/>
        <w:spacing w:line="360" w:lineRule="auto"/>
        <w:ind w:firstLine="0"/>
        <w:jc w:val="left"/>
        <w:rPr>
          <w:kern w:val="0"/>
          <w:sz w:val="24"/>
          <w:szCs w:val="24"/>
        </w:rPr>
      </w:pPr>
      <w:r>
        <w:rPr>
          <w:kern w:val="0"/>
          <w:sz w:val="24"/>
          <w:szCs w:val="24"/>
        </w:rPr>
        <w:t>②厂址应不受洪水、潮水和内涝的威胁；</w:t>
      </w:r>
    </w:p>
    <w:p w14:paraId="1C2085D0">
      <w:pPr>
        <w:pStyle w:val="12"/>
        <w:spacing w:line="360" w:lineRule="auto"/>
        <w:ind w:firstLine="0"/>
        <w:jc w:val="left"/>
        <w:rPr>
          <w:kern w:val="0"/>
          <w:sz w:val="24"/>
          <w:szCs w:val="24"/>
        </w:rPr>
      </w:pPr>
      <w:r>
        <w:rPr>
          <w:kern w:val="0"/>
          <w:sz w:val="24"/>
          <w:szCs w:val="24"/>
        </w:rPr>
        <w:t>③考虑当地风向因素,一般应位于城市全年最小频率风向的上风方向。</w:t>
      </w:r>
    </w:p>
    <w:p w14:paraId="3EA34957">
      <w:pPr>
        <w:pStyle w:val="12"/>
        <w:spacing w:line="360" w:lineRule="auto"/>
        <w:ind w:firstLine="0"/>
        <w:jc w:val="left"/>
        <w:rPr>
          <w:kern w:val="0"/>
          <w:sz w:val="24"/>
          <w:szCs w:val="24"/>
        </w:rPr>
      </w:pPr>
      <w:r>
        <w:rPr>
          <w:kern w:val="0"/>
          <w:sz w:val="24"/>
          <w:szCs w:val="24"/>
        </w:rPr>
        <w:t>④生产区宜选在空气污染物本底浓度低和扩散条件好的地段；</w:t>
      </w:r>
    </w:p>
    <w:p w14:paraId="46B97BD9">
      <w:pPr>
        <w:pStyle w:val="12"/>
        <w:spacing w:line="360" w:lineRule="auto"/>
        <w:ind w:firstLine="0"/>
        <w:jc w:val="left"/>
        <w:rPr>
          <w:kern w:val="0"/>
          <w:sz w:val="24"/>
          <w:szCs w:val="24"/>
        </w:rPr>
      </w:pPr>
      <w:r>
        <w:rPr>
          <w:kern w:val="0"/>
          <w:sz w:val="24"/>
          <w:szCs w:val="24"/>
        </w:rPr>
        <w:fldChar w:fldCharType="begin"/>
      </w:r>
      <w:r>
        <w:rPr>
          <w:kern w:val="0"/>
          <w:sz w:val="24"/>
          <w:szCs w:val="24"/>
        </w:rPr>
        <w:instrText xml:space="preserve"> = 5 \* GB3 \* MERGEFORMAT </w:instrText>
      </w:r>
      <w:r>
        <w:rPr>
          <w:kern w:val="0"/>
          <w:sz w:val="24"/>
          <w:szCs w:val="24"/>
        </w:rPr>
        <w:fldChar w:fldCharType="separate"/>
      </w:r>
      <w:r>
        <w:t>⑤</w:t>
      </w:r>
      <w:r>
        <w:rPr>
          <w:kern w:val="0"/>
          <w:sz w:val="24"/>
          <w:szCs w:val="24"/>
        </w:rPr>
        <w:fldChar w:fldCharType="end"/>
      </w:r>
      <w:r>
        <w:rPr>
          <w:kern w:val="0"/>
          <w:sz w:val="24"/>
          <w:szCs w:val="24"/>
        </w:rPr>
        <w:t>液化烃或可燃气体的罐区邻近江河布置时，应采取防止泄漏的液体物料流入水域的措施；</w:t>
      </w:r>
    </w:p>
    <w:p w14:paraId="039BB854">
      <w:pPr>
        <w:pStyle w:val="12"/>
        <w:spacing w:line="360" w:lineRule="auto"/>
        <w:ind w:firstLine="0"/>
        <w:jc w:val="left"/>
        <w:rPr>
          <w:kern w:val="0"/>
          <w:sz w:val="24"/>
          <w:szCs w:val="24"/>
        </w:rPr>
      </w:pPr>
      <w:r>
        <w:rPr>
          <w:kern w:val="0"/>
          <w:sz w:val="24"/>
          <w:szCs w:val="24"/>
        </w:rPr>
        <w:t>⑥新建厂选址还应满足有关国家标准对卫生防护距离的要求；</w:t>
      </w:r>
    </w:p>
    <w:p w14:paraId="1AD60C1C">
      <w:pPr>
        <w:pStyle w:val="12"/>
        <w:spacing w:beforeLines="50" w:afterLines="50" w:line="360" w:lineRule="auto"/>
        <w:ind w:firstLine="0"/>
        <w:jc w:val="left"/>
        <w:outlineLvl w:val="1"/>
        <w:rPr>
          <w:b/>
          <w:szCs w:val="28"/>
        </w:rPr>
      </w:pPr>
      <w:bookmarkStart w:id="273" w:name="_Toc23917"/>
      <w:bookmarkStart w:id="274" w:name="_Toc6447"/>
      <w:bookmarkStart w:id="275" w:name="_Toc7302"/>
      <w:bookmarkStart w:id="276" w:name="_Toc21395"/>
      <w:bookmarkStart w:id="277" w:name="_Toc14604"/>
      <w:bookmarkStart w:id="278" w:name="_Toc13697"/>
      <w:bookmarkStart w:id="279" w:name="_Toc17113"/>
      <w:r>
        <w:rPr>
          <w:b/>
          <w:szCs w:val="28"/>
        </w:rPr>
        <w:t>9.4</w:t>
      </w:r>
      <w:bookmarkStart w:id="280" w:name="_Toc17751982"/>
      <w:r>
        <w:rPr>
          <w:b/>
          <w:szCs w:val="28"/>
        </w:rPr>
        <w:t>园区内企业定量风险评价</w:t>
      </w:r>
      <w:bookmarkEnd w:id="273"/>
      <w:bookmarkEnd w:id="274"/>
      <w:bookmarkEnd w:id="275"/>
      <w:bookmarkEnd w:id="276"/>
      <w:bookmarkEnd w:id="277"/>
      <w:bookmarkEnd w:id="278"/>
      <w:bookmarkEnd w:id="279"/>
      <w:bookmarkEnd w:id="280"/>
    </w:p>
    <w:p w14:paraId="4B3FF152">
      <w:pPr>
        <w:tabs>
          <w:tab w:val="left" w:pos="3315"/>
        </w:tabs>
        <w:adjustRightInd w:val="0"/>
        <w:spacing w:line="360" w:lineRule="auto"/>
        <w:ind w:firstLine="480" w:firstLineChars="200"/>
        <w:rPr>
          <w:sz w:val="24"/>
          <w:szCs w:val="24"/>
        </w:rPr>
      </w:pPr>
      <w:bookmarkStart w:id="281" w:name="_Toc24320"/>
      <w:bookmarkStart w:id="282" w:name="_Toc26989"/>
      <w:bookmarkStart w:id="283" w:name="_Toc24905"/>
      <w:bookmarkStart w:id="284" w:name="_Toc24203"/>
      <w:bookmarkStart w:id="285" w:name="_Toc24020"/>
      <w:bookmarkStart w:id="286" w:name="_Toc1422"/>
      <w:r>
        <w:rPr>
          <w:sz w:val="24"/>
          <w:szCs w:val="24"/>
        </w:rPr>
        <w:t>9.4.1定量风险分析目标的选择</w:t>
      </w:r>
    </w:p>
    <w:p w14:paraId="0DC7F1A1">
      <w:pPr>
        <w:tabs>
          <w:tab w:val="left" w:pos="3315"/>
        </w:tabs>
        <w:adjustRightInd w:val="0"/>
        <w:spacing w:line="360" w:lineRule="auto"/>
        <w:ind w:firstLine="480" w:firstLineChars="200"/>
        <w:rPr>
          <w:sz w:val="24"/>
          <w:szCs w:val="24"/>
        </w:rPr>
      </w:pPr>
      <w:r>
        <w:rPr>
          <w:sz w:val="24"/>
          <w:szCs w:val="24"/>
        </w:rPr>
        <w:t>定量风险评估是针对淮南经开化工园区这一特定区域范围开展的，评估的主要目的是确定淮南经开化工园区整体风险和区域的累积风险是否在可接受范围内。淮南经开化工园区四至范围内已入驻德邦化工、恒诚制药、水卫士环保科技、国瑞药业四家化工企业，其中德邦化工、恒诚制药、国瑞药业属于危险化学品生产企业和危险化学品使用企业，因恒诚制药原料药生产车间已停产，涉及的危险化学品2-氯-4-硝基苯胺、氯化亚砜、乙醇胺、无水哌嗪、甲苯、甲醇、盐酸、氢氧化钠已全部清料，涉及的危险工艺氯化工艺已停产，仅粉剂生产装置，相对危险性较小。区块二仅国瑞药业一家化工企业，因此区块一德邦化工、区块二国瑞药业危险源风险相对较高、事故影响相对较大且具有代表性的评估目标分别代表区块一和区块二的风险计算，以确定整个化工园区的整体性安全风险。</w:t>
      </w:r>
    </w:p>
    <w:p w14:paraId="3CC45C53">
      <w:pPr>
        <w:tabs>
          <w:tab w:val="left" w:pos="3315"/>
        </w:tabs>
        <w:adjustRightInd w:val="0"/>
        <w:spacing w:line="360" w:lineRule="auto"/>
        <w:ind w:firstLine="480" w:firstLineChars="200"/>
        <w:rPr>
          <w:sz w:val="24"/>
          <w:szCs w:val="24"/>
        </w:rPr>
      </w:pPr>
      <w:bookmarkStart w:id="287" w:name="_bookmark77"/>
      <w:bookmarkEnd w:id="287"/>
      <w:r>
        <w:rPr>
          <w:sz w:val="24"/>
          <w:szCs w:val="24"/>
        </w:rPr>
        <w:t>9.4.2 化工园区整体个人风险评估</w:t>
      </w:r>
    </w:p>
    <w:p w14:paraId="605C3058">
      <w:pPr>
        <w:tabs>
          <w:tab w:val="left" w:pos="3315"/>
        </w:tabs>
        <w:adjustRightInd w:val="0"/>
        <w:spacing w:line="360" w:lineRule="auto"/>
        <w:ind w:firstLine="480" w:firstLineChars="200"/>
        <w:rPr>
          <w:sz w:val="24"/>
          <w:szCs w:val="24"/>
        </w:rPr>
      </w:pPr>
      <w:r>
        <w:rPr>
          <w:sz w:val="24"/>
          <w:szCs w:val="24"/>
        </w:rPr>
        <w:t>根据《危险化学品生产、储存装置个人可接受风险标准和社会可接受风险标准(试行)》(原国家安监总局公告2014年第13号)，个人风险是指因危险化学品重大危险源各种潜在的火灾、爆炸、有毒气体泄漏事故造成区域内某一固定位置人员的个体死亡概率，即单位时间内(通常为年)的个体死亡率。通常用个人风险等值线表示。</w:t>
      </w:r>
    </w:p>
    <w:p w14:paraId="396C66EF">
      <w:pPr>
        <w:spacing w:before="1" w:line="400" w:lineRule="auto"/>
        <w:ind w:left="133" w:right="46" w:firstLine="559"/>
        <w:rPr>
          <w:sz w:val="24"/>
          <w:szCs w:val="24"/>
        </w:rPr>
      </w:pPr>
      <w:r>
        <w:rPr>
          <w:spacing w:val="7"/>
          <w:sz w:val="24"/>
          <w:szCs w:val="24"/>
        </w:rPr>
        <w:t>根</w:t>
      </w:r>
      <w:r>
        <w:rPr>
          <w:spacing w:val="6"/>
          <w:sz w:val="24"/>
          <w:szCs w:val="24"/>
        </w:rPr>
        <w:t>据《危险化学品生产装置和储存设施风险基准》(</w:t>
      </w:r>
      <w:r>
        <w:rPr>
          <w:rFonts w:eastAsia="Calibri"/>
          <w:sz w:val="24"/>
          <w:szCs w:val="24"/>
        </w:rPr>
        <w:t>GB</w:t>
      </w:r>
      <w:r>
        <w:rPr>
          <w:rFonts w:eastAsia="Calibri"/>
          <w:spacing w:val="6"/>
          <w:sz w:val="24"/>
          <w:szCs w:val="24"/>
        </w:rPr>
        <w:t xml:space="preserve"> 36894-2018</w:t>
      </w:r>
      <w:r>
        <w:rPr>
          <w:spacing w:val="6"/>
          <w:sz w:val="24"/>
          <w:szCs w:val="24"/>
        </w:rPr>
        <w:t>)，</w:t>
      </w:r>
      <w:r>
        <w:rPr>
          <w:spacing w:val="-4"/>
          <w:sz w:val="24"/>
          <w:szCs w:val="24"/>
        </w:rPr>
        <w:t>个</w:t>
      </w:r>
      <w:r>
        <w:rPr>
          <w:spacing w:val="-3"/>
          <w:sz w:val="24"/>
          <w:szCs w:val="24"/>
        </w:rPr>
        <w:t>人</w:t>
      </w:r>
      <w:r>
        <w:rPr>
          <w:spacing w:val="-2"/>
          <w:sz w:val="24"/>
          <w:szCs w:val="24"/>
        </w:rPr>
        <w:t>风险是指假设人员长期处于某一场所且无保护，由于发生因危险化学品</w:t>
      </w:r>
      <w:r>
        <w:rPr>
          <w:spacing w:val="-12"/>
          <w:sz w:val="24"/>
          <w:szCs w:val="24"/>
        </w:rPr>
        <w:t>事</w:t>
      </w:r>
      <w:r>
        <w:rPr>
          <w:spacing w:val="-9"/>
          <w:sz w:val="24"/>
          <w:szCs w:val="24"/>
        </w:rPr>
        <w:t>故</w:t>
      </w:r>
      <w:r>
        <w:rPr>
          <w:spacing w:val="-6"/>
          <w:sz w:val="24"/>
          <w:szCs w:val="24"/>
        </w:rPr>
        <w:t>而导致的死亡概率，新建、在役装置的个人风险标准值如表9.4</w:t>
      </w:r>
      <w:r>
        <w:rPr>
          <w:rFonts w:eastAsia="Calibri"/>
          <w:spacing w:val="-6"/>
          <w:sz w:val="24"/>
          <w:szCs w:val="24"/>
        </w:rPr>
        <w:t>-1~</w:t>
      </w:r>
      <w:r>
        <w:rPr>
          <w:spacing w:val="-6"/>
          <w:sz w:val="24"/>
          <w:szCs w:val="24"/>
        </w:rPr>
        <w:t>9.4</w:t>
      </w:r>
      <w:r>
        <w:rPr>
          <w:rFonts w:eastAsia="Calibri"/>
          <w:spacing w:val="-6"/>
          <w:sz w:val="24"/>
          <w:szCs w:val="24"/>
        </w:rPr>
        <w:t>-2</w:t>
      </w:r>
      <w:r>
        <w:rPr>
          <w:spacing w:val="-6"/>
          <w:sz w:val="24"/>
          <w:szCs w:val="24"/>
        </w:rPr>
        <w:t>。</w:t>
      </w:r>
    </w:p>
    <w:p w14:paraId="373ECC95">
      <w:pPr>
        <w:spacing w:before="88" w:line="212" w:lineRule="auto"/>
        <w:ind w:left="1726"/>
        <w:rPr>
          <w:szCs w:val="21"/>
        </w:rPr>
      </w:pPr>
      <w:r>
        <w:rPr>
          <w:spacing w:val="2"/>
          <w:szCs w:val="21"/>
        </w:rPr>
        <w:t>表9.4</w:t>
      </w:r>
      <w:r>
        <w:rPr>
          <w:rFonts w:eastAsia="Calibri"/>
          <w:spacing w:val="2"/>
          <w:szCs w:val="21"/>
        </w:rPr>
        <w:t>-1</w:t>
      </w:r>
      <w:r>
        <w:rPr>
          <w:spacing w:val="2"/>
          <w:szCs w:val="21"/>
        </w:rPr>
        <w:t>、在役装置个人风险标准</w:t>
      </w:r>
      <w:r>
        <w:rPr>
          <w:spacing w:val="1"/>
          <w:szCs w:val="21"/>
        </w:rPr>
        <w:t>详细配置(单位：次</w:t>
      </w:r>
      <w:r>
        <w:rPr>
          <w:rFonts w:eastAsia="Calibri"/>
          <w:spacing w:val="1"/>
          <w:szCs w:val="21"/>
        </w:rPr>
        <w:t>/</w:t>
      </w:r>
      <w:r>
        <w:rPr>
          <w:spacing w:val="1"/>
          <w:szCs w:val="21"/>
        </w:rPr>
        <w:t>年)</w:t>
      </w:r>
    </w:p>
    <w:tbl>
      <w:tblPr>
        <w:tblStyle w:val="58"/>
        <w:tblW w:w="9406"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096"/>
        <w:gridCol w:w="2174"/>
        <w:gridCol w:w="3136"/>
      </w:tblGrid>
      <w:tr w14:paraId="7052C85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0" w:hRule="atLeast"/>
        </w:trPr>
        <w:tc>
          <w:tcPr>
            <w:tcW w:w="4096" w:type="dxa"/>
            <w:tcBorders>
              <w:top w:val="single" w:color="000000" w:sz="2" w:space="0"/>
              <w:bottom w:val="single" w:color="000000" w:sz="2" w:space="0"/>
            </w:tcBorders>
          </w:tcPr>
          <w:p w14:paraId="65A00BED">
            <w:pPr>
              <w:spacing w:before="170" w:line="221" w:lineRule="auto"/>
              <w:ind w:left="1623"/>
              <w:rPr>
                <w:szCs w:val="21"/>
              </w:rPr>
            </w:pPr>
            <w:r>
              <w:rPr>
                <w:spacing w:val="-1"/>
                <w:szCs w:val="21"/>
              </w:rPr>
              <w:t>风险等级</w:t>
            </w:r>
          </w:p>
        </w:tc>
        <w:tc>
          <w:tcPr>
            <w:tcW w:w="2174" w:type="dxa"/>
            <w:tcBorders>
              <w:top w:val="single" w:color="000000" w:sz="2" w:space="0"/>
              <w:bottom w:val="single" w:color="000000" w:sz="2" w:space="0"/>
            </w:tcBorders>
          </w:tcPr>
          <w:p w14:paraId="15658315">
            <w:pPr>
              <w:spacing w:before="170" w:line="221" w:lineRule="auto"/>
              <w:ind w:left="765"/>
              <w:rPr>
                <w:szCs w:val="21"/>
              </w:rPr>
            </w:pPr>
            <w:r>
              <w:rPr>
                <w:spacing w:val="-2"/>
                <w:szCs w:val="21"/>
              </w:rPr>
              <w:t>风</w:t>
            </w:r>
            <w:r>
              <w:rPr>
                <w:spacing w:val="-1"/>
                <w:szCs w:val="21"/>
              </w:rPr>
              <w:t>险值</w:t>
            </w:r>
          </w:p>
        </w:tc>
        <w:tc>
          <w:tcPr>
            <w:tcW w:w="3136" w:type="dxa"/>
            <w:tcBorders>
              <w:top w:val="single" w:color="000000" w:sz="2" w:space="0"/>
              <w:bottom w:val="single" w:color="000000" w:sz="2" w:space="0"/>
            </w:tcBorders>
          </w:tcPr>
          <w:p w14:paraId="7E706F7A">
            <w:pPr>
              <w:spacing w:before="171" w:line="221" w:lineRule="auto"/>
              <w:ind w:left="1140"/>
              <w:rPr>
                <w:szCs w:val="21"/>
              </w:rPr>
            </w:pPr>
            <w:r>
              <w:rPr>
                <w:spacing w:val="-1"/>
                <w:szCs w:val="21"/>
              </w:rPr>
              <w:t>风险颜色</w:t>
            </w:r>
          </w:p>
        </w:tc>
      </w:tr>
      <w:tr w14:paraId="097964F5">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7" w:hRule="atLeast"/>
        </w:trPr>
        <w:tc>
          <w:tcPr>
            <w:tcW w:w="4096" w:type="dxa"/>
            <w:tcBorders>
              <w:top w:val="single" w:color="000000" w:sz="2" w:space="0"/>
              <w:bottom w:val="single" w:color="000000" w:sz="2" w:space="0"/>
            </w:tcBorders>
          </w:tcPr>
          <w:p w14:paraId="1581C5DB">
            <w:pPr>
              <w:spacing w:before="63" w:line="221" w:lineRule="auto"/>
              <w:ind w:left="1625"/>
              <w:rPr>
                <w:szCs w:val="21"/>
              </w:rPr>
            </w:pPr>
            <w:r>
              <w:rPr>
                <w:spacing w:val="-3"/>
                <w:szCs w:val="21"/>
              </w:rPr>
              <w:t>一</w:t>
            </w:r>
            <w:r>
              <w:rPr>
                <w:spacing w:val="-2"/>
                <w:szCs w:val="21"/>
              </w:rPr>
              <w:t>级风险</w:t>
            </w:r>
          </w:p>
          <w:p w14:paraId="75557126">
            <w:pPr>
              <w:spacing w:before="59" w:line="221" w:lineRule="auto"/>
              <w:ind w:left="368"/>
              <w:rPr>
                <w:szCs w:val="21"/>
              </w:rPr>
            </w:pPr>
            <w:r>
              <w:rPr>
                <w:spacing w:val="10"/>
                <w:szCs w:val="21"/>
              </w:rPr>
              <w:t>(</w:t>
            </w:r>
            <w:r>
              <w:rPr>
                <w:spacing w:val="6"/>
                <w:szCs w:val="21"/>
              </w:rPr>
              <w:t>一</w:t>
            </w:r>
            <w:r>
              <w:rPr>
                <w:spacing w:val="5"/>
                <w:szCs w:val="21"/>
              </w:rPr>
              <w:t>般防护目标中的三类防护目标)</w:t>
            </w:r>
          </w:p>
        </w:tc>
        <w:tc>
          <w:tcPr>
            <w:tcW w:w="2174" w:type="dxa"/>
            <w:tcBorders>
              <w:top w:val="single" w:color="000000" w:sz="2" w:space="0"/>
              <w:bottom w:val="single" w:color="000000" w:sz="2" w:space="0"/>
            </w:tcBorders>
          </w:tcPr>
          <w:p w14:paraId="185C4824">
            <w:pPr>
              <w:spacing w:before="259" w:line="181" w:lineRule="auto"/>
              <w:ind w:left="812"/>
              <w:rPr>
                <w:rFonts w:eastAsia="Calibri"/>
                <w:szCs w:val="21"/>
              </w:rPr>
            </w:pPr>
            <w:r>
              <w:rPr>
                <w:rFonts w:eastAsia="Calibri"/>
                <w:spacing w:val="1"/>
                <w:szCs w:val="21"/>
              </w:rPr>
              <w:t>3</w:t>
            </w:r>
            <w:r>
              <w:rPr>
                <w:rFonts w:eastAsia="Calibri"/>
                <w:szCs w:val="21"/>
              </w:rPr>
              <w:t>.0E-5</w:t>
            </w:r>
          </w:p>
        </w:tc>
        <w:tc>
          <w:tcPr>
            <w:tcW w:w="3136" w:type="dxa"/>
            <w:tcBorders>
              <w:top w:val="single" w:color="000000" w:sz="2" w:space="0"/>
              <w:bottom w:val="single" w:color="000000" w:sz="2" w:space="0"/>
            </w:tcBorders>
            <w:shd w:val="clear" w:color="auto" w:fill="FF0000"/>
          </w:tcPr>
          <w:p w14:paraId="22BD22DA">
            <w:pPr>
              <w:rPr>
                <w:szCs w:val="21"/>
              </w:rPr>
            </w:pPr>
          </w:p>
        </w:tc>
      </w:tr>
      <w:tr w14:paraId="29319586">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9" w:hRule="atLeast"/>
        </w:trPr>
        <w:tc>
          <w:tcPr>
            <w:tcW w:w="4096" w:type="dxa"/>
            <w:tcBorders>
              <w:top w:val="single" w:color="000000" w:sz="2" w:space="0"/>
              <w:bottom w:val="single" w:color="000000" w:sz="2" w:space="0"/>
            </w:tcBorders>
          </w:tcPr>
          <w:p w14:paraId="42441CF8">
            <w:pPr>
              <w:spacing w:before="67" w:line="221" w:lineRule="auto"/>
              <w:ind w:left="1625"/>
              <w:rPr>
                <w:szCs w:val="21"/>
              </w:rPr>
            </w:pPr>
            <w:r>
              <w:rPr>
                <w:spacing w:val="-3"/>
                <w:szCs w:val="21"/>
              </w:rPr>
              <w:t>二</w:t>
            </w:r>
            <w:r>
              <w:rPr>
                <w:spacing w:val="-2"/>
                <w:szCs w:val="21"/>
              </w:rPr>
              <w:t>级风险</w:t>
            </w:r>
          </w:p>
          <w:p w14:paraId="22969B51">
            <w:pPr>
              <w:spacing w:before="59" w:line="221" w:lineRule="auto"/>
              <w:ind w:left="368"/>
              <w:rPr>
                <w:szCs w:val="21"/>
              </w:rPr>
            </w:pPr>
            <w:r>
              <w:rPr>
                <w:spacing w:val="10"/>
                <w:szCs w:val="21"/>
              </w:rPr>
              <w:t>(</w:t>
            </w:r>
            <w:r>
              <w:rPr>
                <w:spacing w:val="6"/>
                <w:szCs w:val="21"/>
              </w:rPr>
              <w:t>一</w:t>
            </w:r>
            <w:r>
              <w:rPr>
                <w:spacing w:val="5"/>
                <w:szCs w:val="21"/>
              </w:rPr>
              <w:t>般防护目标中的二类防护目标)</w:t>
            </w:r>
          </w:p>
        </w:tc>
        <w:tc>
          <w:tcPr>
            <w:tcW w:w="2174" w:type="dxa"/>
            <w:tcBorders>
              <w:top w:val="single" w:color="000000" w:sz="2" w:space="0"/>
              <w:bottom w:val="single" w:color="000000" w:sz="2" w:space="0"/>
            </w:tcBorders>
          </w:tcPr>
          <w:p w14:paraId="1CBD821B">
            <w:pPr>
              <w:spacing w:before="259" w:line="183" w:lineRule="auto"/>
              <w:ind w:left="819"/>
              <w:rPr>
                <w:rFonts w:eastAsia="Calibri"/>
                <w:szCs w:val="21"/>
              </w:rPr>
            </w:pPr>
            <w:r>
              <w:rPr>
                <w:rFonts w:eastAsia="Calibri"/>
                <w:spacing w:val="-1"/>
                <w:szCs w:val="21"/>
              </w:rPr>
              <w:t>1.0E-5</w:t>
            </w:r>
          </w:p>
        </w:tc>
        <w:tc>
          <w:tcPr>
            <w:tcW w:w="3136" w:type="dxa"/>
            <w:tcBorders>
              <w:top w:val="single" w:color="000000" w:sz="2" w:space="0"/>
              <w:bottom w:val="single" w:color="000000" w:sz="2" w:space="0"/>
            </w:tcBorders>
            <w:shd w:val="clear" w:color="auto" w:fill="FF00FF"/>
          </w:tcPr>
          <w:p w14:paraId="1EF8B8E4">
            <w:pPr>
              <w:rPr>
                <w:szCs w:val="21"/>
              </w:rPr>
            </w:pPr>
          </w:p>
        </w:tc>
      </w:tr>
      <w:tr w14:paraId="74884843">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6" w:hRule="atLeast"/>
        </w:trPr>
        <w:tc>
          <w:tcPr>
            <w:tcW w:w="4096" w:type="dxa"/>
            <w:tcBorders>
              <w:top w:val="single" w:color="000000" w:sz="2" w:space="0"/>
              <w:bottom w:val="single" w:color="000000" w:sz="2" w:space="0"/>
            </w:tcBorders>
          </w:tcPr>
          <w:p w14:paraId="55FED4D6">
            <w:pPr>
              <w:spacing w:before="65" w:line="312" w:lineRule="exact"/>
              <w:ind w:left="1622"/>
              <w:rPr>
                <w:szCs w:val="21"/>
              </w:rPr>
            </w:pPr>
            <w:r>
              <w:rPr>
                <w:spacing w:val="-2"/>
                <w:position w:val="7"/>
                <w:szCs w:val="21"/>
              </w:rPr>
              <w:t>三</w:t>
            </w:r>
            <w:r>
              <w:rPr>
                <w:spacing w:val="-1"/>
                <w:position w:val="7"/>
                <w:szCs w:val="21"/>
              </w:rPr>
              <w:t>级风险</w:t>
            </w:r>
          </w:p>
          <w:p w14:paraId="0C65CC4A">
            <w:pPr>
              <w:spacing w:line="220" w:lineRule="auto"/>
              <w:ind w:left="1103"/>
              <w:rPr>
                <w:szCs w:val="21"/>
              </w:rPr>
            </w:pPr>
            <w:r>
              <w:rPr>
                <w:spacing w:val="12"/>
                <w:szCs w:val="21"/>
              </w:rPr>
              <w:t>(</w:t>
            </w:r>
            <w:r>
              <w:rPr>
                <w:spacing w:val="9"/>
                <w:szCs w:val="21"/>
              </w:rPr>
              <w:t>高敏感防护目标)</w:t>
            </w:r>
          </w:p>
          <w:p w14:paraId="4982987A">
            <w:pPr>
              <w:spacing w:before="61" w:line="221" w:lineRule="auto"/>
              <w:ind w:left="1208"/>
              <w:rPr>
                <w:szCs w:val="21"/>
              </w:rPr>
            </w:pPr>
            <w:r>
              <w:rPr>
                <w:spacing w:val="17"/>
                <w:szCs w:val="21"/>
              </w:rPr>
              <w:t>(</w:t>
            </w:r>
            <w:r>
              <w:rPr>
                <w:spacing w:val="11"/>
                <w:szCs w:val="21"/>
              </w:rPr>
              <w:t>重要防护目标)</w:t>
            </w:r>
          </w:p>
          <w:p w14:paraId="08185691">
            <w:pPr>
              <w:spacing w:before="59" w:line="221" w:lineRule="auto"/>
              <w:ind w:left="368"/>
              <w:rPr>
                <w:szCs w:val="21"/>
              </w:rPr>
            </w:pPr>
            <w:r>
              <w:rPr>
                <w:spacing w:val="10"/>
                <w:szCs w:val="21"/>
              </w:rPr>
              <w:t>(</w:t>
            </w:r>
            <w:r>
              <w:rPr>
                <w:spacing w:val="6"/>
                <w:szCs w:val="21"/>
              </w:rPr>
              <w:t>一</w:t>
            </w:r>
            <w:r>
              <w:rPr>
                <w:spacing w:val="5"/>
                <w:szCs w:val="21"/>
              </w:rPr>
              <w:t>般防护目标中的一类防护目标)</w:t>
            </w:r>
          </w:p>
        </w:tc>
        <w:tc>
          <w:tcPr>
            <w:tcW w:w="2174" w:type="dxa"/>
            <w:tcBorders>
              <w:top w:val="single" w:color="000000" w:sz="2" w:space="0"/>
              <w:bottom w:val="single" w:color="000000" w:sz="2" w:space="0"/>
            </w:tcBorders>
          </w:tcPr>
          <w:p w14:paraId="344DF21D">
            <w:pPr>
              <w:spacing w:line="252" w:lineRule="auto"/>
              <w:rPr>
                <w:szCs w:val="21"/>
              </w:rPr>
            </w:pPr>
          </w:p>
          <w:p w14:paraId="2C026076">
            <w:pPr>
              <w:spacing w:line="253" w:lineRule="auto"/>
              <w:rPr>
                <w:szCs w:val="21"/>
              </w:rPr>
            </w:pPr>
          </w:p>
          <w:p w14:paraId="13638BCA">
            <w:pPr>
              <w:spacing w:before="64" w:line="181" w:lineRule="auto"/>
              <w:ind w:left="812"/>
              <w:rPr>
                <w:rFonts w:eastAsia="Calibri"/>
                <w:szCs w:val="21"/>
              </w:rPr>
            </w:pPr>
            <w:r>
              <w:rPr>
                <w:rFonts w:eastAsia="Calibri"/>
                <w:spacing w:val="1"/>
                <w:szCs w:val="21"/>
              </w:rPr>
              <w:t>3.</w:t>
            </w:r>
            <w:r>
              <w:rPr>
                <w:rFonts w:eastAsia="Calibri"/>
                <w:szCs w:val="21"/>
              </w:rPr>
              <w:t>0E-6</w:t>
            </w:r>
          </w:p>
        </w:tc>
        <w:tc>
          <w:tcPr>
            <w:tcW w:w="3136" w:type="dxa"/>
            <w:tcBorders>
              <w:top w:val="single" w:color="000000" w:sz="2" w:space="0"/>
              <w:bottom w:val="single" w:color="000000" w:sz="2" w:space="0"/>
            </w:tcBorders>
            <w:shd w:val="clear" w:color="auto" w:fill="FF9900"/>
          </w:tcPr>
          <w:p w14:paraId="36805816">
            <w:pPr>
              <w:rPr>
                <w:szCs w:val="21"/>
              </w:rPr>
            </w:pPr>
          </w:p>
        </w:tc>
      </w:tr>
    </w:tbl>
    <w:p w14:paraId="4D005B2F">
      <w:pPr>
        <w:spacing w:before="36" w:line="212" w:lineRule="auto"/>
        <w:ind w:left="1606"/>
        <w:rPr>
          <w:szCs w:val="21"/>
        </w:rPr>
      </w:pPr>
      <w:r>
        <w:rPr>
          <w:spacing w:val="2"/>
          <w:szCs w:val="21"/>
        </w:rPr>
        <w:t>表 9.4</w:t>
      </w:r>
      <w:r>
        <w:rPr>
          <w:rFonts w:eastAsia="Calibri"/>
          <w:spacing w:val="2"/>
          <w:szCs w:val="21"/>
        </w:rPr>
        <w:t xml:space="preserve">-2 </w:t>
      </w:r>
      <w:r>
        <w:rPr>
          <w:spacing w:val="2"/>
          <w:szCs w:val="21"/>
        </w:rPr>
        <w:t>新改扩装置个人风险</w:t>
      </w:r>
      <w:r>
        <w:rPr>
          <w:spacing w:val="1"/>
          <w:szCs w:val="21"/>
        </w:rPr>
        <w:t>标准详细配置(单位：次</w:t>
      </w:r>
      <w:r>
        <w:rPr>
          <w:rFonts w:eastAsia="Calibri"/>
          <w:spacing w:val="1"/>
          <w:szCs w:val="21"/>
        </w:rPr>
        <w:t>/</w:t>
      </w:r>
      <w:r>
        <w:rPr>
          <w:spacing w:val="1"/>
          <w:szCs w:val="21"/>
        </w:rPr>
        <w:t>年)</w:t>
      </w:r>
    </w:p>
    <w:tbl>
      <w:tblPr>
        <w:tblStyle w:val="58"/>
        <w:tblW w:w="9406" w:type="dxa"/>
        <w:tblInd w:w="12"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096"/>
        <w:gridCol w:w="2174"/>
        <w:gridCol w:w="3136"/>
      </w:tblGrid>
      <w:tr w14:paraId="5F4AD2D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39" w:hRule="atLeast"/>
        </w:trPr>
        <w:tc>
          <w:tcPr>
            <w:tcW w:w="4096" w:type="dxa"/>
            <w:tcBorders>
              <w:top w:val="single" w:color="000000" w:sz="2" w:space="0"/>
              <w:bottom w:val="single" w:color="000000" w:sz="2" w:space="0"/>
            </w:tcBorders>
          </w:tcPr>
          <w:p w14:paraId="3133F1DD">
            <w:pPr>
              <w:spacing w:before="170" w:line="221" w:lineRule="auto"/>
              <w:ind w:left="1623"/>
              <w:rPr>
                <w:szCs w:val="21"/>
              </w:rPr>
            </w:pPr>
            <w:r>
              <w:rPr>
                <w:spacing w:val="-1"/>
                <w:szCs w:val="21"/>
              </w:rPr>
              <w:t>风险等级</w:t>
            </w:r>
          </w:p>
        </w:tc>
        <w:tc>
          <w:tcPr>
            <w:tcW w:w="2174" w:type="dxa"/>
            <w:tcBorders>
              <w:top w:val="single" w:color="000000" w:sz="2" w:space="0"/>
              <w:bottom w:val="single" w:color="000000" w:sz="2" w:space="0"/>
            </w:tcBorders>
          </w:tcPr>
          <w:p w14:paraId="5982B454">
            <w:pPr>
              <w:spacing w:before="170" w:line="221" w:lineRule="auto"/>
              <w:ind w:left="765"/>
              <w:rPr>
                <w:szCs w:val="21"/>
              </w:rPr>
            </w:pPr>
            <w:r>
              <w:rPr>
                <w:spacing w:val="-2"/>
                <w:szCs w:val="21"/>
              </w:rPr>
              <w:t>风</w:t>
            </w:r>
            <w:r>
              <w:rPr>
                <w:spacing w:val="-1"/>
                <w:szCs w:val="21"/>
              </w:rPr>
              <w:t>险值</w:t>
            </w:r>
          </w:p>
        </w:tc>
        <w:tc>
          <w:tcPr>
            <w:tcW w:w="3136" w:type="dxa"/>
            <w:tcBorders>
              <w:top w:val="single" w:color="000000" w:sz="2" w:space="0"/>
              <w:bottom w:val="single" w:color="000000" w:sz="2" w:space="0"/>
            </w:tcBorders>
          </w:tcPr>
          <w:p w14:paraId="5CBAB7A3">
            <w:pPr>
              <w:spacing w:before="171" w:line="221" w:lineRule="auto"/>
              <w:ind w:left="1140"/>
              <w:rPr>
                <w:szCs w:val="21"/>
              </w:rPr>
            </w:pPr>
            <w:r>
              <w:rPr>
                <w:spacing w:val="-1"/>
                <w:szCs w:val="21"/>
              </w:rPr>
              <w:t>风险颜色</w:t>
            </w:r>
          </w:p>
        </w:tc>
      </w:tr>
      <w:tr w14:paraId="6DBEFC31">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7" w:hRule="atLeast"/>
        </w:trPr>
        <w:tc>
          <w:tcPr>
            <w:tcW w:w="4096" w:type="dxa"/>
            <w:tcBorders>
              <w:top w:val="single" w:color="000000" w:sz="2" w:space="0"/>
              <w:bottom w:val="single" w:color="000000" w:sz="2" w:space="0"/>
            </w:tcBorders>
          </w:tcPr>
          <w:p w14:paraId="6C168B36">
            <w:pPr>
              <w:spacing w:before="64" w:line="221" w:lineRule="auto"/>
              <w:ind w:left="1625"/>
              <w:rPr>
                <w:szCs w:val="21"/>
              </w:rPr>
            </w:pPr>
            <w:r>
              <w:rPr>
                <w:spacing w:val="-3"/>
                <w:szCs w:val="21"/>
              </w:rPr>
              <w:t>一</w:t>
            </w:r>
            <w:r>
              <w:rPr>
                <w:spacing w:val="-2"/>
                <w:szCs w:val="21"/>
              </w:rPr>
              <w:t>级风险</w:t>
            </w:r>
          </w:p>
          <w:p w14:paraId="21BB2963">
            <w:pPr>
              <w:spacing w:before="59" w:line="221" w:lineRule="auto"/>
              <w:ind w:left="368"/>
              <w:rPr>
                <w:szCs w:val="21"/>
              </w:rPr>
            </w:pPr>
            <w:r>
              <w:rPr>
                <w:spacing w:val="10"/>
                <w:szCs w:val="21"/>
              </w:rPr>
              <w:t>(</w:t>
            </w:r>
            <w:r>
              <w:rPr>
                <w:spacing w:val="6"/>
                <w:szCs w:val="21"/>
              </w:rPr>
              <w:t>一</w:t>
            </w:r>
            <w:r>
              <w:rPr>
                <w:spacing w:val="5"/>
                <w:szCs w:val="21"/>
              </w:rPr>
              <w:t>般防护目标中的三类防护目标)</w:t>
            </w:r>
          </w:p>
        </w:tc>
        <w:tc>
          <w:tcPr>
            <w:tcW w:w="2174" w:type="dxa"/>
            <w:tcBorders>
              <w:top w:val="single" w:color="000000" w:sz="2" w:space="0"/>
              <w:bottom w:val="single" w:color="000000" w:sz="2" w:space="0"/>
            </w:tcBorders>
          </w:tcPr>
          <w:p w14:paraId="4EA8D63E">
            <w:pPr>
              <w:spacing w:before="259" w:line="183" w:lineRule="auto"/>
              <w:ind w:left="819"/>
              <w:rPr>
                <w:rFonts w:eastAsia="Calibri"/>
                <w:szCs w:val="21"/>
              </w:rPr>
            </w:pPr>
            <w:r>
              <w:rPr>
                <w:rFonts w:eastAsia="Calibri"/>
                <w:spacing w:val="-1"/>
                <w:szCs w:val="21"/>
              </w:rPr>
              <w:t>1.0E-5</w:t>
            </w:r>
          </w:p>
        </w:tc>
        <w:tc>
          <w:tcPr>
            <w:tcW w:w="3136" w:type="dxa"/>
            <w:tcBorders>
              <w:top w:val="single" w:color="000000" w:sz="2" w:space="0"/>
              <w:bottom w:val="single" w:color="000000" w:sz="2" w:space="0"/>
            </w:tcBorders>
            <w:shd w:val="clear" w:color="auto" w:fill="FF3399"/>
          </w:tcPr>
          <w:p w14:paraId="33C044A9">
            <w:pPr>
              <w:rPr>
                <w:szCs w:val="21"/>
              </w:rPr>
            </w:pPr>
          </w:p>
        </w:tc>
      </w:tr>
      <w:tr w14:paraId="6717547A">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649" w:hRule="atLeast"/>
        </w:trPr>
        <w:tc>
          <w:tcPr>
            <w:tcW w:w="4096" w:type="dxa"/>
            <w:tcBorders>
              <w:top w:val="single" w:color="000000" w:sz="2" w:space="0"/>
              <w:bottom w:val="single" w:color="000000" w:sz="2" w:space="0"/>
            </w:tcBorders>
          </w:tcPr>
          <w:p w14:paraId="23C9FC15">
            <w:pPr>
              <w:spacing w:before="67" w:line="221" w:lineRule="auto"/>
              <w:ind w:left="1625"/>
              <w:rPr>
                <w:szCs w:val="21"/>
              </w:rPr>
            </w:pPr>
            <w:r>
              <w:rPr>
                <w:spacing w:val="-3"/>
                <w:szCs w:val="21"/>
              </w:rPr>
              <w:t>二</w:t>
            </w:r>
            <w:r>
              <w:rPr>
                <w:spacing w:val="-2"/>
                <w:szCs w:val="21"/>
              </w:rPr>
              <w:t>级风险</w:t>
            </w:r>
          </w:p>
          <w:p w14:paraId="0354CA04">
            <w:pPr>
              <w:spacing w:before="59" w:line="221" w:lineRule="auto"/>
              <w:ind w:left="368"/>
              <w:rPr>
                <w:szCs w:val="21"/>
              </w:rPr>
            </w:pPr>
            <w:r>
              <w:rPr>
                <w:spacing w:val="10"/>
                <w:szCs w:val="21"/>
              </w:rPr>
              <w:t>(</w:t>
            </w:r>
            <w:r>
              <w:rPr>
                <w:spacing w:val="6"/>
                <w:szCs w:val="21"/>
              </w:rPr>
              <w:t>一</w:t>
            </w:r>
            <w:r>
              <w:rPr>
                <w:spacing w:val="5"/>
                <w:szCs w:val="21"/>
              </w:rPr>
              <w:t>般防护目标中的二类防护目标)</w:t>
            </w:r>
          </w:p>
        </w:tc>
        <w:tc>
          <w:tcPr>
            <w:tcW w:w="2174" w:type="dxa"/>
            <w:tcBorders>
              <w:top w:val="single" w:color="000000" w:sz="2" w:space="0"/>
              <w:bottom w:val="single" w:color="000000" w:sz="2" w:space="0"/>
            </w:tcBorders>
          </w:tcPr>
          <w:p w14:paraId="7F7F3015">
            <w:pPr>
              <w:spacing w:before="260" w:line="181" w:lineRule="auto"/>
              <w:ind w:left="812"/>
              <w:rPr>
                <w:rFonts w:eastAsia="Calibri"/>
                <w:szCs w:val="21"/>
              </w:rPr>
            </w:pPr>
            <w:r>
              <w:rPr>
                <w:rFonts w:eastAsia="Calibri"/>
                <w:spacing w:val="1"/>
                <w:szCs w:val="21"/>
              </w:rPr>
              <w:t>3.</w:t>
            </w:r>
            <w:r>
              <w:rPr>
                <w:rFonts w:eastAsia="Calibri"/>
                <w:szCs w:val="21"/>
              </w:rPr>
              <w:t>0E-6</w:t>
            </w:r>
          </w:p>
        </w:tc>
        <w:tc>
          <w:tcPr>
            <w:tcW w:w="3136" w:type="dxa"/>
            <w:tcBorders>
              <w:top w:val="single" w:color="000000" w:sz="2" w:space="0"/>
              <w:bottom w:val="single" w:color="000000" w:sz="2" w:space="0"/>
            </w:tcBorders>
            <w:shd w:val="clear" w:color="auto" w:fill="FF9900"/>
          </w:tcPr>
          <w:p w14:paraId="14642A70">
            <w:pPr>
              <w:rPr>
                <w:szCs w:val="21"/>
              </w:rPr>
            </w:pPr>
          </w:p>
        </w:tc>
      </w:tr>
      <w:tr w14:paraId="4D8C2137">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1286" w:hRule="atLeast"/>
        </w:trPr>
        <w:tc>
          <w:tcPr>
            <w:tcW w:w="4096" w:type="dxa"/>
            <w:tcBorders>
              <w:top w:val="single" w:color="000000" w:sz="2" w:space="0"/>
              <w:bottom w:val="single" w:color="000000" w:sz="2" w:space="0"/>
            </w:tcBorders>
          </w:tcPr>
          <w:p w14:paraId="3BD90F4E">
            <w:pPr>
              <w:spacing w:before="66" w:line="312" w:lineRule="exact"/>
              <w:ind w:left="1622"/>
              <w:rPr>
                <w:szCs w:val="21"/>
              </w:rPr>
            </w:pPr>
            <w:r>
              <w:rPr>
                <w:spacing w:val="-2"/>
                <w:position w:val="7"/>
                <w:szCs w:val="21"/>
              </w:rPr>
              <w:t>三</w:t>
            </w:r>
            <w:r>
              <w:rPr>
                <w:spacing w:val="-1"/>
                <w:position w:val="7"/>
                <w:szCs w:val="21"/>
              </w:rPr>
              <w:t>级风险</w:t>
            </w:r>
          </w:p>
          <w:p w14:paraId="090F5B28">
            <w:pPr>
              <w:spacing w:line="220" w:lineRule="auto"/>
              <w:ind w:left="1103"/>
              <w:rPr>
                <w:szCs w:val="21"/>
              </w:rPr>
            </w:pPr>
            <w:r>
              <w:rPr>
                <w:spacing w:val="12"/>
                <w:szCs w:val="21"/>
              </w:rPr>
              <w:t>(</w:t>
            </w:r>
            <w:r>
              <w:rPr>
                <w:spacing w:val="9"/>
                <w:szCs w:val="21"/>
              </w:rPr>
              <w:t>高敏感防护目标)</w:t>
            </w:r>
          </w:p>
          <w:p w14:paraId="300F5070">
            <w:pPr>
              <w:spacing w:before="61" w:line="221" w:lineRule="auto"/>
              <w:ind w:left="1208"/>
              <w:rPr>
                <w:szCs w:val="21"/>
              </w:rPr>
            </w:pPr>
            <w:r>
              <w:rPr>
                <w:spacing w:val="17"/>
                <w:szCs w:val="21"/>
              </w:rPr>
              <w:t>(</w:t>
            </w:r>
            <w:r>
              <w:rPr>
                <w:spacing w:val="11"/>
                <w:szCs w:val="21"/>
              </w:rPr>
              <w:t>重要防护目标)</w:t>
            </w:r>
          </w:p>
          <w:p w14:paraId="070C499B">
            <w:pPr>
              <w:spacing w:before="59" w:line="221" w:lineRule="auto"/>
              <w:ind w:left="368"/>
              <w:rPr>
                <w:szCs w:val="21"/>
              </w:rPr>
            </w:pPr>
            <w:r>
              <w:rPr>
                <w:spacing w:val="10"/>
                <w:szCs w:val="21"/>
              </w:rPr>
              <w:t>(</w:t>
            </w:r>
            <w:r>
              <w:rPr>
                <w:spacing w:val="6"/>
                <w:szCs w:val="21"/>
              </w:rPr>
              <w:t>一</w:t>
            </w:r>
            <w:r>
              <w:rPr>
                <w:spacing w:val="5"/>
                <w:szCs w:val="21"/>
              </w:rPr>
              <w:t>般防护目标中的一类防护目标)</w:t>
            </w:r>
          </w:p>
        </w:tc>
        <w:tc>
          <w:tcPr>
            <w:tcW w:w="2174" w:type="dxa"/>
            <w:tcBorders>
              <w:top w:val="single" w:color="000000" w:sz="2" w:space="0"/>
              <w:bottom w:val="single" w:color="000000" w:sz="2" w:space="0"/>
            </w:tcBorders>
          </w:tcPr>
          <w:p w14:paraId="4CC257D3">
            <w:pPr>
              <w:spacing w:line="253" w:lineRule="auto"/>
              <w:rPr>
                <w:szCs w:val="21"/>
              </w:rPr>
            </w:pPr>
          </w:p>
          <w:p w14:paraId="5DBD2E38">
            <w:pPr>
              <w:spacing w:line="253" w:lineRule="auto"/>
              <w:rPr>
                <w:szCs w:val="21"/>
              </w:rPr>
            </w:pPr>
          </w:p>
          <w:p w14:paraId="2F99ECFF">
            <w:pPr>
              <w:spacing w:before="64" w:line="181" w:lineRule="auto"/>
              <w:ind w:left="812"/>
              <w:rPr>
                <w:rFonts w:eastAsia="Calibri"/>
                <w:szCs w:val="21"/>
              </w:rPr>
            </w:pPr>
            <w:r>
              <w:rPr>
                <w:rFonts w:eastAsia="Calibri"/>
                <w:spacing w:val="1"/>
                <w:szCs w:val="21"/>
              </w:rPr>
              <w:t>3</w:t>
            </w:r>
            <w:r>
              <w:rPr>
                <w:rFonts w:eastAsia="Calibri"/>
                <w:szCs w:val="21"/>
              </w:rPr>
              <w:t>.0E-7</w:t>
            </w:r>
          </w:p>
        </w:tc>
        <w:tc>
          <w:tcPr>
            <w:tcW w:w="3136" w:type="dxa"/>
            <w:tcBorders>
              <w:top w:val="single" w:color="000000" w:sz="2" w:space="0"/>
              <w:bottom w:val="single" w:color="000000" w:sz="2" w:space="0"/>
            </w:tcBorders>
            <w:shd w:val="clear" w:color="auto" w:fill="FFFF00"/>
          </w:tcPr>
          <w:p w14:paraId="6130705F">
            <w:pPr>
              <w:rPr>
                <w:szCs w:val="21"/>
              </w:rPr>
            </w:pPr>
          </w:p>
        </w:tc>
      </w:tr>
    </w:tbl>
    <w:p w14:paraId="5D06745F">
      <w:pPr>
        <w:spacing w:line="360" w:lineRule="auto"/>
        <w:ind w:firstLine="520" w:firstLineChars="200"/>
        <w:rPr>
          <w:spacing w:val="10"/>
          <w:szCs w:val="28"/>
        </w:rPr>
      </w:pPr>
      <w:r>
        <w:rPr>
          <w:spacing w:val="10"/>
          <w:sz w:val="24"/>
          <w:szCs w:val="24"/>
        </w:rPr>
        <w:t>根据《淮南经开区化工园区安全风险评估模拟计算》(北京中矿基</w:t>
      </w:r>
      <w:r>
        <w:rPr>
          <w:spacing w:val="8"/>
          <w:sz w:val="24"/>
          <w:szCs w:val="24"/>
        </w:rPr>
        <w:t>业</w:t>
      </w:r>
      <w:r>
        <w:rPr>
          <w:spacing w:val="18"/>
          <w:sz w:val="24"/>
          <w:szCs w:val="24"/>
        </w:rPr>
        <w:t>安全防范技术有限公司)</w:t>
      </w:r>
      <w:r>
        <w:rPr>
          <w:sz w:val="24"/>
          <w:szCs w:val="24"/>
        </w:rPr>
        <w:t>区块一和区块二</w:t>
      </w:r>
      <w:r>
        <w:rPr>
          <w:spacing w:val="18"/>
          <w:sz w:val="24"/>
          <w:szCs w:val="24"/>
        </w:rPr>
        <w:t>整</w:t>
      </w:r>
      <w:r>
        <w:rPr>
          <w:spacing w:val="15"/>
          <w:sz w:val="24"/>
          <w:szCs w:val="24"/>
        </w:rPr>
        <w:t>体</w:t>
      </w:r>
      <w:r>
        <w:rPr>
          <w:spacing w:val="11"/>
          <w:sz w:val="24"/>
          <w:szCs w:val="24"/>
        </w:rPr>
        <w:t>个人风险结果如下</w:t>
      </w:r>
      <w:r>
        <w:rPr>
          <w:spacing w:val="10"/>
          <w:sz w:val="24"/>
          <w:szCs w:val="24"/>
        </w:rPr>
        <w:t>：</w:t>
      </w:r>
    </w:p>
    <w:p w14:paraId="319C3F85">
      <w:pPr>
        <w:spacing w:line="387" w:lineRule="auto"/>
      </w:pPr>
      <w:r>
        <w:drawing>
          <wp:inline distT="0" distB="0" distL="0" distR="0">
            <wp:extent cx="5831205" cy="3815080"/>
            <wp:effectExtent l="0" t="0" r="17145" b="13970"/>
            <wp:docPr id="12" name="IM 1"/>
            <wp:cNvGraphicFramePr/>
            <a:graphic xmlns:a="http://schemas.openxmlformats.org/drawingml/2006/main">
              <a:graphicData uri="http://schemas.openxmlformats.org/drawingml/2006/picture">
                <pic:pic xmlns:pic="http://schemas.openxmlformats.org/drawingml/2006/picture">
                  <pic:nvPicPr>
                    <pic:cNvPr id="12" name="IM 1"/>
                    <pic:cNvPicPr/>
                  </pic:nvPicPr>
                  <pic:blipFill>
                    <a:blip r:embed="rId31"/>
                    <a:stretch>
                      <a:fillRect/>
                    </a:stretch>
                  </pic:blipFill>
                  <pic:spPr>
                    <a:xfrm>
                      <a:off x="0" y="0"/>
                      <a:ext cx="5831459" cy="3815080"/>
                    </a:xfrm>
                    <a:prstGeom prst="rect">
                      <a:avLst/>
                    </a:prstGeom>
                  </pic:spPr>
                </pic:pic>
              </a:graphicData>
            </a:graphic>
          </wp:inline>
        </w:drawing>
      </w:r>
    </w:p>
    <w:p w14:paraId="1B444E7C">
      <w:pPr>
        <w:jc w:val="center"/>
        <w:rPr>
          <w:szCs w:val="21"/>
        </w:rPr>
      </w:pPr>
      <w:r>
        <w:rPr>
          <w:spacing w:val="-7"/>
          <w:szCs w:val="21"/>
        </w:rPr>
        <w:t>图</w:t>
      </w:r>
      <w:r>
        <w:rPr>
          <w:spacing w:val="-5"/>
          <w:szCs w:val="21"/>
        </w:rPr>
        <w:t>9.4</w:t>
      </w:r>
      <w:r>
        <w:rPr>
          <w:rFonts w:eastAsia="Times New Roman"/>
          <w:spacing w:val="-5"/>
          <w:szCs w:val="21"/>
        </w:rPr>
        <w:t>- 1</w:t>
      </w:r>
      <w:r>
        <w:rPr>
          <w:szCs w:val="21"/>
        </w:rPr>
        <w:t>区块一</w:t>
      </w:r>
      <w:r>
        <w:rPr>
          <w:spacing w:val="-5"/>
          <w:szCs w:val="21"/>
        </w:rPr>
        <w:t>整体个人风险分布图</w:t>
      </w:r>
    </w:p>
    <w:p w14:paraId="0ACA8D90">
      <w:pPr>
        <w:pStyle w:val="12"/>
        <w:spacing w:beforeLines="50" w:afterLines="50" w:line="360" w:lineRule="auto"/>
        <w:ind w:firstLine="0"/>
        <w:jc w:val="left"/>
        <w:rPr>
          <w:b/>
          <w:szCs w:val="28"/>
        </w:rPr>
      </w:pPr>
      <w:r>
        <w:drawing>
          <wp:inline distT="0" distB="0" distL="0" distR="0">
            <wp:extent cx="5831205" cy="3486785"/>
            <wp:effectExtent l="0" t="0" r="17145" b="18415"/>
            <wp:docPr id="3" name="IM 2"/>
            <wp:cNvGraphicFramePr/>
            <a:graphic xmlns:a="http://schemas.openxmlformats.org/drawingml/2006/main">
              <a:graphicData uri="http://schemas.openxmlformats.org/drawingml/2006/picture">
                <pic:pic xmlns:pic="http://schemas.openxmlformats.org/drawingml/2006/picture">
                  <pic:nvPicPr>
                    <pic:cNvPr id="3" name="IM 2"/>
                    <pic:cNvPicPr/>
                  </pic:nvPicPr>
                  <pic:blipFill>
                    <a:blip r:embed="rId32"/>
                    <a:stretch>
                      <a:fillRect/>
                    </a:stretch>
                  </pic:blipFill>
                  <pic:spPr>
                    <a:xfrm>
                      <a:off x="0" y="0"/>
                      <a:ext cx="5831332" cy="3486785"/>
                    </a:xfrm>
                    <a:prstGeom prst="rect">
                      <a:avLst/>
                    </a:prstGeom>
                  </pic:spPr>
                </pic:pic>
              </a:graphicData>
            </a:graphic>
          </wp:inline>
        </w:drawing>
      </w:r>
    </w:p>
    <w:p w14:paraId="0DFDBBFF">
      <w:pPr>
        <w:spacing w:before="283" w:line="219" w:lineRule="auto"/>
        <w:ind w:left="2144"/>
        <w:rPr>
          <w:szCs w:val="21"/>
        </w:rPr>
      </w:pPr>
      <w:r>
        <w:rPr>
          <w:spacing w:val="-6"/>
          <w:szCs w:val="21"/>
        </w:rPr>
        <w:t>图</w:t>
      </w:r>
      <w:r>
        <w:rPr>
          <w:spacing w:val="-5"/>
          <w:szCs w:val="21"/>
        </w:rPr>
        <w:t>9.4</w:t>
      </w:r>
      <w:r>
        <w:rPr>
          <w:rFonts w:eastAsia="Times New Roman"/>
          <w:spacing w:val="-3"/>
          <w:szCs w:val="21"/>
        </w:rPr>
        <w:t>-2</w:t>
      </w:r>
      <w:r>
        <w:rPr>
          <w:spacing w:val="-3"/>
          <w:szCs w:val="21"/>
        </w:rPr>
        <w:t>、区块二整体个人风险分布图</w:t>
      </w:r>
    </w:p>
    <w:p w14:paraId="633F890F">
      <w:pPr>
        <w:rPr>
          <w:szCs w:val="21"/>
        </w:rPr>
      </w:pPr>
      <w:r>
        <w:rPr>
          <w:spacing w:val="-4"/>
          <w:szCs w:val="21"/>
        </w:rPr>
        <w:t>备注：</w:t>
      </w:r>
      <w:r>
        <w:rPr>
          <w:spacing w:val="-2"/>
          <w:szCs w:val="21"/>
        </w:rPr>
        <w:t>橙色线为</w:t>
      </w:r>
      <w:r>
        <w:rPr>
          <w:rFonts w:eastAsia="Times New Roman"/>
          <w:spacing w:val="-2"/>
          <w:szCs w:val="21"/>
        </w:rPr>
        <w:t>3</w:t>
      </w:r>
      <w:r>
        <w:rPr>
          <w:spacing w:val="-2"/>
          <w:szCs w:val="21"/>
        </w:rPr>
        <w:t>×</w:t>
      </w:r>
      <w:r>
        <w:rPr>
          <w:rFonts w:eastAsia="Times New Roman"/>
          <w:spacing w:val="-2"/>
          <w:szCs w:val="21"/>
        </w:rPr>
        <w:t>10</w:t>
      </w:r>
      <w:r>
        <w:rPr>
          <w:rFonts w:eastAsia="Times New Roman"/>
          <w:spacing w:val="-2"/>
          <w:szCs w:val="21"/>
          <w:vertAlign w:val="superscript"/>
        </w:rPr>
        <w:t>-6</w:t>
      </w:r>
      <w:r>
        <w:rPr>
          <w:spacing w:val="-2"/>
          <w:szCs w:val="21"/>
        </w:rPr>
        <w:t>线(</w:t>
      </w:r>
      <w:r>
        <w:rPr>
          <w:rFonts w:eastAsia="Times New Roman"/>
          <w:spacing w:val="-2"/>
          <w:szCs w:val="21"/>
        </w:rPr>
        <w:t>1.</w:t>
      </w:r>
      <w:r>
        <w:rPr>
          <w:spacing w:val="-2"/>
          <w:szCs w:val="21"/>
        </w:rPr>
        <w:t>高敏感场所</w:t>
      </w:r>
      <w:r>
        <w:rPr>
          <w:rFonts w:eastAsia="Times New Roman"/>
          <w:spacing w:val="-2"/>
          <w:szCs w:val="21"/>
        </w:rPr>
        <w:t>;2.</w:t>
      </w:r>
      <w:r>
        <w:rPr>
          <w:spacing w:val="-2"/>
          <w:szCs w:val="21"/>
        </w:rPr>
        <w:t>重要防护目标</w:t>
      </w:r>
      <w:r>
        <w:rPr>
          <w:rFonts w:eastAsia="Times New Roman"/>
          <w:spacing w:val="-2"/>
          <w:szCs w:val="21"/>
        </w:rPr>
        <w:t>;3.</w:t>
      </w:r>
      <w:r>
        <w:rPr>
          <w:spacing w:val="-2"/>
          <w:szCs w:val="21"/>
        </w:rPr>
        <w:t>一般防护目标中的一类防护目标粉线为</w:t>
      </w:r>
      <w:r>
        <w:rPr>
          <w:rFonts w:eastAsia="Times New Roman"/>
          <w:spacing w:val="-1"/>
          <w:szCs w:val="21"/>
        </w:rPr>
        <w:t>1</w:t>
      </w:r>
      <w:r>
        <w:rPr>
          <w:spacing w:val="-1"/>
          <w:szCs w:val="21"/>
        </w:rPr>
        <w:t>×</w:t>
      </w:r>
      <w:r>
        <w:rPr>
          <w:rFonts w:eastAsia="Times New Roman"/>
          <w:spacing w:val="-1"/>
          <w:szCs w:val="21"/>
        </w:rPr>
        <w:t>10</w:t>
      </w:r>
      <w:r>
        <w:rPr>
          <w:rFonts w:eastAsia="Times New Roman"/>
          <w:spacing w:val="-1"/>
          <w:szCs w:val="21"/>
          <w:vertAlign w:val="superscript"/>
        </w:rPr>
        <w:t>-5</w:t>
      </w:r>
      <w:r>
        <w:rPr>
          <w:spacing w:val="-1"/>
          <w:szCs w:val="21"/>
        </w:rPr>
        <w:t>线(一般防护目标中的二类防护目标)；红色线为</w:t>
      </w:r>
      <w:r>
        <w:rPr>
          <w:rFonts w:eastAsia="Times New Roman"/>
          <w:spacing w:val="-1"/>
          <w:szCs w:val="21"/>
        </w:rPr>
        <w:t>3</w:t>
      </w:r>
      <w:r>
        <w:rPr>
          <w:spacing w:val="-1"/>
          <w:szCs w:val="21"/>
        </w:rPr>
        <w:t>×</w:t>
      </w:r>
      <w:r>
        <w:rPr>
          <w:rFonts w:eastAsia="Times New Roman"/>
          <w:spacing w:val="-1"/>
          <w:szCs w:val="21"/>
        </w:rPr>
        <w:t>10</w:t>
      </w:r>
      <w:r>
        <w:rPr>
          <w:rFonts w:eastAsia="Times New Roman"/>
          <w:spacing w:val="-1"/>
          <w:szCs w:val="21"/>
          <w:vertAlign w:val="superscript"/>
        </w:rPr>
        <w:t>-5</w:t>
      </w:r>
      <w:r>
        <w:rPr>
          <w:spacing w:val="-1"/>
          <w:szCs w:val="21"/>
        </w:rPr>
        <w:t>线(一般防护目标中</w:t>
      </w:r>
      <w:r>
        <w:rPr>
          <w:spacing w:val="-4"/>
          <w:szCs w:val="21"/>
        </w:rPr>
        <w:t>的</w:t>
      </w:r>
      <w:r>
        <w:rPr>
          <w:spacing w:val="-3"/>
          <w:szCs w:val="21"/>
        </w:rPr>
        <w:t>三类防护目标。黄色线条为企业边界范围，绿色线条为周边防护目标边界。</w:t>
      </w:r>
    </w:p>
    <w:p w14:paraId="61C93738">
      <w:pPr>
        <w:pStyle w:val="12"/>
        <w:spacing w:beforeLines="50" w:afterLines="50" w:line="360" w:lineRule="auto"/>
        <w:ind w:firstLine="0"/>
        <w:jc w:val="left"/>
        <w:rPr>
          <w:spacing w:val="-3"/>
          <w:szCs w:val="21"/>
        </w:rPr>
      </w:pPr>
      <w:r>
        <w:drawing>
          <wp:inline distT="0" distB="0" distL="0" distR="0">
            <wp:extent cx="5667375" cy="3143885"/>
            <wp:effectExtent l="0" t="0" r="9525" b="18415"/>
            <wp:docPr id="7" name="IM 33"/>
            <wp:cNvGraphicFramePr/>
            <a:graphic xmlns:a="http://schemas.openxmlformats.org/drawingml/2006/main">
              <a:graphicData uri="http://schemas.openxmlformats.org/drawingml/2006/picture">
                <pic:pic xmlns:pic="http://schemas.openxmlformats.org/drawingml/2006/picture">
                  <pic:nvPicPr>
                    <pic:cNvPr id="7" name="IM 33"/>
                    <pic:cNvPicPr/>
                  </pic:nvPicPr>
                  <pic:blipFill>
                    <a:blip r:embed="rId33"/>
                    <a:stretch>
                      <a:fillRect/>
                    </a:stretch>
                  </pic:blipFill>
                  <pic:spPr>
                    <a:xfrm>
                      <a:off x="0" y="0"/>
                      <a:ext cx="5668009" cy="3144519"/>
                    </a:xfrm>
                    <a:prstGeom prst="rect">
                      <a:avLst/>
                    </a:prstGeom>
                  </pic:spPr>
                </pic:pic>
              </a:graphicData>
            </a:graphic>
          </wp:inline>
        </w:drawing>
      </w:r>
    </w:p>
    <w:p w14:paraId="2CB819D8">
      <w:pPr>
        <w:spacing w:before="294" w:line="219" w:lineRule="auto"/>
        <w:ind w:left="1784"/>
        <w:rPr>
          <w:szCs w:val="21"/>
        </w:rPr>
      </w:pPr>
      <w:r>
        <w:rPr>
          <w:szCs w:val="21"/>
        </w:rPr>
        <w:t>图9.4-3、区块一(整改后)整体个人风险分布图</w:t>
      </w:r>
    </w:p>
    <w:p w14:paraId="3A5FECC9">
      <w:pPr>
        <w:spacing w:before="12" w:line="260" w:lineRule="auto"/>
        <w:ind w:left="145" w:right="419" w:firstLine="2"/>
        <w:rPr>
          <w:szCs w:val="21"/>
        </w:rPr>
      </w:pPr>
      <w:r>
        <w:rPr>
          <w:spacing w:val="-12"/>
          <w:szCs w:val="21"/>
        </w:rPr>
        <w:t>备注：德</w:t>
      </w:r>
      <w:r>
        <w:rPr>
          <w:spacing w:val="-6"/>
          <w:szCs w:val="21"/>
        </w:rPr>
        <w:t>邦化工拟将现役的</w:t>
      </w:r>
      <w:r>
        <w:rPr>
          <w:rFonts w:eastAsia="Times New Roman"/>
          <w:spacing w:val="-6"/>
          <w:szCs w:val="21"/>
        </w:rPr>
        <w:t>1</w:t>
      </w:r>
      <w:r>
        <w:rPr>
          <w:spacing w:val="-6"/>
          <w:szCs w:val="21"/>
        </w:rPr>
        <w:t>台</w:t>
      </w:r>
      <w:r>
        <w:rPr>
          <w:rFonts w:eastAsia="Times New Roman"/>
          <w:spacing w:val="-6"/>
          <w:szCs w:val="21"/>
        </w:rPr>
        <w:t>50m</w:t>
      </w:r>
      <w:r>
        <w:rPr>
          <w:spacing w:val="-6"/>
          <w:szCs w:val="21"/>
          <w:vertAlign w:val="superscript"/>
        </w:rPr>
        <w:t>3</w:t>
      </w:r>
      <w:r>
        <w:rPr>
          <w:spacing w:val="-6"/>
          <w:szCs w:val="21"/>
        </w:rPr>
        <w:t>的液氨储罐和</w:t>
      </w:r>
      <w:r>
        <w:rPr>
          <w:rFonts w:eastAsia="Times New Roman"/>
          <w:spacing w:val="-6"/>
          <w:szCs w:val="21"/>
        </w:rPr>
        <w:t>1</w:t>
      </w:r>
      <w:r>
        <w:rPr>
          <w:spacing w:val="-6"/>
          <w:szCs w:val="21"/>
        </w:rPr>
        <w:t>台</w:t>
      </w:r>
      <w:r>
        <w:rPr>
          <w:rFonts w:eastAsia="Times New Roman"/>
          <w:spacing w:val="-6"/>
          <w:szCs w:val="21"/>
        </w:rPr>
        <w:t>48m</w:t>
      </w:r>
      <w:r>
        <w:rPr>
          <w:spacing w:val="-6"/>
          <w:szCs w:val="21"/>
          <w:vertAlign w:val="superscript"/>
        </w:rPr>
        <w:t>3</w:t>
      </w:r>
      <w:r>
        <w:rPr>
          <w:spacing w:val="-6"/>
          <w:szCs w:val="21"/>
        </w:rPr>
        <w:t>液氨储罐整改为</w:t>
      </w:r>
      <w:r>
        <w:rPr>
          <w:rFonts w:eastAsia="Times New Roman"/>
          <w:spacing w:val="-6"/>
          <w:szCs w:val="21"/>
        </w:rPr>
        <w:t>4</w:t>
      </w:r>
      <w:r>
        <w:rPr>
          <w:spacing w:val="-6"/>
          <w:szCs w:val="21"/>
        </w:rPr>
        <w:t>台</w:t>
      </w:r>
      <w:r>
        <w:rPr>
          <w:rFonts w:eastAsia="Times New Roman"/>
          <w:spacing w:val="-6"/>
          <w:szCs w:val="21"/>
        </w:rPr>
        <w:t>16m</w:t>
      </w:r>
      <w:r>
        <w:rPr>
          <w:spacing w:val="-6"/>
          <w:szCs w:val="21"/>
          <w:vertAlign w:val="superscript"/>
        </w:rPr>
        <w:t>3</w:t>
      </w:r>
      <w:r>
        <w:rPr>
          <w:spacing w:val="-6"/>
          <w:szCs w:val="21"/>
        </w:rPr>
        <w:t>的液</w:t>
      </w:r>
      <w:r>
        <w:rPr>
          <w:spacing w:val="-2"/>
          <w:szCs w:val="21"/>
        </w:rPr>
        <w:t>氨</w:t>
      </w:r>
      <w:r>
        <w:rPr>
          <w:spacing w:val="-1"/>
          <w:szCs w:val="21"/>
        </w:rPr>
        <w:t>储罐</w:t>
      </w:r>
    </w:p>
    <w:p w14:paraId="29EE632E">
      <w:pPr>
        <w:spacing w:line="360" w:lineRule="auto"/>
        <w:ind w:firstLine="480" w:firstLineChars="200"/>
        <w:rPr>
          <w:sz w:val="24"/>
          <w:szCs w:val="24"/>
        </w:rPr>
      </w:pPr>
      <w:r>
        <w:rPr>
          <w:sz w:val="24"/>
          <w:szCs w:val="24"/>
        </w:rPr>
        <w:t>(</w:t>
      </w:r>
      <w:r>
        <w:rPr>
          <w:rFonts w:eastAsia="Calibri"/>
          <w:sz w:val="24"/>
          <w:szCs w:val="24"/>
        </w:rPr>
        <w:t>1</w:t>
      </w:r>
      <w:r>
        <w:rPr>
          <w:sz w:val="24"/>
          <w:szCs w:val="24"/>
        </w:rPr>
        <w:t>)区块一和区块二个人风险等值线</w:t>
      </w:r>
      <w:r>
        <w:rPr>
          <w:rFonts w:eastAsia="Calibri"/>
          <w:sz w:val="24"/>
          <w:szCs w:val="24"/>
        </w:rPr>
        <w:t>3</w:t>
      </w:r>
      <w:r>
        <w:rPr>
          <w:sz w:val="24"/>
          <w:szCs w:val="24"/>
        </w:rPr>
        <w:t>×</w:t>
      </w:r>
      <w:r>
        <w:rPr>
          <w:rFonts w:eastAsia="Calibri"/>
          <w:sz w:val="24"/>
          <w:szCs w:val="24"/>
        </w:rPr>
        <w:t>10-5</w:t>
      </w:r>
      <w:r>
        <w:rPr>
          <w:sz w:val="24"/>
          <w:szCs w:val="24"/>
        </w:rPr>
        <w:t>、</w:t>
      </w:r>
      <w:r>
        <w:rPr>
          <w:rFonts w:eastAsia="Calibri"/>
          <w:sz w:val="24"/>
          <w:szCs w:val="24"/>
        </w:rPr>
        <w:t>1</w:t>
      </w:r>
      <w:r>
        <w:rPr>
          <w:sz w:val="24"/>
          <w:szCs w:val="24"/>
        </w:rPr>
        <w:t>×</w:t>
      </w:r>
      <w:r>
        <w:rPr>
          <w:rFonts w:eastAsia="Calibri"/>
          <w:sz w:val="24"/>
          <w:szCs w:val="24"/>
        </w:rPr>
        <w:t>10-5</w:t>
      </w:r>
      <w:r>
        <w:rPr>
          <w:sz w:val="24"/>
          <w:szCs w:val="24"/>
        </w:rPr>
        <w:t>、</w:t>
      </w:r>
      <w:r>
        <w:rPr>
          <w:rFonts w:eastAsia="Calibri"/>
          <w:sz w:val="24"/>
          <w:szCs w:val="24"/>
        </w:rPr>
        <w:t>3</w:t>
      </w:r>
      <w:r>
        <w:rPr>
          <w:sz w:val="24"/>
          <w:szCs w:val="24"/>
        </w:rPr>
        <w:t>×</w:t>
      </w:r>
      <w:r>
        <w:rPr>
          <w:rFonts w:eastAsia="Calibri"/>
          <w:sz w:val="24"/>
          <w:szCs w:val="24"/>
        </w:rPr>
        <w:t>10-6</w:t>
      </w:r>
      <w:r>
        <w:rPr>
          <w:sz w:val="24"/>
          <w:szCs w:val="24"/>
        </w:rPr>
        <w:t>、</w:t>
      </w:r>
      <w:r>
        <w:rPr>
          <w:rFonts w:eastAsia="Calibri"/>
          <w:sz w:val="24"/>
          <w:szCs w:val="24"/>
        </w:rPr>
        <w:t>3</w:t>
      </w:r>
      <w:r>
        <w:rPr>
          <w:sz w:val="24"/>
          <w:szCs w:val="24"/>
        </w:rPr>
        <w:t>×</w:t>
      </w:r>
      <w:r>
        <w:rPr>
          <w:rFonts w:eastAsia="Calibri"/>
          <w:sz w:val="24"/>
          <w:szCs w:val="24"/>
        </w:rPr>
        <w:t>10-7</w:t>
      </w:r>
      <w:r>
        <w:rPr>
          <w:sz w:val="24"/>
          <w:szCs w:val="24"/>
        </w:rPr>
        <w:t>内均不涉及重要目标、敏感场所和一般防护目标，因此区块一和区块二个人风险值可接受。但随着不断有企业进入区块二，个人风险等值线会发生变化，建议定期做进一步的风险评估。</w:t>
      </w:r>
    </w:p>
    <w:p w14:paraId="18EB55B5">
      <w:pPr>
        <w:spacing w:line="360" w:lineRule="auto"/>
        <w:ind w:firstLine="480" w:firstLineChars="200"/>
        <w:rPr>
          <w:sz w:val="24"/>
          <w:szCs w:val="24"/>
        </w:rPr>
      </w:pPr>
      <w:r>
        <w:rPr>
          <w:sz w:val="24"/>
          <w:szCs w:val="24"/>
        </w:rPr>
        <w:t>(</w:t>
      </w:r>
      <w:r>
        <w:rPr>
          <w:rFonts w:eastAsia="Calibri"/>
          <w:sz w:val="24"/>
          <w:szCs w:val="24"/>
        </w:rPr>
        <w:t>2</w:t>
      </w:r>
      <w:r>
        <w:rPr>
          <w:sz w:val="24"/>
          <w:szCs w:val="24"/>
        </w:rPr>
        <w:t>)化工园区最大的个人风险等值区目前以区块一德邦化工东厂区的合成氨、粗甲醇、硫磺的生产、储存设施为主，故德邦化工东厂区应重点管控。</w:t>
      </w:r>
    </w:p>
    <w:p w14:paraId="2A9AF13F">
      <w:pPr>
        <w:spacing w:line="360" w:lineRule="auto"/>
        <w:ind w:firstLine="480" w:firstLineChars="200"/>
        <w:rPr>
          <w:rFonts w:eastAsia="黑体"/>
          <w:sz w:val="24"/>
          <w:szCs w:val="24"/>
        </w:rPr>
      </w:pPr>
      <w:r>
        <w:rPr>
          <w:sz w:val="24"/>
          <w:szCs w:val="24"/>
        </w:rPr>
        <w:t>9.4</w:t>
      </w:r>
      <w:r>
        <w:rPr>
          <w:rFonts w:eastAsia="Times New Roman"/>
          <w:sz w:val="24"/>
          <w:szCs w:val="24"/>
        </w:rPr>
        <w:t xml:space="preserve">.3 </w:t>
      </w:r>
      <w:r>
        <w:rPr>
          <w:rFonts w:eastAsia="黑体"/>
          <w:sz w:val="24"/>
          <w:szCs w:val="24"/>
        </w:rPr>
        <w:t>化工园区社会可接受风险评估</w:t>
      </w:r>
    </w:p>
    <w:p w14:paraId="26D4EAB7">
      <w:pPr>
        <w:spacing w:line="360" w:lineRule="auto"/>
        <w:ind w:firstLine="480" w:firstLineChars="200"/>
        <w:rPr>
          <w:sz w:val="24"/>
          <w:szCs w:val="24"/>
        </w:rPr>
      </w:pPr>
      <w:r>
        <w:rPr>
          <w:sz w:val="24"/>
          <w:szCs w:val="24"/>
        </w:rPr>
        <w:t>社会风险是指能够引起大于等于</w:t>
      </w:r>
      <w:r>
        <w:rPr>
          <w:rFonts w:eastAsia="Times New Roman"/>
          <w:sz w:val="24"/>
          <w:szCs w:val="24"/>
        </w:rPr>
        <w:t>N</w:t>
      </w:r>
      <w:r>
        <w:rPr>
          <w:sz w:val="24"/>
          <w:szCs w:val="24"/>
        </w:rPr>
        <w:t>人死亡的事故累积频率(</w:t>
      </w:r>
      <w:r>
        <w:rPr>
          <w:rFonts w:eastAsia="Times New Roman"/>
          <w:sz w:val="24"/>
          <w:szCs w:val="24"/>
        </w:rPr>
        <w:t>F</w:t>
      </w:r>
      <w:r>
        <w:rPr>
          <w:sz w:val="24"/>
          <w:szCs w:val="24"/>
        </w:rPr>
        <w:t>)，也即单位时间内(通常为年)的死亡人数。通常用社会风险曲线(</w:t>
      </w:r>
      <w:r>
        <w:rPr>
          <w:rFonts w:eastAsia="Times New Roman"/>
          <w:sz w:val="24"/>
          <w:szCs w:val="24"/>
        </w:rPr>
        <w:t>F-N</w:t>
      </w:r>
      <w:r>
        <w:rPr>
          <w:sz w:val="24"/>
          <w:szCs w:val="24"/>
        </w:rPr>
        <w:t>曲线)表示。</w:t>
      </w:r>
    </w:p>
    <w:p w14:paraId="3B1D3FE2">
      <w:pPr>
        <w:spacing w:line="360" w:lineRule="auto"/>
        <w:ind w:firstLine="480" w:firstLineChars="200"/>
        <w:rPr>
          <w:sz w:val="24"/>
          <w:szCs w:val="24"/>
        </w:rPr>
      </w:pPr>
      <w:r>
        <w:rPr>
          <w:sz w:val="24"/>
          <w:szCs w:val="24"/>
        </w:rPr>
        <w:t>可容许社会风险标准采用</w:t>
      </w:r>
      <w:r>
        <w:rPr>
          <w:rFonts w:eastAsia="Times New Roman"/>
          <w:sz w:val="24"/>
          <w:szCs w:val="24"/>
        </w:rPr>
        <w:t>ALARP</w:t>
      </w:r>
      <w:r>
        <w:rPr>
          <w:sz w:val="24"/>
          <w:szCs w:val="24"/>
        </w:rPr>
        <w:t>(</w:t>
      </w:r>
      <w:r>
        <w:rPr>
          <w:rFonts w:eastAsia="Times New Roman"/>
          <w:sz w:val="24"/>
          <w:szCs w:val="24"/>
        </w:rPr>
        <w:t>As Low As Reasonable Practice</w:t>
      </w:r>
      <w:r>
        <w:rPr>
          <w:sz w:val="24"/>
          <w:szCs w:val="24"/>
        </w:rPr>
        <w:t>)原则作为可接受原则。</w:t>
      </w:r>
      <w:r>
        <w:rPr>
          <w:rFonts w:eastAsia="Times New Roman"/>
          <w:sz w:val="24"/>
          <w:szCs w:val="24"/>
        </w:rPr>
        <w:t>ALARP</w:t>
      </w:r>
      <w:r>
        <w:rPr>
          <w:sz w:val="24"/>
          <w:szCs w:val="24"/>
        </w:rPr>
        <w:t>原则通过两个风险分界线将风险划分为</w:t>
      </w:r>
      <w:r>
        <w:rPr>
          <w:rFonts w:eastAsia="Times New Roman"/>
          <w:sz w:val="24"/>
          <w:szCs w:val="24"/>
        </w:rPr>
        <w:t>3</w:t>
      </w:r>
      <w:r>
        <w:rPr>
          <w:sz w:val="24"/>
          <w:szCs w:val="24"/>
        </w:rPr>
        <w:t>个区域，即：不可容许区、尽可能降低区(</w:t>
      </w:r>
      <w:r>
        <w:rPr>
          <w:rFonts w:eastAsia="Times New Roman"/>
          <w:sz w:val="24"/>
          <w:szCs w:val="24"/>
        </w:rPr>
        <w:t>ALARP</w:t>
      </w:r>
      <w:r>
        <w:rPr>
          <w:sz w:val="24"/>
          <w:szCs w:val="24"/>
        </w:rPr>
        <w:t>)和可容许区。</w:t>
      </w:r>
    </w:p>
    <w:p w14:paraId="6743190D">
      <w:pPr>
        <w:spacing w:line="360" w:lineRule="auto"/>
        <w:ind w:firstLine="480" w:firstLineChars="200"/>
        <w:rPr>
          <w:sz w:val="24"/>
          <w:szCs w:val="24"/>
        </w:rPr>
      </w:pPr>
      <w:r>
        <w:rPr>
          <w:sz w:val="24"/>
          <w:szCs w:val="24"/>
        </w:rPr>
        <w:t>①若社会风险曲线落在不可容许区，除特殊情况外，该风险无论如何不能被接受。</w:t>
      </w:r>
    </w:p>
    <w:p w14:paraId="4DD50FCD">
      <w:pPr>
        <w:spacing w:line="360" w:lineRule="auto"/>
        <w:ind w:firstLine="480" w:firstLineChars="200"/>
        <w:rPr>
          <w:sz w:val="24"/>
          <w:szCs w:val="24"/>
        </w:rPr>
      </w:pPr>
      <w:r>
        <w:rPr>
          <w:sz w:val="24"/>
          <w:szCs w:val="24"/>
        </w:rPr>
        <w:t>②若落在可容许区，风险处于很低的水平，该风险是可以被接受的，无需采取安全改进措施。</w:t>
      </w:r>
    </w:p>
    <w:p w14:paraId="08DD82C1">
      <w:pPr>
        <w:spacing w:line="360" w:lineRule="auto"/>
        <w:ind w:firstLine="480" w:firstLineChars="200"/>
        <w:rPr>
          <w:sz w:val="24"/>
          <w:szCs w:val="24"/>
        </w:rPr>
      </w:pPr>
      <w:r>
        <w:rPr>
          <w:sz w:val="24"/>
          <w:szCs w:val="24"/>
        </w:rPr>
        <w:t>③若落在尽可能降低区，则需要在可能的情况下尽量减少风险，即对各种风险处理措施方案进行成本效益分析等，以决定是否采取这些措施。</w:t>
      </w:r>
    </w:p>
    <w:p w14:paraId="47269D00">
      <w:pPr>
        <w:spacing w:line="360" w:lineRule="auto"/>
        <w:ind w:firstLine="480" w:firstLineChars="200"/>
        <w:rPr>
          <w:szCs w:val="28"/>
        </w:rPr>
      </w:pPr>
      <w:r>
        <w:rPr>
          <w:sz w:val="24"/>
          <w:szCs w:val="24"/>
        </w:rPr>
        <w:t>通过定量风险评价，危险化学品重大危险源产生的社会风险应满足 《危险化学品生产装置和储存设施风险基准》(</w:t>
      </w:r>
      <w:r>
        <w:rPr>
          <w:rFonts w:eastAsia="Times New Roman"/>
          <w:sz w:val="24"/>
          <w:szCs w:val="24"/>
        </w:rPr>
        <w:t>GB 36894-2018</w:t>
      </w:r>
      <w:r>
        <w:rPr>
          <w:sz w:val="24"/>
          <w:szCs w:val="24"/>
        </w:rPr>
        <w:t>)中可容许社会风险标准要求。</w:t>
      </w:r>
    </w:p>
    <w:p w14:paraId="380EEE74">
      <w:pPr>
        <w:spacing w:line="4277" w:lineRule="exact"/>
        <w:ind w:firstLine="2410"/>
        <w:textAlignment w:val="center"/>
      </w:pPr>
      <w:r>
        <w:drawing>
          <wp:inline distT="0" distB="0" distL="0" distR="0">
            <wp:extent cx="2853690" cy="2715895"/>
            <wp:effectExtent l="0" t="0" r="3810" b="8255"/>
            <wp:docPr id="9" name="IM 34"/>
            <wp:cNvGraphicFramePr/>
            <a:graphic xmlns:a="http://schemas.openxmlformats.org/drawingml/2006/main">
              <a:graphicData uri="http://schemas.openxmlformats.org/drawingml/2006/picture">
                <pic:pic xmlns:pic="http://schemas.openxmlformats.org/drawingml/2006/picture">
                  <pic:nvPicPr>
                    <pic:cNvPr id="9" name="IM 34"/>
                    <pic:cNvPicPr/>
                  </pic:nvPicPr>
                  <pic:blipFill>
                    <a:blip r:embed="rId34"/>
                    <a:stretch>
                      <a:fillRect/>
                    </a:stretch>
                  </pic:blipFill>
                  <pic:spPr>
                    <a:xfrm>
                      <a:off x="0" y="0"/>
                      <a:ext cx="2854324" cy="2715895"/>
                    </a:xfrm>
                    <a:prstGeom prst="rect">
                      <a:avLst/>
                    </a:prstGeom>
                  </pic:spPr>
                </pic:pic>
              </a:graphicData>
            </a:graphic>
          </wp:inline>
        </w:drawing>
      </w:r>
    </w:p>
    <w:p w14:paraId="764170DA">
      <w:pPr>
        <w:spacing w:line="360" w:lineRule="auto"/>
        <w:ind w:firstLine="700" w:firstLineChars="200"/>
        <w:jc w:val="center"/>
        <w:rPr>
          <w:szCs w:val="21"/>
        </w:rPr>
      </w:pPr>
      <w:r>
        <w:rPr>
          <w:spacing w:val="35"/>
          <w:szCs w:val="21"/>
        </w:rPr>
        <w:t>图</w:t>
      </w:r>
      <w:r>
        <w:rPr>
          <w:spacing w:val="18"/>
          <w:szCs w:val="21"/>
        </w:rPr>
        <w:t>9.4</w:t>
      </w:r>
      <w:r>
        <w:rPr>
          <w:rFonts w:eastAsia="Times New Roman"/>
          <w:spacing w:val="18"/>
          <w:szCs w:val="21"/>
        </w:rPr>
        <w:t>-4</w:t>
      </w:r>
      <w:r>
        <w:rPr>
          <w:spacing w:val="18"/>
          <w:szCs w:val="21"/>
        </w:rPr>
        <w:t>、可容许社会风险标准(</w:t>
      </w:r>
      <w:r>
        <w:rPr>
          <w:rFonts w:eastAsia="Times New Roman"/>
          <w:szCs w:val="21"/>
        </w:rPr>
        <w:t>F</w:t>
      </w:r>
      <w:r>
        <w:rPr>
          <w:rFonts w:eastAsia="Times New Roman"/>
          <w:spacing w:val="18"/>
          <w:szCs w:val="21"/>
        </w:rPr>
        <w:t>-</w:t>
      </w:r>
      <w:r>
        <w:rPr>
          <w:rFonts w:eastAsia="Times New Roman"/>
          <w:szCs w:val="21"/>
        </w:rPr>
        <w:t>N</w:t>
      </w:r>
      <w:r>
        <w:rPr>
          <w:spacing w:val="18"/>
          <w:szCs w:val="21"/>
        </w:rPr>
        <w:t>)曲线</w:t>
      </w:r>
    </w:p>
    <w:p w14:paraId="26FACE89">
      <w:pPr>
        <w:spacing w:line="360" w:lineRule="auto"/>
        <w:ind w:firstLine="520" w:firstLineChars="200"/>
        <w:rPr>
          <w:szCs w:val="28"/>
        </w:rPr>
      </w:pPr>
      <w:r>
        <w:rPr>
          <w:spacing w:val="10"/>
          <w:sz w:val="24"/>
          <w:szCs w:val="24"/>
        </w:rPr>
        <w:t>根据《淮南经开区化工园区安全风险评估模拟计算》(北京中矿基</w:t>
      </w:r>
      <w:r>
        <w:rPr>
          <w:spacing w:val="8"/>
          <w:sz w:val="24"/>
          <w:szCs w:val="24"/>
        </w:rPr>
        <w:t>业</w:t>
      </w:r>
      <w:r>
        <w:rPr>
          <w:spacing w:val="13"/>
          <w:sz w:val="24"/>
          <w:szCs w:val="24"/>
        </w:rPr>
        <w:t>安全防范技术有限公司)</w:t>
      </w:r>
      <w:r>
        <w:rPr>
          <w:sz w:val="24"/>
          <w:szCs w:val="24"/>
        </w:rPr>
        <w:t>区块一（含整改后）和区块二</w:t>
      </w:r>
      <w:r>
        <w:rPr>
          <w:spacing w:val="19"/>
          <w:sz w:val="24"/>
          <w:szCs w:val="24"/>
        </w:rPr>
        <w:t>整体社会风险结果如下：</w:t>
      </w:r>
    </w:p>
    <w:p w14:paraId="6B145D3D">
      <w:pPr>
        <w:spacing w:before="73" w:line="4669" w:lineRule="exact"/>
        <w:ind w:left="376"/>
      </w:pPr>
      <w:r>
        <w:rPr>
          <w:position w:val="-93"/>
        </w:rPr>
        <w:drawing>
          <wp:inline distT="0" distB="0" distL="0" distR="0">
            <wp:extent cx="5326380" cy="2964180"/>
            <wp:effectExtent l="0" t="0" r="7620" b="7620"/>
            <wp:docPr id="10" name="IM 35"/>
            <wp:cNvGraphicFramePr/>
            <a:graphic xmlns:a="http://schemas.openxmlformats.org/drawingml/2006/main">
              <a:graphicData uri="http://schemas.openxmlformats.org/drawingml/2006/picture">
                <pic:pic xmlns:pic="http://schemas.openxmlformats.org/drawingml/2006/picture">
                  <pic:nvPicPr>
                    <pic:cNvPr id="10" name="IM 35"/>
                    <pic:cNvPicPr/>
                  </pic:nvPicPr>
                  <pic:blipFill>
                    <a:blip r:embed="rId35"/>
                    <a:stretch>
                      <a:fillRect/>
                    </a:stretch>
                  </pic:blipFill>
                  <pic:spPr>
                    <a:xfrm>
                      <a:off x="0" y="0"/>
                      <a:ext cx="5327014" cy="2964814"/>
                    </a:xfrm>
                    <a:prstGeom prst="rect">
                      <a:avLst/>
                    </a:prstGeom>
                  </pic:spPr>
                </pic:pic>
              </a:graphicData>
            </a:graphic>
          </wp:inline>
        </w:drawing>
      </w:r>
    </w:p>
    <w:p w14:paraId="68C2D63D">
      <w:pPr>
        <w:spacing w:line="285" w:lineRule="auto"/>
      </w:pPr>
    </w:p>
    <w:p w14:paraId="20CDA916">
      <w:pPr>
        <w:spacing w:before="78" w:line="216" w:lineRule="auto"/>
        <w:ind w:left="2363"/>
        <w:rPr>
          <w:spacing w:val="13"/>
          <w:szCs w:val="21"/>
        </w:rPr>
      </w:pPr>
      <w:r>
        <w:rPr>
          <w:spacing w:val="13"/>
          <w:szCs w:val="21"/>
        </w:rPr>
        <w:t>图9.4-5、区块一社会风险结果图</w:t>
      </w:r>
    </w:p>
    <w:p w14:paraId="02ED138C">
      <w:pPr>
        <w:spacing w:before="149" w:line="5335" w:lineRule="exact"/>
        <w:ind w:left="376"/>
      </w:pPr>
      <w:r>
        <w:rPr>
          <w:position w:val="-107"/>
        </w:rPr>
        <w:drawing>
          <wp:inline distT="0" distB="0" distL="0" distR="0">
            <wp:extent cx="5459095" cy="3387725"/>
            <wp:effectExtent l="0" t="0" r="8255" b="3175"/>
            <wp:docPr id="4" name="IM 36"/>
            <wp:cNvGraphicFramePr/>
            <a:graphic xmlns:a="http://schemas.openxmlformats.org/drawingml/2006/main">
              <a:graphicData uri="http://schemas.openxmlformats.org/drawingml/2006/picture">
                <pic:pic xmlns:pic="http://schemas.openxmlformats.org/drawingml/2006/picture">
                  <pic:nvPicPr>
                    <pic:cNvPr id="4" name="IM 36"/>
                    <pic:cNvPicPr/>
                  </pic:nvPicPr>
                  <pic:blipFill>
                    <a:blip r:embed="rId36"/>
                    <a:stretch>
                      <a:fillRect/>
                    </a:stretch>
                  </pic:blipFill>
                  <pic:spPr>
                    <a:xfrm>
                      <a:off x="0" y="0"/>
                      <a:ext cx="5459729" cy="3387725"/>
                    </a:xfrm>
                    <a:prstGeom prst="rect">
                      <a:avLst/>
                    </a:prstGeom>
                  </pic:spPr>
                </pic:pic>
              </a:graphicData>
            </a:graphic>
          </wp:inline>
        </w:drawing>
      </w:r>
    </w:p>
    <w:p w14:paraId="6F30196A">
      <w:pPr>
        <w:spacing w:before="236" w:line="216" w:lineRule="auto"/>
        <w:ind w:left="2363"/>
        <w:rPr>
          <w:szCs w:val="21"/>
        </w:rPr>
      </w:pPr>
      <w:r>
        <w:rPr>
          <w:spacing w:val="13"/>
          <w:szCs w:val="21"/>
        </w:rPr>
        <w:t>图9.4</w:t>
      </w:r>
      <w:r>
        <w:rPr>
          <w:rFonts w:eastAsia="Times New Roman"/>
          <w:spacing w:val="13"/>
          <w:szCs w:val="21"/>
        </w:rPr>
        <w:t>-6</w:t>
      </w:r>
      <w:r>
        <w:rPr>
          <w:spacing w:val="13"/>
          <w:szCs w:val="21"/>
        </w:rPr>
        <w:t>、</w:t>
      </w:r>
      <w:r>
        <w:rPr>
          <w:szCs w:val="21"/>
        </w:rPr>
        <w:t>区块二</w:t>
      </w:r>
      <w:r>
        <w:rPr>
          <w:spacing w:val="13"/>
          <w:szCs w:val="21"/>
        </w:rPr>
        <w:t>社会风险结果</w:t>
      </w:r>
      <w:r>
        <w:rPr>
          <w:spacing w:val="12"/>
          <w:szCs w:val="21"/>
        </w:rPr>
        <w:t>图</w:t>
      </w:r>
    </w:p>
    <w:p w14:paraId="7C15DC24">
      <w:pPr>
        <w:spacing w:line="4866" w:lineRule="exact"/>
        <w:ind w:firstLine="223"/>
        <w:textAlignment w:val="center"/>
      </w:pPr>
      <w:r>
        <w:drawing>
          <wp:inline distT="0" distB="0" distL="0" distR="0">
            <wp:extent cx="5546725" cy="3089275"/>
            <wp:effectExtent l="0" t="0" r="15875" b="15875"/>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37"/>
                    <a:stretch>
                      <a:fillRect/>
                    </a:stretch>
                  </pic:blipFill>
                  <pic:spPr>
                    <a:xfrm>
                      <a:off x="0" y="0"/>
                      <a:ext cx="5547359" cy="3089909"/>
                    </a:xfrm>
                    <a:prstGeom prst="rect">
                      <a:avLst/>
                    </a:prstGeom>
                  </pic:spPr>
                </pic:pic>
              </a:graphicData>
            </a:graphic>
          </wp:inline>
        </w:drawing>
      </w:r>
    </w:p>
    <w:p w14:paraId="114633DF">
      <w:pPr>
        <w:spacing w:line="360" w:lineRule="auto"/>
        <w:jc w:val="center"/>
        <w:rPr>
          <w:szCs w:val="21"/>
        </w:rPr>
      </w:pPr>
      <w:r>
        <w:rPr>
          <w:szCs w:val="21"/>
        </w:rPr>
        <w:t>图9.4</w:t>
      </w:r>
      <w:r>
        <w:rPr>
          <w:rFonts w:eastAsia="Times New Roman"/>
          <w:szCs w:val="21"/>
        </w:rPr>
        <w:t>-7</w:t>
      </w:r>
      <w:r>
        <w:rPr>
          <w:szCs w:val="21"/>
        </w:rPr>
        <w:t>、区块一(整改后)社会风险结果图</w:t>
      </w:r>
    </w:p>
    <w:p w14:paraId="0CD77424">
      <w:pPr>
        <w:spacing w:line="360" w:lineRule="auto"/>
        <w:ind w:firstLine="2"/>
        <w:rPr>
          <w:szCs w:val="21"/>
        </w:rPr>
      </w:pPr>
      <w:r>
        <w:rPr>
          <w:szCs w:val="21"/>
        </w:rPr>
        <w:t>备注：德邦化工拟将现役的</w:t>
      </w:r>
      <w:r>
        <w:rPr>
          <w:rFonts w:eastAsia="Times New Roman"/>
          <w:szCs w:val="21"/>
        </w:rPr>
        <w:t>1</w:t>
      </w:r>
      <w:r>
        <w:rPr>
          <w:szCs w:val="21"/>
        </w:rPr>
        <w:t>台</w:t>
      </w:r>
      <w:r>
        <w:rPr>
          <w:rFonts w:eastAsia="Times New Roman"/>
          <w:szCs w:val="21"/>
        </w:rPr>
        <w:t>50m</w:t>
      </w:r>
      <w:r>
        <w:rPr>
          <w:szCs w:val="21"/>
          <w:vertAlign w:val="superscript"/>
        </w:rPr>
        <w:t>3</w:t>
      </w:r>
      <w:r>
        <w:rPr>
          <w:szCs w:val="21"/>
        </w:rPr>
        <w:t>的液氨储罐和</w:t>
      </w:r>
      <w:r>
        <w:rPr>
          <w:rFonts w:eastAsia="Times New Roman"/>
          <w:szCs w:val="21"/>
        </w:rPr>
        <w:t>1</w:t>
      </w:r>
      <w:r>
        <w:rPr>
          <w:szCs w:val="21"/>
        </w:rPr>
        <w:t>台</w:t>
      </w:r>
      <w:r>
        <w:rPr>
          <w:rFonts w:eastAsia="Times New Roman"/>
          <w:szCs w:val="21"/>
        </w:rPr>
        <w:t>48m</w:t>
      </w:r>
      <w:r>
        <w:rPr>
          <w:szCs w:val="21"/>
          <w:vertAlign w:val="superscript"/>
        </w:rPr>
        <w:t>3</w:t>
      </w:r>
      <w:r>
        <w:rPr>
          <w:szCs w:val="21"/>
        </w:rPr>
        <w:t>液氨储罐整改为</w:t>
      </w:r>
      <w:r>
        <w:rPr>
          <w:rFonts w:eastAsia="Times New Roman"/>
          <w:szCs w:val="21"/>
        </w:rPr>
        <w:t>4</w:t>
      </w:r>
      <w:r>
        <w:rPr>
          <w:szCs w:val="21"/>
        </w:rPr>
        <w:t>台</w:t>
      </w:r>
      <w:r>
        <w:rPr>
          <w:rFonts w:eastAsia="Times New Roman"/>
          <w:szCs w:val="21"/>
        </w:rPr>
        <w:t>16m</w:t>
      </w:r>
      <w:r>
        <w:rPr>
          <w:szCs w:val="21"/>
          <w:vertAlign w:val="superscript"/>
        </w:rPr>
        <w:t>3</w:t>
      </w:r>
      <w:r>
        <w:rPr>
          <w:szCs w:val="21"/>
        </w:rPr>
        <w:t>的液氨储罐</w:t>
      </w:r>
    </w:p>
    <w:p w14:paraId="65221743">
      <w:pPr>
        <w:spacing w:line="360" w:lineRule="auto"/>
        <w:ind w:firstLine="480" w:firstLineChars="200"/>
        <w:rPr>
          <w:sz w:val="24"/>
          <w:szCs w:val="24"/>
        </w:rPr>
      </w:pPr>
      <w:r>
        <w:rPr>
          <w:sz w:val="24"/>
          <w:szCs w:val="24"/>
        </w:rPr>
        <w:t>(</w:t>
      </w:r>
      <w:r>
        <w:rPr>
          <w:rFonts w:eastAsia="Times New Roman"/>
          <w:sz w:val="24"/>
          <w:szCs w:val="24"/>
        </w:rPr>
        <w:t>1</w:t>
      </w:r>
      <w:r>
        <w:rPr>
          <w:sz w:val="24"/>
          <w:szCs w:val="24"/>
        </w:rPr>
        <w:t>) 区块一总体社会风险曲线处于不可容许区，因此区块一现在社会风险不可接受，主要原因是目前德邦化工涉及液氨储存量较大，需采取有效措施控制风险，如减少液氨储存量，采用</w:t>
      </w:r>
      <w:r>
        <w:rPr>
          <w:rFonts w:eastAsia="Times New Roman"/>
          <w:sz w:val="24"/>
          <w:szCs w:val="24"/>
        </w:rPr>
        <w:t>DCS</w:t>
      </w:r>
      <w:r>
        <w:rPr>
          <w:sz w:val="24"/>
          <w:szCs w:val="24"/>
        </w:rPr>
        <w:t>和</w:t>
      </w:r>
      <w:r>
        <w:rPr>
          <w:rFonts w:eastAsia="Times New Roman"/>
          <w:sz w:val="24"/>
          <w:szCs w:val="24"/>
        </w:rPr>
        <w:t>SIS</w:t>
      </w:r>
      <w:r>
        <w:rPr>
          <w:sz w:val="24"/>
          <w:szCs w:val="24"/>
        </w:rPr>
        <w:t>系统以及物联网系统对生产设施、储存设施的监控。区块一(整改后)总体社会风险曲线处于</w:t>
      </w:r>
      <w:r>
        <w:rPr>
          <w:rFonts w:eastAsia="Times New Roman"/>
          <w:sz w:val="24"/>
          <w:szCs w:val="24"/>
        </w:rPr>
        <w:t>“</w:t>
      </w:r>
      <w:r>
        <w:rPr>
          <w:sz w:val="24"/>
          <w:szCs w:val="24"/>
        </w:rPr>
        <w:t>可容许区</w:t>
      </w:r>
      <w:r>
        <w:rPr>
          <w:rFonts w:eastAsia="Times New Roman"/>
          <w:sz w:val="24"/>
          <w:szCs w:val="24"/>
        </w:rPr>
        <w:t>”</w:t>
      </w:r>
      <w:r>
        <w:rPr>
          <w:sz w:val="24"/>
          <w:szCs w:val="24"/>
        </w:rPr>
        <w:t>区域。区块二无社会风险。</w:t>
      </w:r>
    </w:p>
    <w:p w14:paraId="675FB294">
      <w:pPr>
        <w:spacing w:line="360" w:lineRule="auto"/>
        <w:ind w:firstLine="480" w:firstLineChars="200"/>
        <w:rPr>
          <w:sz w:val="24"/>
          <w:szCs w:val="24"/>
        </w:rPr>
      </w:pPr>
      <w:r>
        <w:rPr>
          <w:sz w:val="24"/>
          <w:szCs w:val="24"/>
        </w:rPr>
        <w:t>(</w:t>
      </w:r>
      <w:r>
        <w:rPr>
          <w:rFonts w:eastAsia="Times New Roman"/>
          <w:sz w:val="24"/>
          <w:szCs w:val="24"/>
        </w:rPr>
        <w:t>2</w:t>
      </w:r>
      <w:r>
        <w:rPr>
          <w:sz w:val="24"/>
          <w:szCs w:val="24"/>
        </w:rPr>
        <w:t>) 随着化工园区的发展，进驻危险化学品企业和涉及危险化学品重大危险源项目的增加，化工园区的社会风险将会进一步加大。因此，合理控制化工园区危险化学品重大危险源点的数量，适当加大危</w:t>
      </w:r>
      <w:bookmarkStart w:id="288" w:name="_bookmark79"/>
      <w:bookmarkEnd w:id="288"/>
      <w:r>
        <w:rPr>
          <w:sz w:val="24"/>
          <w:szCs w:val="24"/>
        </w:rPr>
        <w:t>险化学品重大危险源与周边环境的缓冲地带，以尽量降低社会风险。</w:t>
      </w:r>
    </w:p>
    <w:p w14:paraId="308D40DF">
      <w:pPr>
        <w:spacing w:line="360" w:lineRule="auto"/>
        <w:ind w:firstLine="480" w:firstLineChars="200"/>
        <w:rPr>
          <w:rFonts w:eastAsia="黑体"/>
          <w:sz w:val="24"/>
          <w:szCs w:val="24"/>
        </w:rPr>
      </w:pPr>
      <w:r>
        <w:rPr>
          <w:sz w:val="24"/>
          <w:szCs w:val="24"/>
        </w:rPr>
        <w:t>9.4</w:t>
      </w:r>
      <w:r>
        <w:rPr>
          <w:rFonts w:eastAsia="Times New Roman"/>
          <w:sz w:val="24"/>
          <w:szCs w:val="24"/>
        </w:rPr>
        <w:t>.4</w:t>
      </w:r>
      <w:r>
        <w:rPr>
          <w:sz w:val="24"/>
          <w:szCs w:val="24"/>
        </w:rPr>
        <w:t>、</w:t>
      </w:r>
      <w:r>
        <w:rPr>
          <w:rFonts w:eastAsia="黑体"/>
          <w:sz w:val="24"/>
          <w:szCs w:val="24"/>
        </w:rPr>
        <w:t>化工园区主要装置多米诺效应危险程度定量分析</w:t>
      </w:r>
    </w:p>
    <w:p w14:paraId="147FA767">
      <w:pPr>
        <w:spacing w:line="360" w:lineRule="auto"/>
        <w:ind w:firstLine="480" w:firstLineChars="200"/>
        <w:rPr>
          <w:sz w:val="24"/>
          <w:szCs w:val="24"/>
        </w:rPr>
      </w:pPr>
      <w:r>
        <w:rPr>
          <w:sz w:val="24"/>
          <w:szCs w:val="24"/>
        </w:rPr>
        <w:t>化工园区目前涉及的危险源主要有易燃气体、易燃液体、毒性气体和压力容器等。化工园区内企业的相对密集以及生产规模的扩大使得企业的发生的安全事故易于波及周边企业，触发灾难性的重大事故多 米诺效应。事故多米诺效应的发生必须同时具备以下三个条件。其一是事故所形成破坏效应的范围之内存在敏感装置；其二是破坏效应的强度 足够大以致装置失效；其三是破坏的发生存在极大的可能性。</w:t>
      </w:r>
    </w:p>
    <w:p w14:paraId="0B715F0A">
      <w:pPr>
        <w:spacing w:line="360" w:lineRule="auto"/>
        <w:ind w:firstLine="480" w:firstLineChars="200"/>
        <w:rPr>
          <w:sz w:val="24"/>
          <w:szCs w:val="24"/>
        </w:rPr>
      </w:pPr>
      <w:r>
        <w:rPr>
          <w:sz w:val="24"/>
          <w:szCs w:val="24"/>
        </w:rPr>
        <w:t>根据《淮南经开区化工园区安全风险评估模拟计算》(北京中矿基业安全防范技术有限公司)计算结果德邦化工、整改后德邦化工、 国瑞药业主要装置的风险模拟得出各装置的多米诺半径结果如下。</w:t>
      </w:r>
    </w:p>
    <w:p w14:paraId="6FE1141B">
      <w:pPr>
        <w:spacing w:before="62" w:line="214" w:lineRule="auto"/>
        <w:ind w:left="2356"/>
        <w:rPr>
          <w:szCs w:val="21"/>
        </w:rPr>
      </w:pPr>
      <w:r>
        <w:rPr>
          <w:spacing w:val="-4"/>
          <w:szCs w:val="21"/>
        </w:rPr>
        <w:t>表 9.4-3化工园区</w:t>
      </w:r>
      <w:r>
        <w:rPr>
          <w:spacing w:val="-2"/>
          <w:szCs w:val="21"/>
        </w:rPr>
        <w:t>各装置多米诺效应分析结果</w:t>
      </w:r>
    </w:p>
    <w:tbl>
      <w:tblPr>
        <w:tblStyle w:val="58"/>
        <w:tblW w:w="94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0"/>
        <w:gridCol w:w="1895"/>
        <w:gridCol w:w="1175"/>
        <w:gridCol w:w="933"/>
        <w:gridCol w:w="3023"/>
      </w:tblGrid>
      <w:tr w14:paraId="7BEBD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80" w:type="dxa"/>
          </w:tcPr>
          <w:p w14:paraId="3BA0C894">
            <w:pPr>
              <w:spacing w:before="78" w:line="220" w:lineRule="auto"/>
              <w:rPr>
                <w:szCs w:val="21"/>
              </w:rPr>
            </w:pPr>
            <w:r>
              <w:rPr>
                <w:spacing w:val="-5"/>
                <w:szCs w:val="21"/>
              </w:rPr>
              <w:t>危</w:t>
            </w:r>
            <w:r>
              <w:rPr>
                <w:spacing w:val="-3"/>
                <w:szCs w:val="21"/>
              </w:rPr>
              <w:t>险源</w:t>
            </w:r>
          </w:p>
        </w:tc>
        <w:tc>
          <w:tcPr>
            <w:tcW w:w="1895" w:type="dxa"/>
          </w:tcPr>
          <w:p w14:paraId="6AE1DCBF">
            <w:pPr>
              <w:spacing w:before="78" w:line="219" w:lineRule="auto"/>
              <w:rPr>
                <w:szCs w:val="21"/>
              </w:rPr>
            </w:pPr>
            <w:r>
              <w:rPr>
                <w:spacing w:val="-3"/>
                <w:szCs w:val="21"/>
              </w:rPr>
              <w:t>泄</w:t>
            </w:r>
            <w:r>
              <w:rPr>
                <w:spacing w:val="-2"/>
                <w:szCs w:val="21"/>
              </w:rPr>
              <w:t>漏模式</w:t>
            </w:r>
          </w:p>
        </w:tc>
        <w:tc>
          <w:tcPr>
            <w:tcW w:w="1175" w:type="dxa"/>
          </w:tcPr>
          <w:p w14:paraId="4784F3DB">
            <w:pPr>
              <w:spacing w:before="193" w:line="253" w:lineRule="auto"/>
              <w:ind w:right="224"/>
              <w:rPr>
                <w:szCs w:val="21"/>
              </w:rPr>
            </w:pPr>
            <w:r>
              <w:rPr>
                <w:spacing w:val="-5"/>
                <w:szCs w:val="21"/>
              </w:rPr>
              <w:t>灾</w:t>
            </w:r>
            <w:r>
              <w:rPr>
                <w:spacing w:val="-4"/>
                <w:szCs w:val="21"/>
              </w:rPr>
              <w:t>害模</w:t>
            </w:r>
            <w:r>
              <w:rPr>
                <w:szCs w:val="21"/>
              </w:rPr>
              <w:t>式</w:t>
            </w:r>
          </w:p>
        </w:tc>
        <w:tc>
          <w:tcPr>
            <w:tcW w:w="933" w:type="dxa"/>
          </w:tcPr>
          <w:p w14:paraId="484DE18E">
            <w:pPr>
              <w:spacing w:before="37" w:line="220" w:lineRule="auto"/>
              <w:rPr>
                <w:szCs w:val="21"/>
              </w:rPr>
            </w:pPr>
            <w:r>
              <w:rPr>
                <w:spacing w:val="-6"/>
                <w:szCs w:val="21"/>
              </w:rPr>
              <w:t>多</w:t>
            </w:r>
            <w:r>
              <w:rPr>
                <w:spacing w:val="-4"/>
                <w:szCs w:val="21"/>
              </w:rPr>
              <w:t>米</w:t>
            </w:r>
            <w:r>
              <w:rPr>
                <w:spacing w:val="-2"/>
                <w:szCs w:val="21"/>
              </w:rPr>
              <w:t>诺半</w:t>
            </w:r>
          </w:p>
          <w:p w14:paraId="19E2E56C">
            <w:pPr>
              <w:spacing w:before="25" w:line="218" w:lineRule="auto"/>
              <w:ind w:left="171"/>
              <w:rPr>
                <w:szCs w:val="21"/>
              </w:rPr>
            </w:pPr>
            <w:r>
              <w:rPr>
                <w:spacing w:val="-2"/>
                <w:szCs w:val="21"/>
              </w:rPr>
              <w:t>径</w:t>
            </w:r>
            <w:r>
              <w:rPr>
                <w:spacing w:val="-1"/>
                <w:szCs w:val="21"/>
              </w:rPr>
              <w:t>(m)</w:t>
            </w:r>
          </w:p>
        </w:tc>
        <w:tc>
          <w:tcPr>
            <w:tcW w:w="3023" w:type="dxa"/>
          </w:tcPr>
          <w:p w14:paraId="4E94E1BE">
            <w:pPr>
              <w:spacing w:before="78" w:line="220" w:lineRule="auto"/>
              <w:rPr>
                <w:szCs w:val="21"/>
              </w:rPr>
            </w:pPr>
            <w:r>
              <w:rPr>
                <w:spacing w:val="-2"/>
                <w:szCs w:val="21"/>
              </w:rPr>
              <w:t>多米诺效</w:t>
            </w:r>
            <w:r>
              <w:rPr>
                <w:spacing w:val="-1"/>
                <w:szCs w:val="21"/>
              </w:rPr>
              <w:t>应影响范围</w:t>
            </w:r>
          </w:p>
        </w:tc>
      </w:tr>
      <w:tr w14:paraId="3EE04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9406" w:type="dxa"/>
            <w:gridSpan w:val="5"/>
          </w:tcPr>
          <w:p w14:paraId="2699B3F4">
            <w:pPr>
              <w:spacing w:before="109" w:line="220" w:lineRule="auto"/>
              <w:ind w:left="3625"/>
              <w:rPr>
                <w:szCs w:val="21"/>
              </w:rPr>
            </w:pPr>
            <w:r>
              <w:rPr>
                <w:spacing w:val="13"/>
                <w:szCs w:val="21"/>
              </w:rPr>
              <w:t>区块一</w:t>
            </w:r>
          </w:p>
        </w:tc>
      </w:tr>
      <w:tr w14:paraId="20CDC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7F6356AB">
            <w:pPr>
              <w:spacing w:before="195"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5DC240B3">
            <w:pPr>
              <w:spacing w:before="194" w:line="220" w:lineRule="auto"/>
              <w:ind w:left="114"/>
              <w:rPr>
                <w:szCs w:val="21"/>
              </w:rPr>
            </w:pPr>
            <w:r>
              <w:rPr>
                <w:spacing w:val="-2"/>
                <w:szCs w:val="21"/>
              </w:rPr>
              <w:t>反应</w:t>
            </w:r>
            <w:r>
              <w:rPr>
                <w:spacing w:val="-1"/>
                <w:szCs w:val="21"/>
              </w:rPr>
              <w:t>器完全破裂</w:t>
            </w:r>
          </w:p>
        </w:tc>
        <w:tc>
          <w:tcPr>
            <w:tcW w:w="1175" w:type="dxa"/>
            <w:vMerge w:val="restart"/>
            <w:tcBorders>
              <w:bottom w:val="nil"/>
            </w:tcBorders>
          </w:tcPr>
          <w:p w14:paraId="62D77A4D">
            <w:pPr>
              <w:spacing w:before="194" w:line="218" w:lineRule="auto"/>
              <w:ind w:left="361"/>
              <w:rPr>
                <w:szCs w:val="21"/>
              </w:rPr>
            </w:pPr>
            <w:r>
              <w:rPr>
                <w:spacing w:val="-4"/>
                <w:szCs w:val="21"/>
              </w:rPr>
              <w:t>云爆</w:t>
            </w:r>
          </w:p>
        </w:tc>
        <w:tc>
          <w:tcPr>
            <w:tcW w:w="933" w:type="dxa"/>
            <w:vMerge w:val="restart"/>
            <w:tcBorders>
              <w:bottom w:val="nil"/>
            </w:tcBorders>
          </w:tcPr>
          <w:p w14:paraId="150EECFE">
            <w:pPr>
              <w:spacing w:before="234" w:line="183" w:lineRule="auto"/>
              <w:ind w:left="358"/>
              <w:rPr>
                <w:szCs w:val="21"/>
              </w:rPr>
            </w:pPr>
            <w:r>
              <w:rPr>
                <w:spacing w:val="-5"/>
                <w:szCs w:val="21"/>
              </w:rPr>
              <w:t>5</w:t>
            </w:r>
            <w:r>
              <w:rPr>
                <w:spacing w:val="-3"/>
                <w:szCs w:val="21"/>
              </w:rPr>
              <w:t>4</w:t>
            </w:r>
          </w:p>
        </w:tc>
        <w:tc>
          <w:tcPr>
            <w:tcW w:w="3023" w:type="dxa"/>
          </w:tcPr>
          <w:p w14:paraId="40F6F569">
            <w:pPr>
              <w:spacing w:before="33" w:line="217" w:lineRule="auto"/>
              <w:ind w:left="117"/>
              <w:rPr>
                <w:szCs w:val="21"/>
              </w:rPr>
            </w:pPr>
            <w:r>
              <w:rPr>
                <w:spacing w:val="-16"/>
                <w:szCs w:val="21"/>
              </w:rPr>
              <w:t>厂区内部影响： 相邻的装置</w:t>
            </w:r>
          </w:p>
        </w:tc>
      </w:tr>
      <w:tr w14:paraId="7CB8D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continue"/>
            <w:tcBorders>
              <w:top w:val="nil"/>
            </w:tcBorders>
          </w:tcPr>
          <w:p w14:paraId="24A9B5DA">
            <w:pPr>
              <w:rPr>
                <w:szCs w:val="21"/>
              </w:rPr>
            </w:pPr>
          </w:p>
        </w:tc>
        <w:tc>
          <w:tcPr>
            <w:tcW w:w="1895" w:type="dxa"/>
            <w:vMerge w:val="continue"/>
            <w:tcBorders>
              <w:top w:val="nil"/>
            </w:tcBorders>
          </w:tcPr>
          <w:p w14:paraId="276BBBF1">
            <w:pPr>
              <w:rPr>
                <w:szCs w:val="21"/>
              </w:rPr>
            </w:pPr>
          </w:p>
        </w:tc>
        <w:tc>
          <w:tcPr>
            <w:tcW w:w="1175" w:type="dxa"/>
            <w:vMerge w:val="continue"/>
            <w:tcBorders>
              <w:top w:val="nil"/>
            </w:tcBorders>
          </w:tcPr>
          <w:p w14:paraId="4D4FD6B5">
            <w:pPr>
              <w:rPr>
                <w:szCs w:val="21"/>
              </w:rPr>
            </w:pPr>
          </w:p>
        </w:tc>
        <w:tc>
          <w:tcPr>
            <w:tcW w:w="933" w:type="dxa"/>
            <w:vMerge w:val="continue"/>
            <w:tcBorders>
              <w:top w:val="nil"/>
            </w:tcBorders>
          </w:tcPr>
          <w:p w14:paraId="09823E60">
            <w:pPr>
              <w:rPr>
                <w:szCs w:val="21"/>
              </w:rPr>
            </w:pPr>
          </w:p>
        </w:tc>
        <w:tc>
          <w:tcPr>
            <w:tcW w:w="3023" w:type="dxa"/>
          </w:tcPr>
          <w:p w14:paraId="5B7C7D68">
            <w:pPr>
              <w:spacing w:before="34" w:line="217" w:lineRule="auto"/>
              <w:ind w:left="558"/>
              <w:rPr>
                <w:szCs w:val="21"/>
              </w:rPr>
            </w:pPr>
            <w:r>
              <w:rPr>
                <w:spacing w:val="-2"/>
                <w:szCs w:val="21"/>
              </w:rPr>
              <w:t>厂区外</w:t>
            </w:r>
            <w:r>
              <w:rPr>
                <w:spacing w:val="-1"/>
                <w:szCs w:val="21"/>
              </w:rPr>
              <w:t>部影响：无</w:t>
            </w:r>
          </w:p>
        </w:tc>
      </w:tr>
      <w:tr w14:paraId="5124B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3819017A">
            <w:pPr>
              <w:spacing w:before="195"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73816C2B">
            <w:pPr>
              <w:spacing w:before="195" w:line="220" w:lineRule="auto"/>
              <w:ind w:left="256"/>
              <w:rPr>
                <w:szCs w:val="21"/>
              </w:rPr>
            </w:pPr>
            <w:r>
              <w:rPr>
                <w:spacing w:val="-7"/>
                <w:szCs w:val="21"/>
              </w:rPr>
              <w:t>阀</w:t>
            </w:r>
            <w:r>
              <w:rPr>
                <w:spacing w:val="-4"/>
                <w:szCs w:val="21"/>
              </w:rPr>
              <w:t>门大孔泄漏</w:t>
            </w:r>
          </w:p>
        </w:tc>
        <w:tc>
          <w:tcPr>
            <w:tcW w:w="1175" w:type="dxa"/>
            <w:vMerge w:val="restart"/>
            <w:tcBorders>
              <w:bottom w:val="nil"/>
            </w:tcBorders>
          </w:tcPr>
          <w:p w14:paraId="16A89787">
            <w:pPr>
              <w:spacing w:before="194" w:line="218" w:lineRule="auto"/>
              <w:ind w:left="361"/>
              <w:rPr>
                <w:szCs w:val="21"/>
              </w:rPr>
            </w:pPr>
            <w:r>
              <w:rPr>
                <w:spacing w:val="-4"/>
                <w:szCs w:val="21"/>
              </w:rPr>
              <w:t>云爆</w:t>
            </w:r>
          </w:p>
        </w:tc>
        <w:tc>
          <w:tcPr>
            <w:tcW w:w="933" w:type="dxa"/>
            <w:vMerge w:val="restart"/>
            <w:tcBorders>
              <w:bottom w:val="nil"/>
            </w:tcBorders>
          </w:tcPr>
          <w:p w14:paraId="3A3CC6BF">
            <w:pPr>
              <w:spacing w:before="234" w:line="183" w:lineRule="auto"/>
              <w:ind w:left="358"/>
              <w:rPr>
                <w:szCs w:val="21"/>
              </w:rPr>
            </w:pPr>
            <w:r>
              <w:rPr>
                <w:spacing w:val="-5"/>
                <w:szCs w:val="21"/>
              </w:rPr>
              <w:t>5</w:t>
            </w:r>
            <w:r>
              <w:rPr>
                <w:spacing w:val="-3"/>
                <w:szCs w:val="21"/>
              </w:rPr>
              <w:t>4</w:t>
            </w:r>
          </w:p>
        </w:tc>
        <w:tc>
          <w:tcPr>
            <w:tcW w:w="3023" w:type="dxa"/>
          </w:tcPr>
          <w:p w14:paraId="057F097A">
            <w:pPr>
              <w:spacing w:before="33" w:line="217" w:lineRule="auto"/>
              <w:ind w:left="117"/>
              <w:rPr>
                <w:szCs w:val="21"/>
              </w:rPr>
            </w:pPr>
            <w:r>
              <w:rPr>
                <w:spacing w:val="-16"/>
                <w:szCs w:val="21"/>
              </w:rPr>
              <w:t>厂区内部影响： 相邻的装置</w:t>
            </w:r>
          </w:p>
        </w:tc>
      </w:tr>
      <w:tr w14:paraId="51596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380" w:type="dxa"/>
            <w:vMerge w:val="continue"/>
            <w:tcBorders>
              <w:top w:val="nil"/>
            </w:tcBorders>
          </w:tcPr>
          <w:p w14:paraId="63210BD1">
            <w:pPr>
              <w:rPr>
                <w:szCs w:val="21"/>
              </w:rPr>
            </w:pPr>
          </w:p>
        </w:tc>
        <w:tc>
          <w:tcPr>
            <w:tcW w:w="1895" w:type="dxa"/>
            <w:vMerge w:val="continue"/>
            <w:tcBorders>
              <w:top w:val="nil"/>
            </w:tcBorders>
          </w:tcPr>
          <w:p w14:paraId="502BCAAE">
            <w:pPr>
              <w:rPr>
                <w:szCs w:val="21"/>
              </w:rPr>
            </w:pPr>
          </w:p>
        </w:tc>
        <w:tc>
          <w:tcPr>
            <w:tcW w:w="1175" w:type="dxa"/>
            <w:vMerge w:val="continue"/>
            <w:tcBorders>
              <w:top w:val="nil"/>
            </w:tcBorders>
          </w:tcPr>
          <w:p w14:paraId="2AD56959">
            <w:pPr>
              <w:rPr>
                <w:szCs w:val="21"/>
              </w:rPr>
            </w:pPr>
          </w:p>
        </w:tc>
        <w:tc>
          <w:tcPr>
            <w:tcW w:w="933" w:type="dxa"/>
            <w:vMerge w:val="continue"/>
            <w:tcBorders>
              <w:top w:val="nil"/>
            </w:tcBorders>
          </w:tcPr>
          <w:p w14:paraId="3F20C5CB">
            <w:pPr>
              <w:rPr>
                <w:szCs w:val="21"/>
              </w:rPr>
            </w:pPr>
          </w:p>
        </w:tc>
        <w:tc>
          <w:tcPr>
            <w:tcW w:w="3023" w:type="dxa"/>
          </w:tcPr>
          <w:p w14:paraId="64CA7D28">
            <w:pPr>
              <w:spacing w:before="34" w:line="215" w:lineRule="auto"/>
              <w:ind w:left="558"/>
              <w:rPr>
                <w:szCs w:val="21"/>
              </w:rPr>
            </w:pPr>
            <w:r>
              <w:rPr>
                <w:spacing w:val="-2"/>
                <w:szCs w:val="21"/>
              </w:rPr>
              <w:t>厂区外</w:t>
            </w:r>
            <w:r>
              <w:rPr>
                <w:spacing w:val="-1"/>
                <w:szCs w:val="21"/>
              </w:rPr>
              <w:t>部影响：无</w:t>
            </w:r>
          </w:p>
        </w:tc>
      </w:tr>
      <w:tr w14:paraId="7163F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restart"/>
            <w:tcBorders>
              <w:bottom w:val="nil"/>
            </w:tcBorders>
          </w:tcPr>
          <w:p w14:paraId="7ECF3B7A">
            <w:pPr>
              <w:spacing w:before="198"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66BA25C2">
            <w:pPr>
              <w:spacing w:before="197" w:line="220" w:lineRule="auto"/>
              <w:ind w:left="238"/>
              <w:rPr>
                <w:szCs w:val="21"/>
              </w:rPr>
            </w:pPr>
            <w:r>
              <w:rPr>
                <w:spacing w:val="-2"/>
                <w:szCs w:val="21"/>
              </w:rPr>
              <w:t>管道完全破裂</w:t>
            </w:r>
          </w:p>
        </w:tc>
        <w:tc>
          <w:tcPr>
            <w:tcW w:w="1175" w:type="dxa"/>
            <w:vMerge w:val="restart"/>
            <w:tcBorders>
              <w:bottom w:val="nil"/>
            </w:tcBorders>
          </w:tcPr>
          <w:p w14:paraId="3C5C5A06">
            <w:pPr>
              <w:spacing w:before="198" w:line="218" w:lineRule="auto"/>
              <w:ind w:left="361"/>
              <w:rPr>
                <w:szCs w:val="21"/>
              </w:rPr>
            </w:pPr>
            <w:r>
              <w:rPr>
                <w:spacing w:val="-4"/>
                <w:szCs w:val="21"/>
              </w:rPr>
              <w:t>云爆</w:t>
            </w:r>
          </w:p>
        </w:tc>
        <w:tc>
          <w:tcPr>
            <w:tcW w:w="933" w:type="dxa"/>
            <w:vMerge w:val="restart"/>
            <w:tcBorders>
              <w:bottom w:val="nil"/>
            </w:tcBorders>
          </w:tcPr>
          <w:p w14:paraId="26D1ECD4">
            <w:pPr>
              <w:spacing w:before="238" w:line="183" w:lineRule="auto"/>
              <w:ind w:left="358"/>
              <w:rPr>
                <w:szCs w:val="21"/>
              </w:rPr>
            </w:pPr>
            <w:r>
              <w:rPr>
                <w:spacing w:val="-5"/>
                <w:szCs w:val="21"/>
              </w:rPr>
              <w:t>5</w:t>
            </w:r>
            <w:r>
              <w:rPr>
                <w:spacing w:val="-3"/>
                <w:szCs w:val="21"/>
              </w:rPr>
              <w:t>4</w:t>
            </w:r>
          </w:p>
        </w:tc>
        <w:tc>
          <w:tcPr>
            <w:tcW w:w="3023" w:type="dxa"/>
          </w:tcPr>
          <w:p w14:paraId="7809765B">
            <w:pPr>
              <w:spacing w:before="37" w:line="215" w:lineRule="auto"/>
              <w:ind w:left="117"/>
              <w:rPr>
                <w:szCs w:val="21"/>
              </w:rPr>
            </w:pPr>
            <w:r>
              <w:rPr>
                <w:spacing w:val="-16"/>
                <w:szCs w:val="21"/>
              </w:rPr>
              <w:t>厂区内部影响： 相邻的装置</w:t>
            </w:r>
          </w:p>
        </w:tc>
      </w:tr>
      <w:tr w14:paraId="6A865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continue"/>
            <w:tcBorders>
              <w:top w:val="nil"/>
            </w:tcBorders>
          </w:tcPr>
          <w:p w14:paraId="7EDF37EC">
            <w:pPr>
              <w:rPr>
                <w:szCs w:val="21"/>
              </w:rPr>
            </w:pPr>
          </w:p>
        </w:tc>
        <w:tc>
          <w:tcPr>
            <w:tcW w:w="1895" w:type="dxa"/>
            <w:vMerge w:val="continue"/>
            <w:tcBorders>
              <w:top w:val="nil"/>
            </w:tcBorders>
          </w:tcPr>
          <w:p w14:paraId="500EAA6F">
            <w:pPr>
              <w:rPr>
                <w:szCs w:val="21"/>
              </w:rPr>
            </w:pPr>
          </w:p>
        </w:tc>
        <w:tc>
          <w:tcPr>
            <w:tcW w:w="1175" w:type="dxa"/>
            <w:vMerge w:val="continue"/>
            <w:tcBorders>
              <w:top w:val="nil"/>
            </w:tcBorders>
          </w:tcPr>
          <w:p w14:paraId="68CE6E81">
            <w:pPr>
              <w:rPr>
                <w:szCs w:val="21"/>
              </w:rPr>
            </w:pPr>
          </w:p>
        </w:tc>
        <w:tc>
          <w:tcPr>
            <w:tcW w:w="933" w:type="dxa"/>
            <w:vMerge w:val="continue"/>
            <w:tcBorders>
              <w:top w:val="nil"/>
            </w:tcBorders>
          </w:tcPr>
          <w:p w14:paraId="410C1F4F">
            <w:pPr>
              <w:rPr>
                <w:szCs w:val="21"/>
              </w:rPr>
            </w:pPr>
          </w:p>
        </w:tc>
        <w:tc>
          <w:tcPr>
            <w:tcW w:w="3023" w:type="dxa"/>
          </w:tcPr>
          <w:p w14:paraId="5E069860">
            <w:pPr>
              <w:spacing w:before="37" w:line="214" w:lineRule="auto"/>
              <w:ind w:left="558"/>
              <w:rPr>
                <w:szCs w:val="21"/>
              </w:rPr>
            </w:pPr>
            <w:r>
              <w:rPr>
                <w:spacing w:val="-2"/>
                <w:szCs w:val="21"/>
              </w:rPr>
              <w:t>厂区外</w:t>
            </w:r>
            <w:r>
              <w:rPr>
                <w:spacing w:val="-1"/>
                <w:szCs w:val="21"/>
              </w:rPr>
              <w:t>部影响：无</w:t>
            </w:r>
          </w:p>
        </w:tc>
      </w:tr>
      <w:tr w14:paraId="4759F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restart"/>
            <w:tcBorders>
              <w:bottom w:val="nil"/>
            </w:tcBorders>
          </w:tcPr>
          <w:p w14:paraId="70B4E474">
            <w:pPr>
              <w:spacing w:before="196"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6CD94A6C">
            <w:pPr>
              <w:spacing w:before="195" w:line="220" w:lineRule="auto"/>
              <w:ind w:left="238"/>
              <w:rPr>
                <w:szCs w:val="21"/>
              </w:rPr>
            </w:pPr>
            <w:r>
              <w:rPr>
                <w:spacing w:val="-2"/>
                <w:szCs w:val="21"/>
              </w:rPr>
              <w:t>管道大孔泄漏</w:t>
            </w:r>
          </w:p>
        </w:tc>
        <w:tc>
          <w:tcPr>
            <w:tcW w:w="1175" w:type="dxa"/>
            <w:vMerge w:val="restart"/>
            <w:tcBorders>
              <w:bottom w:val="nil"/>
            </w:tcBorders>
          </w:tcPr>
          <w:p w14:paraId="7F467AEC">
            <w:pPr>
              <w:spacing w:before="196" w:line="218" w:lineRule="auto"/>
              <w:ind w:left="361"/>
              <w:rPr>
                <w:szCs w:val="21"/>
              </w:rPr>
            </w:pPr>
            <w:r>
              <w:rPr>
                <w:spacing w:val="-4"/>
                <w:szCs w:val="21"/>
              </w:rPr>
              <w:t>云爆</w:t>
            </w:r>
          </w:p>
        </w:tc>
        <w:tc>
          <w:tcPr>
            <w:tcW w:w="933" w:type="dxa"/>
            <w:vMerge w:val="restart"/>
            <w:tcBorders>
              <w:bottom w:val="nil"/>
            </w:tcBorders>
          </w:tcPr>
          <w:p w14:paraId="1C610E22">
            <w:pPr>
              <w:spacing w:before="236" w:line="183" w:lineRule="auto"/>
              <w:ind w:left="358"/>
              <w:rPr>
                <w:szCs w:val="21"/>
              </w:rPr>
            </w:pPr>
            <w:r>
              <w:rPr>
                <w:spacing w:val="-5"/>
                <w:szCs w:val="21"/>
              </w:rPr>
              <w:t>5</w:t>
            </w:r>
            <w:r>
              <w:rPr>
                <w:spacing w:val="-3"/>
                <w:szCs w:val="21"/>
              </w:rPr>
              <w:t>4</w:t>
            </w:r>
          </w:p>
        </w:tc>
        <w:tc>
          <w:tcPr>
            <w:tcW w:w="3023" w:type="dxa"/>
          </w:tcPr>
          <w:p w14:paraId="5AAB80AD">
            <w:pPr>
              <w:spacing w:before="34" w:line="217" w:lineRule="auto"/>
              <w:ind w:left="117"/>
              <w:rPr>
                <w:szCs w:val="21"/>
              </w:rPr>
            </w:pPr>
            <w:r>
              <w:rPr>
                <w:spacing w:val="-16"/>
                <w:szCs w:val="21"/>
              </w:rPr>
              <w:t>厂区内部影响： 相邻的装置</w:t>
            </w:r>
          </w:p>
        </w:tc>
      </w:tr>
      <w:tr w14:paraId="28185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continue"/>
            <w:tcBorders>
              <w:top w:val="nil"/>
            </w:tcBorders>
          </w:tcPr>
          <w:p w14:paraId="33D18BF0">
            <w:pPr>
              <w:rPr>
                <w:szCs w:val="21"/>
              </w:rPr>
            </w:pPr>
          </w:p>
        </w:tc>
        <w:tc>
          <w:tcPr>
            <w:tcW w:w="1895" w:type="dxa"/>
            <w:vMerge w:val="continue"/>
            <w:tcBorders>
              <w:top w:val="nil"/>
            </w:tcBorders>
          </w:tcPr>
          <w:p w14:paraId="4DB5EE57">
            <w:pPr>
              <w:rPr>
                <w:szCs w:val="21"/>
              </w:rPr>
            </w:pPr>
          </w:p>
        </w:tc>
        <w:tc>
          <w:tcPr>
            <w:tcW w:w="1175" w:type="dxa"/>
            <w:vMerge w:val="continue"/>
            <w:tcBorders>
              <w:top w:val="nil"/>
            </w:tcBorders>
          </w:tcPr>
          <w:p w14:paraId="58982C97">
            <w:pPr>
              <w:rPr>
                <w:szCs w:val="21"/>
              </w:rPr>
            </w:pPr>
          </w:p>
        </w:tc>
        <w:tc>
          <w:tcPr>
            <w:tcW w:w="933" w:type="dxa"/>
            <w:vMerge w:val="continue"/>
            <w:tcBorders>
              <w:top w:val="nil"/>
            </w:tcBorders>
          </w:tcPr>
          <w:p w14:paraId="20F74186">
            <w:pPr>
              <w:rPr>
                <w:szCs w:val="21"/>
              </w:rPr>
            </w:pPr>
          </w:p>
        </w:tc>
        <w:tc>
          <w:tcPr>
            <w:tcW w:w="3023" w:type="dxa"/>
          </w:tcPr>
          <w:p w14:paraId="2C9ED27F">
            <w:pPr>
              <w:spacing w:before="35" w:line="216" w:lineRule="auto"/>
              <w:ind w:left="558"/>
              <w:rPr>
                <w:szCs w:val="21"/>
              </w:rPr>
            </w:pPr>
            <w:r>
              <w:rPr>
                <w:spacing w:val="-2"/>
                <w:szCs w:val="21"/>
              </w:rPr>
              <w:t>厂区外</w:t>
            </w:r>
            <w:r>
              <w:rPr>
                <w:spacing w:val="-1"/>
                <w:szCs w:val="21"/>
              </w:rPr>
              <w:t>部影响：无</w:t>
            </w:r>
          </w:p>
        </w:tc>
      </w:tr>
      <w:tr w14:paraId="0B317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restart"/>
            <w:tcBorders>
              <w:bottom w:val="nil"/>
            </w:tcBorders>
          </w:tcPr>
          <w:p w14:paraId="4E50CE74">
            <w:pPr>
              <w:spacing w:before="196"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6D0E29C9">
            <w:pPr>
              <w:spacing w:before="196" w:line="220" w:lineRule="auto"/>
              <w:ind w:left="114"/>
              <w:rPr>
                <w:szCs w:val="21"/>
              </w:rPr>
            </w:pPr>
            <w:r>
              <w:rPr>
                <w:spacing w:val="-2"/>
                <w:szCs w:val="21"/>
              </w:rPr>
              <w:t>反应</w:t>
            </w:r>
            <w:r>
              <w:rPr>
                <w:spacing w:val="-1"/>
                <w:szCs w:val="21"/>
              </w:rPr>
              <w:t>器大孔泄漏</w:t>
            </w:r>
          </w:p>
        </w:tc>
        <w:tc>
          <w:tcPr>
            <w:tcW w:w="1175" w:type="dxa"/>
            <w:vMerge w:val="restart"/>
            <w:tcBorders>
              <w:bottom w:val="nil"/>
            </w:tcBorders>
          </w:tcPr>
          <w:p w14:paraId="1D954D64">
            <w:pPr>
              <w:spacing w:before="196" w:line="218" w:lineRule="auto"/>
              <w:ind w:left="361"/>
              <w:rPr>
                <w:szCs w:val="21"/>
              </w:rPr>
            </w:pPr>
            <w:r>
              <w:rPr>
                <w:spacing w:val="-4"/>
                <w:szCs w:val="21"/>
              </w:rPr>
              <w:t>云爆</w:t>
            </w:r>
          </w:p>
        </w:tc>
        <w:tc>
          <w:tcPr>
            <w:tcW w:w="933" w:type="dxa"/>
            <w:vMerge w:val="restart"/>
            <w:tcBorders>
              <w:bottom w:val="nil"/>
            </w:tcBorders>
          </w:tcPr>
          <w:p w14:paraId="471C35F2">
            <w:pPr>
              <w:spacing w:before="236" w:line="183" w:lineRule="auto"/>
              <w:ind w:left="358"/>
              <w:rPr>
                <w:szCs w:val="21"/>
              </w:rPr>
            </w:pPr>
            <w:r>
              <w:rPr>
                <w:spacing w:val="-5"/>
                <w:szCs w:val="21"/>
              </w:rPr>
              <w:t>5</w:t>
            </w:r>
            <w:r>
              <w:rPr>
                <w:spacing w:val="-3"/>
                <w:szCs w:val="21"/>
              </w:rPr>
              <w:t>4</w:t>
            </w:r>
          </w:p>
        </w:tc>
        <w:tc>
          <w:tcPr>
            <w:tcW w:w="3023" w:type="dxa"/>
          </w:tcPr>
          <w:p w14:paraId="03FC42E3">
            <w:pPr>
              <w:spacing w:before="36" w:line="216" w:lineRule="auto"/>
              <w:ind w:left="117"/>
              <w:rPr>
                <w:szCs w:val="21"/>
              </w:rPr>
            </w:pPr>
            <w:r>
              <w:rPr>
                <w:spacing w:val="-16"/>
                <w:szCs w:val="21"/>
              </w:rPr>
              <w:t>厂区内部影响： 相邻的装置</w:t>
            </w:r>
          </w:p>
        </w:tc>
      </w:tr>
      <w:tr w14:paraId="76D88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continue"/>
            <w:tcBorders>
              <w:top w:val="nil"/>
            </w:tcBorders>
          </w:tcPr>
          <w:p w14:paraId="17C2EFED">
            <w:pPr>
              <w:rPr>
                <w:szCs w:val="21"/>
              </w:rPr>
            </w:pPr>
          </w:p>
        </w:tc>
        <w:tc>
          <w:tcPr>
            <w:tcW w:w="1895" w:type="dxa"/>
            <w:vMerge w:val="continue"/>
            <w:tcBorders>
              <w:top w:val="nil"/>
            </w:tcBorders>
          </w:tcPr>
          <w:p w14:paraId="6B4897DA">
            <w:pPr>
              <w:rPr>
                <w:szCs w:val="21"/>
              </w:rPr>
            </w:pPr>
          </w:p>
        </w:tc>
        <w:tc>
          <w:tcPr>
            <w:tcW w:w="1175" w:type="dxa"/>
            <w:vMerge w:val="continue"/>
            <w:tcBorders>
              <w:top w:val="nil"/>
            </w:tcBorders>
          </w:tcPr>
          <w:p w14:paraId="3084BDC1">
            <w:pPr>
              <w:rPr>
                <w:szCs w:val="21"/>
              </w:rPr>
            </w:pPr>
          </w:p>
        </w:tc>
        <w:tc>
          <w:tcPr>
            <w:tcW w:w="933" w:type="dxa"/>
            <w:vMerge w:val="continue"/>
            <w:tcBorders>
              <w:top w:val="nil"/>
            </w:tcBorders>
          </w:tcPr>
          <w:p w14:paraId="5659EB66">
            <w:pPr>
              <w:rPr>
                <w:szCs w:val="21"/>
              </w:rPr>
            </w:pPr>
          </w:p>
        </w:tc>
        <w:tc>
          <w:tcPr>
            <w:tcW w:w="3023" w:type="dxa"/>
          </w:tcPr>
          <w:p w14:paraId="043A3DBC">
            <w:pPr>
              <w:spacing w:before="35" w:line="216" w:lineRule="auto"/>
              <w:ind w:left="558"/>
              <w:rPr>
                <w:szCs w:val="21"/>
              </w:rPr>
            </w:pPr>
            <w:r>
              <w:rPr>
                <w:spacing w:val="-2"/>
                <w:szCs w:val="21"/>
              </w:rPr>
              <w:t>厂区外</w:t>
            </w:r>
            <w:r>
              <w:rPr>
                <w:spacing w:val="-1"/>
                <w:szCs w:val="21"/>
              </w:rPr>
              <w:t>部影响：无</w:t>
            </w:r>
          </w:p>
        </w:tc>
      </w:tr>
      <w:tr w14:paraId="183A0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380" w:type="dxa"/>
            <w:vMerge w:val="restart"/>
            <w:tcBorders>
              <w:bottom w:val="nil"/>
            </w:tcBorders>
          </w:tcPr>
          <w:p w14:paraId="12CE8910">
            <w:pPr>
              <w:spacing w:before="197"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3DD0B80D">
            <w:pPr>
              <w:spacing w:before="196" w:line="220" w:lineRule="auto"/>
              <w:ind w:left="238"/>
              <w:rPr>
                <w:szCs w:val="21"/>
              </w:rPr>
            </w:pPr>
            <w:r>
              <w:rPr>
                <w:spacing w:val="-2"/>
                <w:szCs w:val="21"/>
              </w:rPr>
              <w:t>管道中孔泄漏</w:t>
            </w:r>
          </w:p>
        </w:tc>
        <w:tc>
          <w:tcPr>
            <w:tcW w:w="1175" w:type="dxa"/>
            <w:vMerge w:val="restart"/>
            <w:tcBorders>
              <w:bottom w:val="nil"/>
            </w:tcBorders>
          </w:tcPr>
          <w:p w14:paraId="30CF7BAE">
            <w:pPr>
              <w:spacing w:before="196" w:line="218" w:lineRule="auto"/>
              <w:ind w:left="361"/>
              <w:rPr>
                <w:szCs w:val="21"/>
              </w:rPr>
            </w:pPr>
            <w:r>
              <w:rPr>
                <w:spacing w:val="-4"/>
                <w:szCs w:val="21"/>
              </w:rPr>
              <w:t>云爆</w:t>
            </w:r>
          </w:p>
        </w:tc>
        <w:tc>
          <w:tcPr>
            <w:tcW w:w="933" w:type="dxa"/>
            <w:vMerge w:val="restart"/>
            <w:tcBorders>
              <w:bottom w:val="nil"/>
            </w:tcBorders>
          </w:tcPr>
          <w:p w14:paraId="18B68F10">
            <w:pPr>
              <w:spacing w:before="236" w:line="183" w:lineRule="auto"/>
              <w:ind w:left="352"/>
              <w:rPr>
                <w:szCs w:val="21"/>
              </w:rPr>
            </w:pPr>
            <w:r>
              <w:rPr>
                <w:spacing w:val="-3"/>
                <w:szCs w:val="21"/>
              </w:rPr>
              <w:t>4</w:t>
            </w:r>
            <w:r>
              <w:rPr>
                <w:spacing w:val="-2"/>
                <w:szCs w:val="21"/>
              </w:rPr>
              <w:t>7</w:t>
            </w:r>
          </w:p>
        </w:tc>
        <w:tc>
          <w:tcPr>
            <w:tcW w:w="3023" w:type="dxa"/>
          </w:tcPr>
          <w:p w14:paraId="1524301B">
            <w:pPr>
              <w:spacing w:before="35" w:line="214" w:lineRule="auto"/>
              <w:ind w:left="117"/>
              <w:rPr>
                <w:szCs w:val="21"/>
              </w:rPr>
            </w:pPr>
            <w:r>
              <w:rPr>
                <w:spacing w:val="-16"/>
                <w:szCs w:val="21"/>
              </w:rPr>
              <w:t>厂区内部影响： 相邻的装置</w:t>
            </w:r>
          </w:p>
        </w:tc>
      </w:tr>
      <w:tr w14:paraId="5C146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continue"/>
            <w:tcBorders>
              <w:top w:val="nil"/>
            </w:tcBorders>
          </w:tcPr>
          <w:p w14:paraId="7FAAC4FC">
            <w:pPr>
              <w:rPr>
                <w:szCs w:val="21"/>
              </w:rPr>
            </w:pPr>
          </w:p>
        </w:tc>
        <w:tc>
          <w:tcPr>
            <w:tcW w:w="1895" w:type="dxa"/>
            <w:vMerge w:val="continue"/>
            <w:tcBorders>
              <w:top w:val="nil"/>
            </w:tcBorders>
          </w:tcPr>
          <w:p w14:paraId="35C6FD0F">
            <w:pPr>
              <w:rPr>
                <w:szCs w:val="21"/>
              </w:rPr>
            </w:pPr>
          </w:p>
        </w:tc>
        <w:tc>
          <w:tcPr>
            <w:tcW w:w="1175" w:type="dxa"/>
            <w:vMerge w:val="continue"/>
            <w:tcBorders>
              <w:top w:val="nil"/>
            </w:tcBorders>
          </w:tcPr>
          <w:p w14:paraId="710D9FF2">
            <w:pPr>
              <w:rPr>
                <w:szCs w:val="21"/>
              </w:rPr>
            </w:pPr>
          </w:p>
        </w:tc>
        <w:tc>
          <w:tcPr>
            <w:tcW w:w="933" w:type="dxa"/>
            <w:vMerge w:val="continue"/>
            <w:tcBorders>
              <w:top w:val="nil"/>
            </w:tcBorders>
          </w:tcPr>
          <w:p w14:paraId="4A7EB6AE">
            <w:pPr>
              <w:rPr>
                <w:szCs w:val="21"/>
              </w:rPr>
            </w:pPr>
          </w:p>
        </w:tc>
        <w:tc>
          <w:tcPr>
            <w:tcW w:w="3023" w:type="dxa"/>
          </w:tcPr>
          <w:p w14:paraId="1145D0BF">
            <w:pPr>
              <w:spacing w:before="38" w:line="214" w:lineRule="auto"/>
              <w:ind w:left="558"/>
              <w:rPr>
                <w:szCs w:val="21"/>
              </w:rPr>
            </w:pPr>
            <w:r>
              <w:rPr>
                <w:spacing w:val="-2"/>
                <w:szCs w:val="21"/>
              </w:rPr>
              <w:t>厂区外</w:t>
            </w:r>
            <w:r>
              <w:rPr>
                <w:spacing w:val="-1"/>
                <w:szCs w:val="21"/>
              </w:rPr>
              <w:t>部影响：无</w:t>
            </w:r>
          </w:p>
        </w:tc>
      </w:tr>
      <w:tr w14:paraId="0D09A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4D7DB367">
            <w:pPr>
              <w:spacing w:before="196"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48904FCD">
            <w:pPr>
              <w:spacing w:before="196" w:line="220" w:lineRule="auto"/>
              <w:ind w:left="256"/>
              <w:rPr>
                <w:szCs w:val="21"/>
              </w:rPr>
            </w:pPr>
            <w:r>
              <w:rPr>
                <w:spacing w:val="-7"/>
                <w:szCs w:val="21"/>
              </w:rPr>
              <w:t>阀</w:t>
            </w:r>
            <w:r>
              <w:rPr>
                <w:spacing w:val="-4"/>
                <w:szCs w:val="21"/>
              </w:rPr>
              <w:t>门中孔泄漏</w:t>
            </w:r>
          </w:p>
        </w:tc>
        <w:tc>
          <w:tcPr>
            <w:tcW w:w="1175" w:type="dxa"/>
            <w:vMerge w:val="restart"/>
            <w:tcBorders>
              <w:bottom w:val="nil"/>
            </w:tcBorders>
          </w:tcPr>
          <w:p w14:paraId="416F7B89">
            <w:pPr>
              <w:spacing w:before="196" w:line="218" w:lineRule="auto"/>
              <w:ind w:left="361"/>
              <w:rPr>
                <w:szCs w:val="21"/>
              </w:rPr>
            </w:pPr>
            <w:r>
              <w:rPr>
                <w:spacing w:val="-4"/>
                <w:szCs w:val="21"/>
              </w:rPr>
              <w:t>云爆</w:t>
            </w:r>
          </w:p>
        </w:tc>
        <w:tc>
          <w:tcPr>
            <w:tcW w:w="933" w:type="dxa"/>
            <w:vMerge w:val="restart"/>
            <w:tcBorders>
              <w:bottom w:val="nil"/>
            </w:tcBorders>
          </w:tcPr>
          <w:p w14:paraId="585DD2CC">
            <w:pPr>
              <w:spacing w:before="236" w:line="183" w:lineRule="auto"/>
              <w:ind w:left="352"/>
              <w:rPr>
                <w:szCs w:val="21"/>
              </w:rPr>
            </w:pPr>
            <w:r>
              <w:rPr>
                <w:spacing w:val="-3"/>
                <w:szCs w:val="21"/>
              </w:rPr>
              <w:t>4</w:t>
            </w:r>
            <w:r>
              <w:rPr>
                <w:spacing w:val="-2"/>
                <w:szCs w:val="21"/>
              </w:rPr>
              <w:t>7</w:t>
            </w:r>
          </w:p>
        </w:tc>
        <w:tc>
          <w:tcPr>
            <w:tcW w:w="3023" w:type="dxa"/>
          </w:tcPr>
          <w:p w14:paraId="2BF2DE3A">
            <w:pPr>
              <w:spacing w:before="35" w:line="216" w:lineRule="auto"/>
              <w:ind w:left="117"/>
              <w:rPr>
                <w:szCs w:val="21"/>
              </w:rPr>
            </w:pPr>
            <w:r>
              <w:rPr>
                <w:spacing w:val="-16"/>
                <w:szCs w:val="21"/>
              </w:rPr>
              <w:t>厂区内部影响： 相邻的装置</w:t>
            </w:r>
          </w:p>
        </w:tc>
      </w:tr>
      <w:tr w14:paraId="6BD53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continue"/>
            <w:tcBorders>
              <w:top w:val="nil"/>
            </w:tcBorders>
          </w:tcPr>
          <w:p w14:paraId="4E3FDB45">
            <w:pPr>
              <w:rPr>
                <w:szCs w:val="21"/>
              </w:rPr>
            </w:pPr>
          </w:p>
        </w:tc>
        <w:tc>
          <w:tcPr>
            <w:tcW w:w="1895" w:type="dxa"/>
            <w:vMerge w:val="continue"/>
            <w:tcBorders>
              <w:top w:val="nil"/>
            </w:tcBorders>
          </w:tcPr>
          <w:p w14:paraId="71C363BC">
            <w:pPr>
              <w:rPr>
                <w:szCs w:val="21"/>
              </w:rPr>
            </w:pPr>
          </w:p>
        </w:tc>
        <w:tc>
          <w:tcPr>
            <w:tcW w:w="1175" w:type="dxa"/>
            <w:vMerge w:val="continue"/>
            <w:tcBorders>
              <w:top w:val="nil"/>
            </w:tcBorders>
          </w:tcPr>
          <w:p w14:paraId="68CA3DA4">
            <w:pPr>
              <w:rPr>
                <w:szCs w:val="21"/>
              </w:rPr>
            </w:pPr>
          </w:p>
        </w:tc>
        <w:tc>
          <w:tcPr>
            <w:tcW w:w="933" w:type="dxa"/>
            <w:vMerge w:val="continue"/>
            <w:tcBorders>
              <w:top w:val="nil"/>
            </w:tcBorders>
          </w:tcPr>
          <w:p w14:paraId="74C7571F">
            <w:pPr>
              <w:rPr>
                <w:szCs w:val="21"/>
              </w:rPr>
            </w:pPr>
          </w:p>
        </w:tc>
        <w:tc>
          <w:tcPr>
            <w:tcW w:w="3023" w:type="dxa"/>
          </w:tcPr>
          <w:p w14:paraId="2302D82A">
            <w:pPr>
              <w:spacing w:before="36" w:line="215" w:lineRule="auto"/>
              <w:ind w:left="558"/>
              <w:rPr>
                <w:szCs w:val="21"/>
              </w:rPr>
            </w:pPr>
            <w:r>
              <w:rPr>
                <w:spacing w:val="-2"/>
                <w:szCs w:val="21"/>
              </w:rPr>
              <w:t>厂区外</w:t>
            </w:r>
            <w:r>
              <w:rPr>
                <w:spacing w:val="-1"/>
                <w:szCs w:val="21"/>
              </w:rPr>
              <w:t>部影响：无</w:t>
            </w:r>
          </w:p>
        </w:tc>
      </w:tr>
      <w:tr w14:paraId="16008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6CA0A51D">
            <w:pPr>
              <w:spacing w:before="198" w:line="217" w:lineRule="auto"/>
              <w:ind w:left="238"/>
              <w:rPr>
                <w:spacing w:val="-2"/>
                <w:szCs w:val="21"/>
              </w:rPr>
            </w:pPr>
          </w:p>
          <w:p w14:paraId="27A741B0">
            <w:pPr>
              <w:spacing w:before="198" w:line="217" w:lineRule="auto"/>
              <w:ind w:left="238"/>
              <w:rPr>
                <w:szCs w:val="21"/>
              </w:rPr>
            </w:pPr>
            <w:r>
              <w:rPr>
                <w:spacing w:val="-2"/>
                <w:szCs w:val="21"/>
              </w:rPr>
              <w:t>德邦</w:t>
            </w:r>
            <w:r>
              <w:rPr>
                <w:spacing w:val="-1"/>
                <w:szCs w:val="21"/>
              </w:rPr>
              <w:t>：合成氨装置</w:t>
            </w:r>
          </w:p>
        </w:tc>
        <w:tc>
          <w:tcPr>
            <w:tcW w:w="1895" w:type="dxa"/>
            <w:vMerge w:val="restart"/>
            <w:tcBorders>
              <w:bottom w:val="nil"/>
            </w:tcBorders>
          </w:tcPr>
          <w:p w14:paraId="554CF0CC">
            <w:pPr>
              <w:spacing w:before="197" w:line="220" w:lineRule="auto"/>
              <w:ind w:left="114"/>
              <w:rPr>
                <w:spacing w:val="-2"/>
                <w:szCs w:val="21"/>
              </w:rPr>
            </w:pPr>
          </w:p>
          <w:p w14:paraId="5A63ECF3">
            <w:pPr>
              <w:spacing w:before="197" w:line="220" w:lineRule="auto"/>
              <w:ind w:left="114"/>
              <w:rPr>
                <w:szCs w:val="21"/>
              </w:rPr>
            </w:pPr>
            <w:r>
              <w:rPr>
                <w:spacing w:val="-2"/>
                <w:szCs w:val="21"/>
              </w:rPr>
              <w:t>反应</w:t>
            </w:r>
            <w:r>
              <w:rPr>
                <w:spacing w:val="-1"/>
                <w:szCs w:val="21"/>
              </w:rPr>
              <w:t>器中孔泄漏</w:t>
            </w:r>
          </w:p>
        </w:tc>
        <w:tc>
          <w:tcPr>
            <w:tcW w:w="1175" w:type="dxa"/>
            <w:vMerge w:val="restart"/>
            <w:tcBorders>
              <w:bottom w:val="nil"/>
            </w:tcBorders>
          </w:tcPr>
          <w:p w14:paraId="79332A63">
            <w:pPr>
              <w:spacing w:before="197" w:line="218" w:lineRule="auto"/>
              <w:ind w:left="361"/>
              <w:rPr>
                <w:spacing w:val="-4"/>
                <w:szCs w:val="21"/>
              </w:rPr>
            </w:pPr>
          </w:p>
          <w:p w14:paraId="03047D54">
            <w:pPr>
              <w:spacing w:before="197" w:line="218" w:lineRule="auto"/>
              <w:ind w:left="361"/>
              <w:rPr>
                <w:szCs w:val="21"/>
              </w:rPr>
            </w:pPr>
            <w:r>
              <w:rPr>
                <w:spacing w:val="-4"/>
                <w:szCs w:val="21"/>
              </w:rPr>
              <w:t>云爆</w:t>
            </w:r>
          </w:p>
        </w:tc>
        <w:tc>
          <w:tcPr>
            <w:tcW w:w="933" w:type="dxa"/>
            <w:vMerge w:val="restart"/>
            <w:tcBorders>
              <w:bottom w:val="nil"/>
            </w:tcBorders>
          </w:tcPr>
          <w:p w14:paraId="1BD07FD2">
            <w:pPr>
              <w:spacing w:before="237" w:line="183" w:lineRule="auto"/>
              <w:ind w:left="352"/>
              <w:rPr>
                <w:spacing w:val="-3"/>
                <w:szCs w:val="21"/>
              </w:rPr>
            </w:pPr>
          </w:p>
          <w:p w14:paraId="42E218A3">
            <w:pPr>
              <w:spacing w:before="237" w:line="183" w:lineRule="auto"/>
              <w:ind w:left="352"/>
              <w:rPr>
                <w:szCs w:val="21"/>
              </w:rPr>
            </w:pPr>
            <w:r>
              <w:rPr>
                <w:spacing w:val="-3"/>
                <w:szCs w:val="21"/>
              </w:rPr>
              <w:t>4</w:t>
            </w:r>
            <w:r>
              <w:rPr>
                <w:spacing w:val="-2"/>
                <w:szCs w:val="21"/>
              </w:rPr>
              <w:t>7</w:t>
            </w:r>
          </w:p>
        </w:tc>
        <w:tc>
          <w:tcPr>
            <w:tcW w:w="3023" w:type="dxa"/>
          </w:tcPr>
          <w:p w14:paraId="1F23B2E5">
            <w:pPr>
              <w:spacing w:before="36" w:line="215" w:lineRule="auto"/>
              <w:ind w:left="117"/>
              <w:rPr>
                <w:szCs w:val="21"/>
              </w:rPr>
            </w:pPr>
            <w:r>
              <w:rPr>
                <w:spacing w:val="-16"/>
                <w:szCs w:val="21"/>
              </w:rPr>
              <w:t>厂区内部影响： 相邻的装置</w:t>
            </w:r>
          </w:p>
        </w:tc>
      </w:tr>
      <w:tr w14:paraId="689AE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continue"/>
            <w:tcBorders>
              <w:top w:val="nil"/>
            </w:tcBorders>
          </w:tcPr>
          <w:p w14:paraId="43040092">
            <w:pPr>
              <w:rPr>
                <w:szCs w:val="21"/>
              </w:rPr>
            </w:pPr>
          </w:p>
        </w:tc>
        <w:tc>
          <w:tcPr>
            <w:tcW w:w="1895" w:type="dxa"/>
            <w:vMerge w:val="continue"/>
            <w:tcBorders>
              <w:top w:val="nil"/>
            </w:tcBorders>
          </w:tcPr>
          <w:p w14:paraId="33C517E0">
            <w:pPr>
              <w:rPr>
                <w:szCs w:val="21"/>
              </w:rPr>
            </w:pPr>
          </w:p>
        </w:tc>
        <w:tc>
          <w:tcPr>
            <w:tcW w:w="1175" w:type="dxa"/>
            <w:vMerge w:val="continue"/>
            <w:tcBorders>
              <w:top w:val="nil"/>
            </w:tcBorders>
          </w:tcPr>
          <w:p w14:paraId="3B9C5C67">
            <w:pPr>
              <w:rPr>
                <w:szCs w:val="21"/>
              </w:rPr>
            </w:pPr>
          </w:p>
        </w:tc>
        <w:tc>
          <w:tcPr>
            <w:tcW w:w="933" w:type="dxa"/>
            <w:vMerge w:val="continue"/>
            <w:tcBorders>
              <w:top w:val="nil"/>
            </w:tcBorders>
          </w:tcPr>
          <w:p w14:paraId="02AD703C">
            <w:pPr>
              <w:rPr>
                <w:szCs w:val="21"/>
              </w:rPr>
            </w:pPr>
          </w:p>
        </w:tc>
        <w:tc>
          <w:tcPr>
            <w:tcW w:w="3023" w:type="dxa"/>
          </w:tcPr>
          <w:p w14:paraId="3B6F126F">
            <w:pPr>
              <w:spacing w:before="37" w:line="215" w:lineRule="auto"/>
              <w:ind w:left="558"/>
              <w:rPr>
                <w:szCs w:val="21"/>
              </w:rPr>
            </w:pPr>
            <w:r>
              <w:rPr>
                <w:spacing w:val="-2"/>
                <w:szCs w:val="21"/>
              </w:rPr>
              <w:t>厂区外</w:t>
            </w:r>
            <w:r>
              <w:rPr>
                <w:spacing w:val="-1"/>
                <w:szCs w:val="21"/>
              </w:rPr>
              <w:t>部影响：无</w:t>
            </w:r>
          </w:p>
        </w:tc>
      </w:tr>
      <w:tr w14:paraId="36046E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restart"/>
            <w:tcBorders>
              <w:bottom w:val="nil"/>
            </w:tcBorders>
          </w:tcPr>
          <w:p w14:paraId="27786998">
            <w:pPr>
              <w:spacing w:before="198" w:line="220" w:lineRule="auto"/>
              <w:ind w:left="238"/>
              <w:rPr>
                <w:szCs w:val="21"/>
              </w:rPr>
            </w:pPr>
            <w:r>
              <w:rPr>
                <w:spacing w:val="-2"/>
                <w:szCs w:val="21"/>
              </w:rPr>
              <w:t>德邦</w:t>
            </w:r>
            <w:r>
              <w:rPr>
                <w:spacing w:val="-1"/>
                <w:szCs w:val="21"/>
              </w:rPr>
              <w:t>：醇烃化装置</w:t>
            </w:r>
          </w:p>
        </w:tc>
        <w:tc>
          <w:tcPr>
            <w:tcW w:w="1895" w:type="dxa"/>
            <w:vMerge w:val="restart"/>
            <w:tcBorders>
              <w:bottom w:val="nil"/>
            </w:tcBorders>
          </w:tcPr>
          <w:p w14:paraId="16193A1E">
            <w:pPr>
              <w:spacing w:before="198" w:line="220" w:lineRule="auto"/>
              <w:ind w:left="256"/>
              <w:rPr>
                <w:szCs w:val="21"/>
              </w:rPr>
            </w:pPr>
            <w:r>
              <w:rPr>
                <w:spacing w:val="-7"/>
                <w:szCs w:val="21"/>
              </w:rPr>
              <w:t>阀</w:t>
            </w:r>
            <w:r>
              <w:rPr>
                <w:spacing w:val="-4"/>
                <w:szCs w:val="21"/>
              </w:rPr>
              <w:t>门大孔泄漏</w:t>
            </w:r>
          </w:p>
        </w:tc>
        <w:tc>
          <w:tcPr>
            <w:tcW w:w="1175" w:type="dxa"/>
            <w:vMerge w:val="restart"/>
            <w:tcBorders>
              <w:bottom w:val="nil"/>
            </w:tcBorders>
          </w:tcPr>
          <w:p w14:paraId="1B02854B">
            <w:pPr>
              <w:spacing w:before="198" w:line="218" w:lineRule="auto"/>
              <w:ind w:left="361"/>
              <w:rPr>
                <w:szCs w:val="21"/>
              </w:rPr>
            </w:pPr>
            <w:r>
              <w:rPr>
                <w:spacing w:val="-4"/>
                <w:szCs w:val="21"/>
              </w:rPr>
              <w:t>云爆</w:t>
            </w:r>
          </w:p>
        </w:tc>
        <w:tc>
          <w:tcPr>
            <w:tcW w:w="933" w:type="dxa"/>
            <w:vMerge w:val="restart"/>
            <w:tcBorders>
              <w:bottom w:val="nil"/>
            </w:tcBorders>
          </w:tcPr>
          <w:p w14:paraId="7A3FC041">
            <w:pPr>
              <w:spacing w:before="238" w:line="183" w:lineRule="auto"/>
              <w:ind w:left="358"/>
              <w:rPr>
                <w:szCs w:val="21"/>
              </w:rPr>
            </w:pPr>
            <w:r>
              <w:rPr>
                <w:spacing w:val="-5"/>
                <w:szCs w:val="21"/>
              </w:rPr>
              <w:t>3</w:t>
            </w:r>
            <w:r>
              <w:rPr>
                <w:spacing w:val="-3"/>
                <w:szCs w:val="21"/>
              </w:rPr>
              <w:t>7</w:t>
            </w:r>
          </w:p>
        </w:tc>
        <w:tc>
          <w:tcPr>
            <w:tcW w:w="3023" w:type="dxa"/>
          </w:tcPr>
          <w:p w14:paraId="3F40BDAE">
            <w:pPr>
              <w:spacing w:before="37" w:line="215" w:lineRule="auto"/>
              <w:ind w:left="117"/>
              <w:rPr>
                <w:szCs w:val="21"/>
              </w:rPr>
            </w:pPr>
            <w:r>
              <w:rPr>
                <w:spacing w:val="-16"/>
                <w:szCs w:val="21"/>
              </w:rPr>
              <w:t>厂区内部影响： 相邻的装</w:t>
            </w:r>
            <w:r>
              <w:rPr>
                <w:spacing w:val="-15"/>
                <w:szCs w:val="21"/>
              </w:rPr>
              <w:t>置</w:t>
            </w:r>
          </w:p>
        </w:tc>
      </w:tr>
      <w:tr w14:paraId="6404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2380" w:type="dxa"/>
            <w:vMerge w:val="continue"/>
            <w:tcBorders>
              <w:top w:val="nil"/>
            </w:tcBorders>
          </w:tcPr>
          <w:p w14:paraId="09D6346D">
            <w:pPr>
              <w:rPr>
                <w:szCs w:val="21"/>
              </w:rPr>
            </w:pPr>
          </w:p>
        </w:tc>
        <w:tc>
          <w:tcPr>
            <w:tcW w:w="1895" w:type="dxa"/>
            <w:vMerge w:val="continue"/>
            <w:tcBorders>
              <w:top w:val="nil"/>
            </w:tcBorders>
          </w:tcPr>
          <w:p w14:paraId="1AA5DEB4">
            <w:pPr>
              <w:rPr>
                <w:szCs w:val="21"/>
              </w:rPr>
            </w:pPr>
          </w:p>
        </w:tc>
        <w:tc>
          <w:tcPr>
            <w:tcW w:w="1175" w:type="dxa"/>
            <w:vMerge w:val="continue"/>
            <w:tcBorders>
              <w:top w:val="nil"/>
            </w:tcBorders>
          </w:tcPr>
          <w:p w14:paraId="12B44C0A">
            <w:pPr>
              <w:rPr>
                <w:szCs w:val="21"/>
              </w:rPr>
            </w:pPr>
          </w:p>
        </w:tc>
        <w:tc>
          <w:tcPr>
            <w:tcW w:w="933" w:type="dxa"/>
            <w:vMerge w:val="continue"/>
            <w:tcBorders>
              <w:top w:val="nil"/>
            </w:tcBorders>
          </w:tcPr>
          <w:p w14:paraId="5FFEF24B">
            <w:pPr>
              <w:rPr>
                <w:szCs w:val="21"/>
              </w:rPr>
            </w:pPr>
          </w:p>
        </w:tc>
        <w:tc>
          <w:tcPr>
            <w:tcW w:w="3023" w:type="dxa"/>
          </w:tcPr>
          <w:p w14:paraId="160D2D86">
            <w:pPr>
              <w:spacing w:before="37" w:line="213" w:lineRule="auto"/>
              <w:ind w:left="558"/>
              <w:rPr>
                <w:szCs w:val="21"/>
              </w:rPr>
            </w:pPr>
            <w:r>
              <w:rPr>
                <w:spacing w:val="-2"/>
                <w:szCs w:val="21"/>
              </w:rPr>
              <w:t>厂区外</w:t>
            </w:r>
            <w:r>
              <w:rPr>
                <w:spacing w:val="-1"/>
                <w:szCs w:val="21"/>
              </w:rPr>
              <w:t>部影响：无</w:t>
            </w:r>
          </w:p>
        </w:tc>
      </w:tr>
      <w:tr w14:paraId="15BF6E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0531F67C">
            <w:pPr>
              <w:spacing w:before="200" w:line="220" w:lineRule="auto"/>
              <w:ind w:left="238"/>
              <w:rPr>
                <w:szCs w:val="21"/>
              </w:rPr>
            </w:pPr>
            <w:r>
              <w:rPr>
                <w:spacing w:val="-2"/>
                <w:szCs w:val="21"/>
              </w:rPr>
              <w:t>德邦</w:t>
            </w:r>
            <w:r>
              <w:rPr>
                <w:spacing w:val="-1"/>
                <w:szCs w:val="21"/>
              </w:rPr>
              <w:t>：醇烃化装置</w:t>
            </w:r>
          </w:p>
        </w:tc>
        <w:tc>
          <w:tcPr>
            <w:tcW w:w="1895" w:type="dxa"/>
            <w:vMerge w:val="restart"/>
            <w:tcBorders>
              <w:bottom w:val="nil"/>
            </w:tcBorders>
          </w:tcPr>
          <w:p w14:paraId="6320CA30">
            <w:pPr>
              <w:spacing w:before="200" w:line="220" w:lineRule="auto"/>
              <w:ind w:left="238"/>
              <w:rPr>
                <w:szCs w:val="21"/>
              </w:rPr>
            </w:pPr>
            <w:r>
              <w:rPr>
                <w:spacing w:val="-2"/>
                <w:szCs w:val="21"/>
              </w:rPr>
              <w:t>管道完全破裂</w:t>
            </w:r>
          </w:p>
        </w:tc>
        <w:tc>
          <w:tcPr>
            <w:tcW w:w="1175" w:type="dxa"/>
            <w:vMerge w:val="restart"/>
            <w:tcBorders>
              <w:bottom w:val="nil"/>
            </w:tcBorders>
          </w:tcPr>
          <w:p w14:paraId="1FE3ABAB">
            <w:pPr>
              <w:spacing w:before="200" w:line="218" w:lineRule="auto"/>
              <w:ind w:left="361"/>
              <w:rPr>
                <w:szCs w:val="21"/>
              </w:rPr>
            </w:pPr>
            <w:r>
              <w:rPr>
                <w:spacing w:val="-4"/>
                <w:szCs w:val="21"/>
              </w:rPr>
              <w:t>云爆</w:t>
            </w:r>
          </w:p>
        </w:tc>
        <w:tc>
          <w:tcPr>
            <w:tcW w:w="933" w:type="dxa"/>
            <w:vMerge w:val="restart"/>
            <w:tcBorders>
              <w:bottom w:val="nil"/>
            </w:tcBorders>
          </w:tcPr>
          <w:p w14:paraId="2592EC97">
            <w:pPr>
              <w:spacing w:before="240" w:line="183" w:lineRule="auto"/>
              <w:ind w:left="358"/>
              <w:rPr>
                <w:szCs w:val="21"/>
              </w:rPr>
            </w:pPr>
            <w:r>
              <w:rPr>
                <w:spacing w:val="-5"/>
                <w:szCs w:val="21"/>
              </w:rPr>
              <w:t>3</w:t>
            </w:r>
            <w:r>
              <w:rPr>
                <w:spacing w:val="-3"/>
                <w:szCs w:val="21"/>
              </w:rPr>
              <w:t>7</w:t>
            </w:r>
          </w:p>
        </w:tc>
        <w:tc>
          <w:tcPr>
            <w:tcW w:w="3023" w:type="dxa"/>
          </w:tcPr>
          <w:p w14:paraId="54FD3A19">
            <w:pPr>
              <w:spacing w:before="40" w:line="212" w:lineRule="auto"/>
              <w:ind w:left="117"/>
              <w:rPr>
                <w:szCs w:val="21"/>
              </w:rPr>
            </w:pPr>
            <w:r>
              <w:rPr>
                <w:spacing w:val="-16"/>
                <w:szCs w:val="21"/>
              </w:rPr>
              <w:t>厂区内部影响： 相邻的装置</w:t>
            </w:r>
          </w:p>
        </w:tc>
      </w:tr>
      <w:tr w14:paraId="61399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380" w:type="dxa"/>
            <w:vMerge w:val="continue"/>
            <w:tcBorders>
              <w:top w:val="nil"/>
            </w:tcBorders>
          </w:tcPr>
          <w:p w14:paraId="4071BFB4">
            <w:pPr>
              <w:rPr>
                <w:szCs w:val="21"/>
              </w:rPr>
            </w:pPr>
          </w:p>
        </w:tc>
        <w:tc>
          <w:tcPr>
            <w:tcW w:w="1895" w:type="dxa"/>
            <w:vMerge w:val="continue"/>
            <w:tcBorders>
              <w:top w:val="nil"/>
            </w:tcBorders>
          </w:tcPr>
          <w:p w14:paraId="0C4F4798">
            <w:pPr>
              <w:rPr>
                <w:szCs w:val="21"/>
              </w:rPr>
            </w:pPr>
          </w:p>
        </w:tc>
        <w:tc>
          <w:tcPr>
            <w:tcW w:w="1175" w:type="dxa"/>
            <w:vMerge w:val="continue"/>
            <w:tcBorders>
              <w:top w:val="nil"/>
            </w:tcBorders>
          </w:tcPr>
          <w:p w14:paraId="5F6ADDAE">
            <w:pPr>
              <w:rPr>
                <w:szCs w:val="21"/>
              </w:rPr>
            </w:pPr>
          </w:p>
        </w:tc>
        <w:tc>
          <w:tcPr>
            <w:tcW w:w="933" w:type="dxa"/>
            <w:vMerge w:val="continue"/>
            <w:tcBorders>
              <w:top w:val="nil"/>
            </w:tcBorders>
          </w:tcPr>
          <w:p w14:paraId="02F5169F">
            <w:pPr>
              <w:rPr>
                <w:szCs w:val="21"/>
              </w:rPr>
            </w:pPr>
          </w:p>
        </w:tc>
        <w:tc>
          <w:tcPr>
            <w:tcW w:w="3023" w:type="dxa"/>
          </w:tcPr>
          <w:p w14:paraId="225761F1">
            <w:pPr>
              <w:spacing w:before="37" w:line="215" w:lineRule="auto"/>
              <w:ind w:left="558"/>
              <w:rPr>
                <w:szCs w:val="21"/>
              </w:rPr>
            </w:pPr>
            <w:r>
              <w:rPr>
                <w:spacing w:val="-2"/>
                <w:szCs w:val="21"/>
              </w:rPr>
              <w:t>厂区外</w:t>
            </w:r>
            <w:r>
              <w:rPr>
                <w:spacing w:val="-1"/>
                <w:szCs w:val="21"/>
              </w:rPr>
              <w:t>部影响：无</w:t>
            </w:r>
          </w:p>
        </w:tc>
      </w:tr>
      <w:tr w14:paraId="42073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restart"/>
            <w:tcBorders>
              <w:bottom w:val="nil"/>
            </w:tcBorders>
          </w:tcPr>
          <w:p w14:paraId="692083CD">
            <w:pPr>
              <w:spacing w:before="198" w:line="220" w:lineRule="auto"/>
              <w:ind w:left="238"/>
              <w:rPr>
                <w:szCs w:val="21"/>
              </w:rPr>
            </w:pPr>
            <w:r>
              <w:rPr>
                <w:spacing w:val="-2"/>
                <w:szCs w:val="21"/>
              </w:rPr>
              <w:t>德邦</w:t>
            </w:r>
            <w:r>
              <w:rPr>
                <w:spacing w:val="-1"/>
                <w:szCs w:val="21"/>
              </w:rPr>
              <w:t>：醇烃化装置</w:t>
            </w:r>
          </w:p>
        </w:tc>
        <w:tc>
          <w:tcPr>
            <w:tcW w:w="1895" w:type="dxa"/>
            <w:vMerge w:val="restart"/>
            <w:tcBorders>
              <w:bottom w:val="nil"/>
            </w:tcBorders>
          </w:tcPr>
          <w:p w14:paraId="131CBC51">
            <w:pPr>
              <w:spacing w:before="197" w:line="220" w:lineRule="auto"/>
              <w:ind w:left="238"/>
              <w:rPr>
                <w:szCs w:val="21"/>
              </w:rPr>
            </w:pPr>
            <w:r>
              <w:rPr>
                <w:spacing w:val="-2"/>
                <w:szCs w:val="21"/>
              </w:rPr>
              <w:t>管道大孔泄漏</w:t>
            </w:r>
          </w:p>
        </w:tc>
        <w:tc>
          <w:tcPr>
            <w:tcW w:w="1175" w:type="dxa"/>
            <w:vMerge w:val="restart"/>
            <w:tcBorders>
              <w:bottom w:val="nil"/>
            </w:tcBorders>
          </w:tcPr>
          <w:p w14:paraId="04B62906">
            <w:pPr>
              <w:spacing w:before="198" w:line="218" w:lineRule="auto"/>
              <w:ind w:left="361"/>
              <w:rPr>
                <w:szCs w:val="21"/>
              </w:rPr>
            </w:pPr>
            <w:r>
              <w:rPr>
                <w:spacing w:val="-4"/>
                <w:szCs w:val="21"/>
              </w:rPr>
              <w:t>云爆</w:t>
            </w:r>
          </w:p>
        </w:tc>
        <w:tc>
          <w:tcPr>
            <w:tcW w:w="933" w:type="dxa"/>
            <w:vMerge w:val="restart"/>
            <w:tcBorders>
              <w:bottom w:val="nil"/>
            </w:tcBorders>
          </w:tcPr>
          <w:p w14:paraId="364FF2EE">
            <w:pPr>
              <w:spacing w:before="238" w:line="183" w:lineRule="auto"/>
              <w:ind w:left="358"/>
              <w:rPr>
                <w:szCs w:val="21"/>
              </w:rPr>
            </w:pPr>
            <w:r>
              <w:rPr>
                <w:spacing w:val="-5"/>
                <w:szCs w:val="21"/>
              </w:rPr>
              <w:t>3</w:t>
            </w:r>
            <w:r>
              <w:rPr>
                <w:spacing w:val="-3"/>
                <w:szCs w:val="21"/>
              </w:rPr>
              <w:t>7</w:t>
            </w:r>
          </w:p>
        </w:tc>
        <w:tc>
          <w:tcPr>
            <w:tcW w:w="3023" w:type="dxa"/>
          </w:tcPr>
          <w:p w14:paraId="55A92A5E">
            <w:pPr>
              <w:spacing w:before="37" w:line="214" w:lineRule="auto"/>
              <w:ind w:left="117"/>
              <w:rPr>
                <w:szCs w:val="21"/>
              </w:rPr>
            </w:pPr>
            <w:r>
              <w:rPr>
                <w:spacing w:val="-16"/>
                <w:szCs w:val="21"/>
              </w:rPr>
              <w:t>厂区内部影响： 相邻的装置</w:t>
            </w:r>
          </w:p>
        </w:tc>
      </w:tr>
      <w:tr w14:paraId="7E482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380" w:type="dxa"/>
            <w:vMerge w:val="continue"/>
            <w:tcBorders>
              <w:top w:val="nil"/>
            </w:tcBorders>
          </w:tcPr>
          <w:p w14:paraId="2A8B9120">
            <w:pPr>
              <w:rPr>
                <w:szCs w:val="21"/>
              </w:rPr>
            </w:pPr>
          </w:p>
        </w:tc>
        <w:tc>
          <w:tcPr>
            <w:tcW w:w="1895" w:type="dxa"/>
            <w:vMerge w:val="continue"/>
            <w:tcBorders>
              <w:top w:val="nil"/>
            </w:tcBorders>
          </w:tcPr>
          <w:p w14:paraId="081D1866">
            <w:pPr>
              <w:rPr>
                <w:szCs w:val="21"/>
              </w:rPr>
            </w:pPr>
          </w:p>
        </w:tc>
        <w:tc>
          <w:tcPr>
            <w:tcW w:w="1175" w:type="dxa"/>
            <w:vMerge w:val="continue"/>
            <w:tcBorders>
              <w:top w:val="nil"/>
            </w:tcBorders>
          </w:tcPr>
          <w:p w14:paraId="2A6DC159">
            <w:pPr>
              <w:rPr>
                <w:szCs w:val="21"/>
              </w:rPr>
            </w:pPr>
          </w:p>
        </w:tc>
        <w:tc>
          <w:tcPr>
            <w:tcW w:w="933" w:type="dxa"/>
            <w:vMerge w:val="continue"/>
            <w:tcBorders>
              <w:top w:val="nil"/>
            </w:tcBorders>
          </w:tcPr>
          <w:p w14:paraId="3FD53454">
            <w:pPr>
              <w:rPr>
                <w:szCs w:val="21"/>
              </w:rPr>
            </w:pPr>
          </w:p>
        </w:tc>
        <w:tc>
          <w:tcPr>
            <w:tcW w:w="3023" w:type="dxa"/>
          </w:tcPr>
          <w:p w14:paraId="23B7F095">
            <w:pPr>
              <w:spacing w:before="37" w:line="214" w:lineRule="auto"/>
              <w:ind w:left="558"/>
              <w:rPr>
                <w:szCs w:val="21"/>
              </w:rPr>
            </w:pPr>
            <w:r>
              <w:rPr>
                <w:spacing w:val="-2"/>
                <w:szCs w:val="21"/>
              </w:rPr>
              <w:t>厂区外</w:t>
            </w:r>
            <w:r>
              <w:rPr>
                <w:spacing w:val="-1"/>
                <w:szCs w:val="21"/>
              </w:rPr>
              <w:t>部影响：无</w:t>
            </w:r>
          </w:p>
        </w:tc>
      </w:tr>
      <w:tr w14:paraId="3167D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tcPr>
          <w:p w14:paraId="0E1932ED">
            <w:pPr>
              <w:spacing w:before="38" w:line="217" w:lineRule="auto"/>
              <w:ind w:left="238"/>
              <w:rPr>
                <w:szCs w:val="21"/>
              </w:rPr>
            </w:pPr>
            <w:r>
              <w:rPr>
                <w:spacing w:val="-2"/>
                <w:szCs w:val="21"/>
              </w:rPr>
              <w:t>德邦</w:t>
            </w:r>
            <w:r>
              <w:rPr>
                <w:spacing w:val="-1"/>
                <w:szCs w:val="21"/>
              </w:rPr>
              <w:t>：醇烃化装置</w:t>
            </w:r>
          </w:p>
        </w:tc>
        <w:tc>
          <w:tcPr>
            <w:tcW w:w="1895" w:type="dxa"/>
          </w:tcPr>
          <w:p w14:paraId="69BB73FA">
            <w:pPr>
              <w:spacing w:before="38" w:line="217" w:lineRule="auto"/>
              <w:ind w:left="238"/>
              <w:rPr>
                <w:szCs w:val="21"/>
              </w:rPr>
            </w:pPr>
            <w:r>
              <w:rPr>
                <w:spacing w:val="-2"/>
                <w:szCs w:val="21"/>
              </w:rPr>
              <w:t>管道中孔泄漏</w:t>
            </w:r>
          </w:p>
        </w:tc>
        <w:tc>
          <w:tcPr>
            <w:tcW w:w="1175" w:type="dxa"/>
          </w:tcPr>
          <w:p w14:paraId="76AA541D">
            <w:pPr>
              <w:spacing w:before="38" w:line="217" w:lineRule="auto"/>
              <w:ind w:left="361"/>
              <w:rPr>
                <w:szCs w:val="21"/>
              </w:rPr>
            </w:pPr>
            <w:r>
              <w:rPr>
                <w:spacing w:val="-4"/>
                <w:szCs w:val="21"/>
              </w:rPr>
              <w:t>云爆</w:t>
            </w:r>
          </w:p>
        </w:tc>
        <w:tc>
          <w:tcPr>
            <w:tcW w:w="933" w:type="dxa"/>
          </w:tcPr>
          <w:p w14:paraId="747EA350">
            <w:pPr>
              <w:spacing w:before="78" w:line="183" w:lineRule="auto"/>
              <w:ind w:left="358"/>
              <w:rPr>
                <w:szCs w:val="21"/>
              </w:rPr>
            </w:pPr>
            <w:r>
              <w:rPr>
                <w:spacing w:val="-5"/>
                <w:szCs w:val="21"/>
              </w:rPr>
              <w:t>3</w:t>
            </w:r>
            <w:r>
              <w:rPr>
                <w:spacing w:val="-3"/>
                <w:szCs w:val="21"/>
              </w:rPr>
              <w:t>7</w:t>
            </w:r>
          </w:p>
        </w:tc>
        <w:tc>
          <w:tcPr>
            <w:tcW w:w="3023" w:type="dxa"/>
          </w:tcPr>
          <w:p w14:paraId="0002CA5A">
            <w:pPr>
              <w:spacing w:before="38" w:line="217" w:lineRule="auto"/>
              <w:ind w:left="117"/>
              <w:rPr>
                <w:szCs w:val="21"/>
              </w:rPr>
            </w:pPr>
            <w:r>
              <w:rPr>
                <w:spacing w:val="-16"/>
                <w:szCs w:val="21"/>
              </w:rPr>
              <w:t>厂区内部影响： 相邻的装置</w:t>
            </w:r>
            <w:r>
              <w:rPr>
                <w:spacing w:val="-2"/>
                <w:szCs w:val="21"/>
              </w:rPr>
              <w:t>厂区外</w:t>
            </w:r>
            <w:r>
              <w:rPr>
                <w:spacing w:val="-1"/>
                <w:szCs w:val="21"/>
              </w:rPr>
              <w:t>部影响：无</w:t>
            </w:r>
          </w:p>
        </w:tc>
      </w:tr>
      <w:tr w14:paraId="52BA3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0B0EEF47">
            <w:pPr>
              <w:spacing w:before="195" w:line="220" w:lineRule="auto"/>
              <w:ind w:left="238"/>
              <w:rPr>
                <w:szCs w:val="21"/>
              </w:rPr>
            </w:pPr>
            <w:r>
              <w:rPr>
                <w:spacing w:val="-2"/>
                <w:szCs w:val="21"/>
              </w:rPr>
              <w:t>德邦</w:t>
            </w:r>
            <w:r>
              <w:rPr>
                <w:spacing w:val="-1"/>
                <w:szCs w:val="21"/>
              </w:rPr>
              <w:t>：醇烃化装置</w:t>
            </w:r>
          </w:p>
        </w:tc>
        <w:tc>
          <w:tcPr>
            <w:tcW w:w="1895" w:type="dxa"/>
            <w:vMerge w:val="restart"/>
          </w:tcPr>
          <w:p w14:paraId="33F17C67">
            <w:pPr>
              <w:spacing w:before="195" w:line="220" w:lineRule="auto"/>
              <w:ind w:left="256"/>
              <w:rPr>
                <w:szCs w:val="21"/>
              </w:rPr>
            </w:pPr>
            <w:r>
              <w:rPr>
                <w:spacing w:val="-7"/>
                <w:szCs w:val="21"/>
              </w:rPr>
              <w:t>阀</w:t>
            </w:r>
            <w:r>
              <w:rPr>
                <w:spacing w:val="-4"/>
                <w:szCs w:val="21"/>
              </w:rPr>
              <w:t>门中孔泄漏</w:t>
            </w:r>
          </w:p>
        </w:tc>
        <w:tc>
          <w:tcPr>
            <w:tcW w:w="1175" w:type="dxa"/>
            <w:vMerge w:val="restart"/>
          </w:tcPr>
          <w:p w14:paraId="6C12D49F">
            <w:pPr>
              <w:spacing w:before="195" w:line="218" w:lineRule="auto"/>
              <w:ind w:left="361"/>
              <w:rPr>
                <w:szCs w:val="21"/>
              </w:rPr>
            </w:pPr>
            <w:r>
              <w:rPr>
                <w:spacing w:val="-4"/>
                <w:szCs w:val="21"/>
              </w:rPr>
              <w:t>云爆</w:t>
            </w:r>
          </w:p>
        </w:tc>
        <w:tc>
          <w:tcPr>
            <w:tcW w:w="933" w:type="dxa"/>
            <w:vMerge w:val="restart"/>
          </w:tcPr>
          <w:p w14:paraId="0CB8607F">
            <w:pPr>
              <w:spacing w:before="235" w:line="183" w:lineRule="auto"/>
              <w:ind w:left="358"/>
              <w:rPr>
                <w:szCs w:val="21"/>
              </w:rPr>
            </w:pPr>
            <w:r>
              <w:rPr>
                <w:spacing w:val="-5"/>
                <w:szCs w:val="21"/>
              </w:rPr>
              <w:t>3</w:t>
            </w:r>
            <w:r>
              <w:rPr>
                <w:spacing w:val="-3"/>
                <w:szCs w:val="21"/>
              </w:rPr>
              <w:t>7</w:t>
            </w:r>
          </w:p>
        </w:tc>
        <w:tc>
          <w:tcPr>
            <w:tcW w:w="3023" w:type="dxa"/>
          </w:tcPr>
          <w:p w14:paraId="3C96B7DC">
            <w:pPr>
              <w:spacing w:before="35" w:line="216" w:lineRule="auto"/>
              <w:ind w:left="117"/>
              <w:rPr>
                <w:szCs w:val="21"/>
              </w:rPr>
            </w:pPr>
            <w:r>
              <w:rPr>
                <w:spacing w:val="-16"/>
                <w:szCs w:val="21"/>
              </w:rPr>
              <w:t>厂区内部影响： 相邻的装置</w:t>
            </w:r>
          </w:p>
        </w:tc>
      </w:tr>
      <w:tr w14:paraId="63607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579E9EFE">
            <w:pPr>
              <w:spacing w:before="38" w:line="217" w:lineRule="auto"/>
              <w:ind w:left="238"/>
              <w:rPr>
                <w:spacing w:val="-2"/>
                <w:szCs w:val="21"/>
              </w:rPr>
            </w:pPr>
          </w:p>
        </w:tc>
        <w:tc>
          <w:tcPr>
            <w:tcW w:w="1895" w:type="dxa"/>
            <w:vMerge w:val="continue"/>
          </w:tcPr>
          <w:p w14:paraId="4AC61111">
            <w:pPr>
              <w:spacing w:before="38" w:line="217" w:lineRule="auto"/>
              <w:ind w:left="238"/>
              <w:rPr>
                <w:spacing w:val="-2"/>
                <w:szCs w:val="21"/>
              </w:rPr>
            </w:pPr>
          </w:p>
        </w:tc>
        <w:tc>
          <w:tcPr>
            <w:tcW w:w="1175" w:type="dxa"/>
            <w:vMerge w:val="continue"/>
          </w:tcPr>
          <w:p w14:paraId="61B453A6">
            <w:pPr>
              <w:spacing w:before="38" w:line="217" w:lineRule="auto"/>
              <w:ind w:left="361"/>
              <w:rPr>
                <w:spacing w:val="-4"/>
                <w:szCs w:val="21"/>
              </w:rPr>
            </w:pPr>
          </w:p>
        </w:tc>
        <w:tc>
          <w:tcPr>
            <w:tcW w:w="933" w:type="dxa"/>
            <w:vMerge w:val="continue"/>
          </w:tcPr>
          <w:p w14:paraId="1A01BA68">
            <w:pPr>
              <w:spacing w:before="78" w:line="183" w:lineRule="auto"/>
              <w:ind w:left="358"/>
              <w:rPr>
                <w:spacing w:val="-5"/>
                <w:szCs w:val="21"/>
              </w:rPr>
            </w:pPr>
          </w:p>
        </w:tc>
        <w:tc>
          <w:tcPr>
            <w:tcW w:w="3023" w:type="dxa"/>
          </w:tcPr>
          <w:p w14:paraId="12856244">
            <w:pPr>
              <w:spacing w:before="34" w:line="217" w:lineRule="auto"/>
              <w:ind w:left="558"/>
              <w:rPr>
                <w:szCs w:val="21"/>
              </w:rPr>
            </w:pPr>
            <w:r>
              <w:rPr>
                <w:spacing w:val="-2"/>
                <w:szCs w:val="21"/>
              </w:rPr>
              <w:t>厂区外</w:t>
            </w:r>
            <w:r>
              <w:rPr>
                <w:spacing w:val="-1"/>
                <w:szCs w:val="21"/>
              </w:rPr>
              <w:t>部影响：无</w:t>
            </w:r>
          </w:p>
        </w:tc>
      </w:tr>
      <w:tr w14:paraId="4C664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6704FEF">
            <w:pPr>
              <w:spacing w:before="196" w:line="217" w:lineRule="auto"/>
              <w:ind w:left="598"/>
              <w:rPr>
                <w:szCs w:val="21"/>
              </w:rPr>
            </w:pPr>
            <w:r>
              <w:rPr>
                <w:spacing w:val="-2"/>
                <w:szCs w:val="21"/>
              </w:rPr>
              <w:t>德邦：氨</w:t>
            </w:r>
            <w:r>
              <w:rPr>
                <w:spacing w:val="-1"/>
                <w:szCs w:val="21"/>
              </w:rPr>
              <w:t>罐</w:t>
            </w:r>
          </w:p>
        </w:tc>
        <w:tc>
          <w:tcPr>
            <w:tcW w:w="1895" w:type="dxa"/>
            <w:vMerge w:val="restart"/>
          </w:tcPr>
          <w:p w14:paraId="3CE0FEAF">
            <w:pPr>
              <w:spacing w:before="195" w:line="218" w:lineRule="auto"/>
              <w:ind w:left="236"/>
              <w:rPr>
                <w:szCs w:val="21"/>
              </w:rPr>
            </w:pPr>
            <w:r>
              <w:rPr>
                <w:spacing w:val="-2"/>
                <w:szCs w:val="21"/>
              </w:rPr>
              <w:t>容器物理爆</w:t>
            </w:r>
            <w:r>
              <w:rPr>
                <w:spacing w:val="-1"/>
                <w:szCs w:val="21"/>
              </w:rPr>
              <w:t>炸</w:t>
            </w:r>
          </w:p>
        </w:tc>
        <w:tc>
          <w:tcPr>
            <w:tcW w:w="1175" w:type="dxa"/>
            <w:vMerge w:val="restart"/>
          </w:tcPr>
          <w:p w14:paraId="18B6EB97">
            <w:pPr>
              <w:spacing w:before="195" w:line="218" w:lineRule="auto"/>
              <w:ind w:left="114"/>
              <w:rPr>
                <w:szCs w:val="21"/>
              </w:rPr>
            </w:pPr>
            <w:r>
              <w:rPr>
                <w:spacing w:val="-2"/>
                <w:szCs w:val="21"/>
              </w:rPr>
              <w:t>物理爆炸</w:t>
            </w:r>
          </w:p>
        </w:tc>
        <w:tc>
          <w:tcPr>
            <w:tcW w:w="933" w:type="dxa"/>
            <w:vMerge w:val="restart"/>
          </w:tcPr>
          <w:p w14:paraId="32E1BC79">
            <w:pPr>
              <w:spacing w:before="235" w:line="183" w:lineRule="auto"/>
              <w:ind w:left="356"/>
              <w:rPr>
                <w:szCs w:val="21"/>
              </w:rPr>
            </w:pPr>
            <w:r>
              <w:rPr>
                <w:spacing w:val="-4"/>
                <w:szCs w:val="21"/>
              </w:rPr>
              <w:t>2</w:t>
            </w:r>
            <w:r>
              <w:rPr>
                <w:spacing w:val="-3"/>
                <w:szCs w:val="21"/>
              </w:rPr>
              <w:t>5</w:t>
            </w:r>
          </w:p>
        </w:tc>
        <w:tc>
          <w:tcPr>
            <w:tcW w:w="3023" w:type="dxa"/>
          </w:tcPr>
          <w:p w14:paraId="72E215BC">
            <w:pPr>
              <w:spacing w:before="34" w:line="215" w:lineRule="auto"/>
              <w:ind w:left="117"/>
              <w:rPr>
                <w:szCs w:val="21"/>
              </w:rPr>
            </w:pPr>
            <w:r>
              <w:rPr>
                <w:spacing w:val="-16"/>
                <w:szCs w:val="21"/>
              </w:rPr>
              <w:t>厂区内部影响： 相邻氨储罐</w:t>
            </w:r>
          </w:p>
        </w:tc>
      </w:tr>
      <w:tr w14:paraId="734E1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5EC5E1A5">
            <w:pPr>
              <w:spacing w:before="38" w:line="217" w:lineRule="auto"/>
              <w:ind w:left="238"/>
              <w:rPr>
                <w:spacing w:val="-2"/>
                <w:szCs w:val="21"/>
              </w:rPr>
            </w:pPr>
          </w:p>
        </w:tc>
        <w:tc>
          <w:tcPr>
            <w:tcW w:w="1895" w:type="dxa"/>
            <w:vMerge w:val="continue"/>
          </w:tcPr>
          <w:p w14:paraId="5B771A04">
            <w:pPr>
              <w:spacing w:before="38" w:line="217" w:lineRule="auto"/>
              <w:ind w:left="238"/>
              <w:rPr>
                <w:spacing w:val="-2"/>
                <w:szCs w:val="21"/>
              </w:rPr>
            </w:pPr>
          </w:p>
        </w:tc>
        <w:tc>
          <w:tcPr>
            <w:tcW w:w="1175" w:type="dxa"/>
            <w:vMerge w:val="continue"/>
          </w:tcPr>
          <w:p w14:paraId="5362FC30">
            <w:pPr>
              <w:spacing w:before="38" w:line="217" w:lineRule="auto"/>
              <w:ind w:left="361"/>
              <w:rPr>
                <w:spacing w:val="-4"/>
                <w:szCs w:val="21"/>
              </w:rPr>
            </w:pPr>
          </w:p>
        </w:tc>
        <w:tc>
          <w:tcPr>
            <w:tcW w:w="933" w:type="dxa"/>
            <w:vMerge w:val="continue"/>
          </w:tcPr>
          <w:p w14:paraId="7C3F572C">
            <w:pPr>
              <w:spacing w:before="78" w:line="183" w:lineRule="auto"/>
              <w:ind w:left="358"/>
              <w:rPr>
                <w:spacing w:val="-5"/>
                <w:szCs w:val="21"/>
              </w:rPr>
            </w:pPr>
          </w:p>
        </w:tc>
        <w:tc>
          <w:tcPr>
            <w:tcW w:w="3023" w:type="dxa"/>
          </w:tcPr>
          <w:p w14:paraId="3309AA53">
            <w:pPr>
              <w:spacing w:before="37" w:line="214" w:lineRule="auto"/>
              <w:ind w:left="558"/>
              <w:rPr>
                <w:szCs w:val="21"/>
              </w:rPr>
            </w:pPr>
            <w:r>
              <w:rPr>
                <w:spacing w:val="-2"/>
                <w:szCs w:val="21"/>
              </w:rPr>
              <w:t>厂区外</w:t>
            </w:r>
            <w:r>
              <w:rPr>
                <w:spacing w:val="-1"/>
                <w:szCs w:val="21"/>
              </w:rPr>
              <w:t>部影响：无</w:t>
            </w:r>
          </w:p>
        </w:tc>
      </w:tr>
      <w:tr w14:paraId="1B70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77A23463">
            <w:pPr>
              <w:spacing w:before="196" w:line="219" w:lineRule="auto"/>
              <w:ind w:left="118"/>
              <w:rPr>
                <w:szCs w:val="21"/>
              </w:rPr>
            </w:pPr>
            <w:r>
              <w:rPr>
                <w:spacing w:val="-2"/>
                <w:szCs w:val="21"/>
              </w:rPr>
              <w:t>德</w:t>
            </w:r>
            <w:r>
              <w:rPr>
                <w:spacing w:val="-1"/>
                <w:szCs w:val="21"/>
              </w:rPr>
              <w:t>邦：煤气压缩机房</w:t>
            </w:r>
          </w:p>
        </w:tc>
        <w:tc>
          <w:tcPr>
            <w:tcW w:w="1895" w:type="dxa"/>
            <w:vMerge w:val="restart"/>
          </w:tcPr>
          <w:p w14:paraId="5686E570">
            <w:pPr>
              <w:spacing w:before="195" w:line="220" w:lineRule="auto"/>
              <w:ind w:left="238"/>
              <w:rPr>
                <w:szCs w:val="21"/>
              </w:rPr>
            </w:pPr>
            <w:r>
              <w:rPr>
                <w:spacing w:val="-2"/>
                <w:szCs w:val="21"/>
              </w:rPr>
              <w:t>管道中孔泄漏</w:t>
            </w:r>
          </w:p>
        </w:tc>
        <w:tc>
          <w:tcPr>
            <w:tcW w:w="1175" w:type="dxa"/>
            <w:vMerge w:val="restart"/>
          </w:tcPr>
          <w:p w14:paraId="736609D9">
            <w:pPr>
              <w:spacing w:before="196" w:line="218" w:lineRule="auto"/>
              <w:ind w:left="361"/>
              <w:rPr>
                <w:szCs w:val="21"/>
              </w:rPr>
            </w:pPr>
            <w:r>
              <w:rPr>
                <w:spacing w:val="-4"/>
                <w:szCs w:val="21"/>
              </w:rPr>
              <w:t>云爆</w:t>
            </w:r>
          </w:p>
        </w:tc>
        <w:tc>
          <w:tcPr>
            <w:tcW w:w="933" w:type="dxa"/>
            <w:vMerge w:val="restart"/>
          </w:tcPr>
          <w:p w14:paraId="4490EA52">
            <w:pPr>
              <w:spacing w:before="236" w:line="183" w:lineRule="auto"/>
              <w:ind w:left="356"/>
              <w:rPr>
                <w:szCs w:val="21"/>
              </w:rPr>
            </w:pPr>
            <w:r>
              <w:rPr>
                <w:spacing w:val="-4"/>
                <w:szCs w:val="21"/>
              </w:rPr>
              <w:t>2</w:t>
            </w:r>
            <w:r>
              <w:rPr>
                <w:spacing w:val="-3"/>
                <w:szCs w:val="21"/>
              </w:rPr>
              <w:t>3</w:t>
            </w:r>
          </w:p>
        </w:tc>
        <w:tc>
          <w:tcPr>
            <w:tcW w:w="3023" w:type="dxa"/>
          </w:tcPr>
          <w:p w14:paraId="3F67AE82">
            <w:pPr>
              <w:spacing w:before="35" w:line="216" w:lineRule="auto"/>
              <w:ind w:left="117"/>
              <w:rPr>
                <w:szCs w:val="21"/>
              </w:rPr>
            </w:pPr>
            <w:r>
              <w:rPr>
                <w:spacing w:val="-16"/>
                <w:szCs w:val="21"/>
              </w:rPr>
              <w:t>厂区内部影响： 相邻的装置</w:t>
            </w:r>
          </w:p>
        </w:tc>
      </w:tr>
      <w:tr w14:paraId="772E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46D91E4F">
            <w:pPr>
              <w:spacing w:before="38" w:line="217" w:lineRule="auto"/>
              <w:ind w:left="238"/>
              <w:rPr>
                <w:spacing w:val="-2"/>
                <w:szCs w:val="21"/>
              </w:rPr>
            </w:pPr>
          </w:p>
        </w:tc>
        <w:tc>
          <w:tcPr>
            <w:tcW w:w="1895" w:type="dxa"/>
            <w:vMerge w:val="continue"/>
          </w:tcPr>
          <w:p w14:paraId="3139AD42">
            <w:pPr>
              <w:spacing w:before="38" w:line="217" w:lineRule="auto"/>
              <w:ind w:left="238"/>
              <w:rPr>
                <w:spacing w:val="-2"/>
                <w:szCs w:val="21"/>
              </w:rPr>
            </w:pPr>
          </w:p>
        </w:tc>
        <w:tc>
          <w:tcPr>
            <w:tcW w:w="1175" w:type="dxa"/>
            <w:vMerge w:val="continue"/>
          </w:tcPr>
          <w:p w14:paraId="4F42BE4D">
            <w:pPr>
              <w:spacing w:before="38" w:line="217" w:lineRule="auto"/>
              <w:ind w:left="361"/>
              <w:rPr>
                <w:spacing w:val="-4"/>
                <w:szCs w:val="21"/>
              </w:rPr>
            </w:pPr>
          </w:p>
        </w:tc>
        <w:tc>
          <w:tcPr>
            <w:tcW w:w="933" w:type="dxa"/>
            <w:vMerge w:val="continue"/>
          </w:tcPr>
          <w:p w14:paraId="7308947D">
            <w:pPr>
              <w:spacing w:before="78" w:line="183" w:lineRule="auto"/>
              <w:ind w:left="358"/>
              <w:rPr>
                <w:spacing w:val="-5"/>
                <w:szCs w:val="21"/>
              </w:rPr>
            </w:pPr>
          </w:p>
        </w:tc>
        <w:tc>
          <w:tcPr>
            <w:tcW w:w="3023" w:type="dxa"/>
          </w:tcPr>
          <w:p w14:paraId="6A6A4B45">
            <w:pPr>
              <w:spacing w:before="36" w:line="215" w:lineRule="auto"/>
              <w:ind w:left="558"/>
              <w:rPr>
                <w:szCs w:val="21"/>
              </w:rPr>
            </w:pPr>
            <w:r>
              <w:rPr>
                <w:spacing w:val="-2"/>
                <w:szCs w:val="21"/>
              </w:rPr>
              <w:t>厂区外</w:t>
            </w:r>
            <w:r>
              <w:rPr>
                <w:spacing w:val="-1"/>
                <w:szCs w:val="21"/>
              </w:rPr>
              <w:t>部影响：无</w:t>
            </w:r>
          </w:p>
        </w:tc>
      </w:tr>
      <w:tr w14:paraId="417651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1DB758B">
            <w:pPr>
              <w:spacing w:before="197" w:line="219" w:lineRule="auto"/>
              <w:ind w:left="118"/>
              <w:rPr>
                <w:szCs w:val="21"/>
              </w:rPr>
            </w:pPr>
            <w:r>
              <w:rPr>
                <w:spacing w:val="-2"/>
                <w:szCs w:val="21"/>
              </w:rPr>
              <w:t>德</w:t>
            </w:r>
            <w:r>
              <w:rPr>
                <w:spacing w:val="-1"/>
                <w:szCs w:val="21"/>
              </w:rPr>
              <w:t>邦：煤气压缩机房</w:t>
            </w:r>
          </w:p>
        </w:tc>
        <w:tc>
          <w:tcPr>
            <w:tcW w:w="1895" w:type="dxa"/>
            <w:vMerge w:val="restart"/>
          </w:tcPr>
          <w:p w14:paraId="498F05B9">
            <w:pPr>
              <w:spacing w:before="197" w:line="220" w:lineRule="auto"/>
              <w:ind w:left="238"/>
              <w:rPr>
                <w:szCs w:val="21"/>
              </w:rPr>
            </w:pPr>
            <w:r>
              <w:rPr>
                <w:spacing w:val="-2"/>
                <w:szCs w:val="21"/>
              </w:rPr>
              <w:t>管道完全破裂</w:t>
            </w:r>
          </w:p>
        </w:tc>
        <w:tc>
          <w:tcPr>
            <w:tcW w:w="1175" w:type="dxa"/>
            <w:vMerge w:val="restart"/>
          </w:tcPr>
          <w:p w14:paraId="7E1B6C6F">
            <w:pPr>
              <w:spacing w:before="197" w:line="218" w:lineRule="auto"/>
              <w:ind w:left="361"/>
              <w:rPr>
                <w:szCs w:val="21"/>
              </w:rPr>
            </w:pPr>
            <w:r>
              <w:rPr>
                <w:spacing w:val="-4"/>
                <w:szCs w:val="21"/>
              </w:rPr>
              <w:t>云爆</w:t>
            </w:r>
          </w:p>
        </w:tc>
        <w:tc>
          <w:tcPr>
            <w:tcW w:w="933" w:type="dxa"/>
            <w:vMerge w:val="restart"/>
          </w:tcPr>
          <w:p w14:paraId="7110776F">
            <w:pPr>
              <w:spacing w:before="237" w:line="183" w:lineRule="auto"/>
              <w:ind w:left="356"/>
              <w:rPr>
                <w:szCs w:val="21"/>
              </w:rPr>
            </w:pPr>
            <w:r>
              <w:rPr>
                <w:spacing w:val="-4"/>
                <w:szCs w:val="21"/>
              </w:rPr>
              <w:t>2</w:t>
            </w:r>
            <w:r>
              <w:rPr>
                <w:spacing w:val="-3"/>
                <w:szCs w:val="21"/>
              </w:rPr>
              <w:t>3</w:t>
            </w:r>
          </w:p>
        </w:tc>
        <w:tc>
          <w:tcPr>
            <w:tcW w:w="3023" w:type="dxa"/>
          </w:tcPr>
          <w:p w14:paraId="2ECC0BF9">
            <w:pPr>
              <w:spacing w:before="36" w:line="216" w:lineRule="auto"/>
              <w:ind w:left="117"/>
              <w:rPr>
                <w:szCs w:val="21"/>
              </w:rPr>
            </w:pPr>
            <w:r>
              <w:rPr>
                <w:spacing w:val="-16"/>
                <w:szCs w:val="21"/>
              </w:rPr>
              <w:t>厂区内部影响： 相邻的装置</w:t>
            </w:r>
          </w:p>
        </w:tc>
      </w:tr>
      <w:tr w14:paraId="308151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5F32C5A">
            <w:pPr>
              <w:spacing w:before="38" w:line="217" w:lineRule="auto"/>
              <w:ind w:left="238"/>
              <w:rPr>
                <w:spacing w:val="-2"/>
                <w:szCs w:val="21"/>
              </w:rPr>
            </w:pPr>
          </w:p>
        </w:tc>
        <w:tc>
          <w:tcPr>
            <w:tcW w:w="1895" w:type="dxa"/>
            <w:vMerge w:val="continue"/>
          </w:tcPr>
          <w:p w14:paraId="36E2AA55">
            <w:pPr>
              <w:spacing w:before="38" w:line="217" w:lineRule="auto"/>
              <w:ind w:left="238"/>
              <w:rPr>
                <w:spacing w:val="-2"/>
                <w:szCs w:val="21"/>
              </w:rPr>
            </w:pPr>
          </w:p>
        </w:tc>
        <w:tc>
          <w:tcPr>
            <w:tcW w:w="1175" w:type="dxa"/>
            <w:vMerge w:val="continue"/>
          </w:tcPr>
          <w:p w14:paraId="6363A31A">
            <w:pPr>
              <w:spacing w:before="38" w:line="217" w:lineRule="auto"/>
              <w:ind w:left="361"/>
              <w:rPr>
                <w:spacing w:val="-4"/>
                <w:szCs w:val="21"/>
              </w:rPr>
            </w:pPr>
          </w:p>
        </w:tc>
        <w:tc>
          <w:tcPr>
            <w:tcW w:w="933" w:type="dxa"/>
            <w:vMerge w:val="continue"/>
          </w:tcPr>
          <w:p w14:paraId="1DD563C0">
            <w:pPr>
              <w:spacing w:before="78" w:line="183" w:lineRule="auto"/>
              <w:ind w:left="358"/>
              <w:rPr>
                <w:spacing w:val="-5"/>
                <w:szCs w:val="21"/>
              </w:rPr>
            </w:pPr>
          </w:p>
        </w:tc>
        <w:tc>
          <w:tcPr>
            <w:tcW w:w="3023" w:type="dxa"/>
          </w:tcPr>
          <w:p w14:paraId="1248E5F5">
            <w:pPr>
              <w:spacing w:before="36" w:line="215" w:lineRule="auto"/>
              <w:ind w:left="558"/>
              <w:rPr>
                <w:szCs w:val="21"/>
              </w:rPr>
            </w:pPr>
            <w:r>
              <w:rPr>
                <w:spacing w:val="-2"/>
                <w:szCs w:val="21"/>
              </w:rPr>
              <w:t>厂区外</w:t>
            </w:r>
            <w:r>
              <w:rPr>
                <w:spacing w:val="-1"/>
                <w:szCs w:val="21"/>
              </w:rPr>
              <w:t>部影响：无</w:t>
            </w:r>
          </w:p>
        </w:tc>
      </w:tr>
      <w:tr w14:paraId="76FD3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2100341E">
            <w:pPr>
              <w:spacing w:before="198" w:line="219" w:lineRule="auto"/>
              <w:ind w:left="118"/>
              <w:rPr>
                <w:szCs w:val="21"/>
              </w:rPr>
            </w:pPr>
            <w:r>
              <w:rPr>
                <w:spacing w:val="-2"/>
                <w:szCs w:val="21"/>
              </w:rPr>
              <w:t>德</w:t>
            </w:r>
            <w:r>
              <w:rPr>
                <w:spacing w:val="-1"/>
                <w:szCs w:val="21"/>
              </w:rPr>
              <w:t>邦：煤气压缩机房</w:t>
            </w:r>
          </w:p>
        </w:tc>
        <w:tc>
          <w:tcPr>
            <w:tcW w:w="1895" w:type="dxa"/>
            <w:vMerge w:val="restart"/>
          </w:tcPr>
          <w:p w14:paraId="634EB324">
            <w:pPr>
              <w:spacing w:before="198" w:line="220" w:lineRule="auto"/>
              <w:ind w:left="256"/>
              <w:rPr>
                <w:szCs w:val="21"/>
              </w:rPr>
            </w:pPr>
            <w:r>
              <w:rPr>
                <w:spacing w:val="-7"/>
                <w:szCs w:val="21"/>
              </w:rPr>
              <w:t>阀</w:t>
            </w:r>
            <w:r>
              <w:rPr>
                <w:spacing w:val="-4"/>
                <w:szCs w:val="21"/>
              </w:rPr>
              <w:t>门大孔泄漏</w:t>
            </w:r>
          </w:p>
        </w:tc>
        <w:tc>
          <w:tcPr>
            <w:tcW w:w="1175" w:type="dxa"/>
            <w:vMerge w:val="restart"/>
          </w:tcPr>
          <w:p w14:paraId="66376D4D">
            <w:pPr>
              <w:spacing w:before="198" w:line="218" w:lineRule="auto"/>
              <w:ind w:left="361"/>
              <w:rPr>
                <w:szCs w:val="21"/>
              </w:rPr>
            </w:pPr>
            <w:r>
              <w:rPr>
                <w:spacing w:val="-4"/>
                <w:szCs w:val="21"/>
              </w:rPr>
              <w:t>云爆</w:t>
            </w:r>
          </w:p>
        </w:tc>
        <w:tc>
          <w:tcPr>
            <w:tcW w:w="933" w:type="dxa"/>
            <w:vMerge w:val="restart"/>
          </w:tcPr>
          <w:p w14:paraId="5295CF6E">
            <w:pPr>
              <w:spacing w:before="238" w:line="183" w:lineRule="auto"/>
              <w:ind w:left="356"/>
              <w:rPr>
                <w:szCs w:val="21"/>
              </w:rPr>
            </w:pPr>
            <w:r>
              <w:rPr>
                <w:spacing w:val="-4"/>
                <w:szCs w:val="21"/>
              </w:rPr>
              <w:t>2</w:t>
            </w:r>
            <w:r>
              <w:rPr>
                <w:spacing w:val="-3"/>
                <w:szCs w:val="21"/>
              </w:rPr>
              <w:t>3</w:t>
            </w:r>
          </w:p>
        </w:tc>
        <w:tc>
          <w:tcPr>
            <w:tcW w:w="3023" w:type="dxa"/>
          </w:tcPr>
          <w:p w14:paraId="727FE33C">
            <w:pPr>
              <w:spacing w:before="36" w:line="215" w:lineRule="auto"/>
              <w:ind w:left="117"/>
              <w:rPr>
                <w:szCs w:val="21"/>
              </w:rPr>
            </w:pPr>
            <w:r>
              <w:rPr>
                <w:spacing w:val="-16"/>
                <w:szCs w:val="21"/>
              </w:rPr>
              <w:t>厂区内部影响： 相邻的装置</w:t>
            </w:r>
          </w:p>
        </w:tc>
      </w:tr>
      <w:tr w14:paraId="4956A4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4E7538BE">
            <w:pPr>
              <w:spacing w:before="38" w:line="217" w:lineRule="auto"/>
              <w:ind w:left="238"/>
              <w:rPr>
                <w:spacing w:val="-2"/>
                <w:szCs w:val="21"/>
              </w:rPr>
            </w:pPr>
          </w:p>
        </w:tc>
        <w:tc>
          <w:tcPr>
            <w:tcW w:w="1895" w:type="dxa"/>
            <w:vMerge w:val="continue"/>
          </w:tcPr>
          <w:p w14:paraId="43810A7F">
            <w:pPr>
              <w:spacing w:before="38" w:line="217" w:lineRule="auto"/>
              <w:ind w:left="238"/>
              <w:rPr>
                <w:spacing w:val="-2"/>
                <w:szCs w:val="21"/>
              </w:rPr>
            </w:pPr>
          </w:p>
        </w:tc>
        <w:tc>
          <w:tcPr>
            <w:tcW w:w="1175" w:type="dxa"/>
            <w:vMerge w:val="continue"/>
          </w:tcPr>
          <w:p w14:paraId="7EBF3C61">
            <w:pPr>
              <w:spacing w:before="38" w:line="217" w:lineRule="auto"/>
              <w:ind w:left="361"/>
              <w:rPr>
                <w:spacing w:val="-4"/>
                <w:szCs w:val="21"/>
              </w:rPr>
            </w:pPr>
          </w:p>
        </w:tc>
        <w:tc>
          <w:tcPr>
            <w:tcW w:w="933" w:type="dxa"/>
            <w:vMerge w:val="continue"/>
          </w:tcPr>
          <w:p w14:paraId="0B30A934">
            <w:pPr>
              <w:spacing w:before="78" w:line="183" w:lineRule="auto"/>
              <w:ind w:left="358"/>
              <w:rPr>
                <w:spacing w:val="-5"/>
                <w:szCs w:val="21"/>
              </w:rPr>
            </w:pPr>
          </w:p>
        </w:tc>
        <w:tc>
          <w:tcPr>
            <w:tcW w:w="3023" w:type="dxa"/>
          </w:tcPr>
          <w:p w14:paraId="5415F789">
            <w:pPr>
              <w:spacing w:before="38" w:line="213" w:lineRule="auto"/>
              <w:ind w:left="558"/>
              <w:rPr>
                <w:szCs w:val="21"/>
              </w:rPr>
            </w:pPr>
            <w:r>
              <w:rPr>
                <w:spacing w:val="-2"/>
                <w:szCs w:val="21"/>
              </w:rPr>
              <w:t>厂区外</w:t>
            </w:r>
            <w:r>
              <w:rPr>
                <w:spacing w:val="-1"/>
                <w:szCs w:val="21"/>
              </w:rPr>
              <w:t>部影响：无</w:t>
            </w:r>
          </w:p>
        </w:tc>
      </w:tr>
      <w:tr w14:paraId="46C06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056F79C">
            <w:pPr>
              <w:spacing w:before="200" w:line="219" w:lineRule="auto"/>
              <w:ind w:left="118"/>
              <w:rPr>
                <w:szCs w:val="21"/>
              </w:rPr>
            </w:pPr>
            <w:r>
              <w:rPr>
                <w:spacing w:val="-2"/>
                <w:szCs w:val="21"/>
              </w:rPr>
              <w:t>德</w:t>
            </w:r>
            <w:r>
              <w:rPr>
                <w:spacing w:val="-1"/>
                <w:szCs w:val="21"/>
              </w:rPr>
              <w:t>邦：煤气压缩机房</w:t>
            </w:r>
          </w:p>
        </w:tc>
        <w:tc>
          <w:tcPr>
            <w:tcW w:w="1895" w:type="dxa"/>
            <w:vMerge w:val="restart"/>
          </w:tcPr>
          <w:p w14:paraId="5BEDEDA6">
            <w:pPr>
              <w:spacing w:before="200" w:line="220" w:lineRule="auto"/>
              <w:ind w:left="256"/>
              <w:rPr>
                <w:szCs w:val="21"/>
              </w:rPr>
            </w:pPr>
            <w:r>
              <w:rPr>
                <w:spacing w:val="-7"/>
                <w:szCs w:val="21"/>
              </w:rPr>
              <w:t>阀</w:t>
            </w:r>
            <w:r>
              <w:rPr>
                <w:spacing w:val="-4"/>
                <w:szCs w:val="21"/>
              </w:rPr>
              <w:t>门中孔泄漏</w:t>
            </w:r>
          </w:p>
        </w:tc>
        <w:tc>
          <w:tcPr>
            <w:tcW w:w="1175" w:type="dxa"/>
            <w:vMerge w:val="restart"/>
          </w:tcPr>
          <w:p w14:paraId="2310D7D3">
            <w:pPr>
              <w:spacing w:before="200" w:line="218" w:lineRule="auto"/>
              <w:ind w:left="361"/>
              <w:rPr>
                <w:szCs w:val="21"/>
              </w:rPr>
            </w:pPr>
            <w:r>
              <w:rPr>
                <w:spacing w:val="-4"/>
                <w:szCs w:val="21"/>
              </w:rPr>
              <w:t>云爆</w:t>
            </w:r>
          </w:p>
        </w:tc>
        <w:tc>
          <w:tcPr>
            <w:tcW w:w="933" w:type="dxa"/>
          </w:tcPr>
          <w:p w14:paraId="46CEC636">
            <w:pPr>
              <w:spacing w:before="240" w:line="183" w:lineRule="auto"/>
              <w:ind w:left="356"/>
              <w:rPr>
                <w:szCs w:val="21"/>
              </w:rPr>
            </w:pPr>
            <w:r>
              <w:rPr>
                <w:spacing w:val="-4"/>
                <w:szCs w:val="21"/>
              </w:rPr>
              <w:t>2</w:t>
            </w:r>
            <w:r>
              <w:rPr>
                <w:spacing w:val="-3"/>
                <w:szCs w:val="21"/>
              </w:rPr>
              <w:t>3</w:t>
            </w:r>
          </w:p>
        </w:tc>
        <w:tc>
          <w:tcPr>
            <w:tcW w:w="3023" w:type="dxa"/>
          </w:tcPr>
          <w:p w14:paraId="11F01AC6">
            <w:pPr>
              <w:spacing w:before="40" w:line="213" w:lineRule="auto"/>
              <w:ind w:left="117"/>
              <w:rPr>
                <w:szCs w:val="21"/>
              </w:rPr>
            </w:pPr>
            <w:r>
              <w:rPr>
                <w:spacing w:val="-16"/>
                <w:szCs w:val="21"/>
              </w:rPr>
              <w:t>厂区内部影响： 相邻的装置</w:t>
            </w:r>
          </w:p>
        </w:tc>
      </w:tr>
      <w:tr w14:paraId="52F2A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489A9DEC">
            <w:pPr>
              <w:spacing w:before="38" w:line="217" w:lineRule="auto"/>
              <w:ind w:left="238"/>
              <w:rPr>
                <w:spacing w:val="-2"/>
                <w:szCs w:val="21"/>
              </w:rPr>
            </w:pPr>
          </w:p>
        </w:tc>
        <w:tc>
          <w:tcPr>
            <w:tcW w:w="1895" w:type="dxa"/>
            <w:vMerge w:val="continue"/>
          </w:tcPr>
          <w:p w14:paraId="1400927C">
            <w:pPr>
              <w:spacing w:before="38" w:line="217" w:lineRule="auto"/>
              <w:ind w:left="238"/>
              <w:rPr>
                <w:spacing w:val="-2"/>
                <w:szCs w:val="21"/>
              </w:rPr>
            </w:pPr>
          </w:p>
        </w:tc>
        <w:tc>
          <w:tcPr>
            <w:tcW w:w="1175" w:type="dxa"/>
            <w:vMerge w:val="continue"/>
          </w:tcPr>
          <w:p w14:paraId="12BA836D">
            <w:pPr>
              <w:spacing w:before="38" w:line="217" w:lineRule="auto"/>
              <w:ind w:left="361"/>
              <w:rPr>
                <w:spacing w:val="-4"/>
                <w:szCs w:val="21"/>
              </w:rPr>
            </w:pPr>
          </w:p>
        </w:tc>
        <w:tc>
          <w:tcPr>
            <w:tcW w:w="933" w:type="dxa"/>
          </w:tcPr>
          <w:p w14:paraId="06DD1C24">
            <w:pPr>
              <w:spacing w:before="78" w:line="183" w:lineRule="auto"/>
              <w:ind w:left="358"/>
              <w:rPr>
                <w:spacing w:val="-5"/>
                <w:szCs w:val="21"/>
              </w:rPr>
            </w:pPr>
          </w:p>
        </w:tc>
        <w:tc>
          <w:tcPr>
            <w:tcW w:w="3023" w:type="dxa"/>
          </w:tcPr>
          <w:p w14:paraId="72D8EDE4">
            <w:pPr>
              <w:spacing w:before="37" w:line="215" w:lineRule="auto"/>
              <w:ind w:left="558"/>
              <w:rPr>
                <w:szCs w:val="21"/>
              </w:rPr>
            </w:pPr>
            <w:r>
              <w:rPr>
                <w:spacing w:val="-2"/>
                <w:szCs w:val="21"/>
              </w:rPr>
              <w:t>厂区外</w:t>
            </w:r>
            <w:r>
              <w:rPr>
                <w:spacing w:val="-1"/>
                <w:szCs w:val="21"/>
              </w:rPr>
              <w:t>部影响：无</w:t>
            </w:r>
          </w:p>
        </w:tc>
      </w:tr>
      <w:tr w14:paraId="73C6B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727B22AB">
            <w:pPr>
              <w:spacing w:before="197" w:line="219" w:lineRule="auto"/>
              <w:ind w:left="118"/>
              <w:rPr>
                <w:szCs w:val="21"/>
              </w:rPr>
            </w:pPr>
            <w:r>
              <w:rPr>
                <w:spacing w:val="-2"/>
                <w:szCs w:val="21"/>
              </w:rPr>
              <w:t>德</w:t>
            </w:r>
            <w:r>
              <w:rPr>
                <w:spacing w:val="-1"/>
                <w:szCs w:val="21"/>
              </w:rPr>
              <w:t>邦：煤气压缩机房</w:t>
            </w:r>
          </w:p>
        </w:tc>
        <w:tc>
          <w:tcPr>
            <w:tcW w:w="1895" w:type="dxa"/>
            <w:vMerge w:val="restart"/>
          </w:tcPr>
          <w:p w14:paraId="2573504C">
            <w:pPr>
              <w:spacing w:before="197" w:line="221" w:lineRule="auto"/>
              <w:ind w:left="256"/>
              <w:rPr>
                <w:szCs w:val="21"/>
              </w:rPr>
            </w:pPr>
            <w:r>
              <w:rPr>
                <w:spacing w:val="-7"/>
                <w:szCs w:val="21"/>
              </w:rPr>
              <w:t>阀</w:t>
            </w:r>
            <w:r>
              <w:rPr>
                <w:spacing w:val="-4"/>
                <w:szCs w:val="21"/>
              </w:rPr>
              <w:t>门小孔泄漏</w:t>
            </w:r>
          </w:p>
        </w:tc>
        <w:tc>
          <w:tcPr>
            <w:tcW w:w="1175" w:type="dxa"/>
            <w:vMerge w:val="restart"/>
          </w:tcPr>
          <w:p w14:paraId="20109732">
            <w:pPr>
              <w:spacing w:before="197" w:line="218" w:lineRule="auto"/>
              <w:ind w:left="361"/>
              <w:rPr>
                <w:szCs w:val="21"/>
              </w:rPr>
            </w:pPr>
            <w:r>
              <w:rPr>
                <w:spacing w:val="-4"/>
                <w:szCs w:val="21"/>
              </w:rPr>
              <w:t>云爆</w:t>
            </w:r>
          </w:p>
        </w:tc>
        <w:tc>
          <w:tcPr>
            <w:tcW w:w="933" w:type="dxa"/>
            <w:vMerge w:val="restart"/>
          </w:tcPr>
          <w:p w14:paraId="093473C6">
            <w:pPr>
              <w:spacing w:before="237" w:line="183" w:lineRule="auto"/>
              <w:ind w:left="371"/>
              <w:rPr>
                <w:szCs w:val="21"/>
              </w:rPr>
            </w:pPr>
            <w:r>
              <w:rPr>
                <w:spacing w:val="-8"/>
                <w:szCs w:val="21"/>
              </w:rPr>
              <w:t>1</w:t>
            </w:r>
            <w:r>
              <w:rPr>
                <w:spacing w:val="-6"/>
                <w:szCs w:val="21"/>
              </w:rPr>
              <w:t>7</w:t>
            </w:r>
          </w:p>
        </w:tc>
        <w:tc>
          <w:tcPr>
            <w:tcW w:w="3023" w:type="dxa"/>
          </w:tcPr>
          <w:p w14:paraId="221241A3">
            <w:pPr>
              <w:spacing w:before="36" w:line="216" w:lineRule="auto"/>
              <w:ind w:left="117"/>
              <w:rPr>
                <w:szCs w:val="21"/>
              </w:rPr>
            </w:pPr>
            <w:r>
              <w:rPr>
                <w:spacing w:val="-16"/>
                <w:szCs w:val="21"/>
              </w:rPr>
              <w:t>厂区内部影响： 相邻的装置</w:t>
            </w:r>
          </w:p>
        </w:tc>
      </w:tr>
      <w:tr w14:paraId="5A02A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755126A6">
            <w:pPr>
              <w:spacing w:before="38" w:line="217" w:lineRule="auto"/>
              <w:ind w:left="238"/>
              <w:rPr>
                <w:spacing w:val="-2"/>
                <w:szCs w:val="21"/>
              </w:rPr>
            </w:pPr>
          </w:p>
        </w:tc>
        <w:tc>
          <w:tcPr>
            <w:tcW w:w="1895" w:type="dxa"/>
            <w:vMerge w:val="continue"/>
          </w:tcPr>
          <w:p w14:paraId="321AC845">
            <w:pPr>
              <w:spacing w:before="38" w:line="217" w:lineRule="auto"/>
              <w:ind w:left="238"/>
              <w:rPr>
                <w:spacing w:val="-2"/>
                <w:szCs w:val="21"/>
              </w:rPr>
            </w:pPr>
          </w:p>
        </w:tc>
        <w:tc>
          <w:tcPr>
            <w:tcW w:w="1175" w:type="dxa"/>
            <w:vMerge w:val="continue"/>
          </w:tcPr>
          <w:p w14:paraId="7BF0411B">
            <w:pPr>
              <w:spacing w:before="38" w:line="217" w:lineRule="auto"/>
              <w:ind w:left="361"/>
              <w:rPr>
                <w:spacing w:val="-4"/>
                <w:szCs w:val="21"/>
              </w:rPr>
            </w:pPr>
          </w:p>
        </w:tc>
        <w:tc>
          <w:tcPr>
            <w:tcW w:w="933" w:type="dxa"/>
            <w:vMerge w:val="continue"/>
          </w:tcPr>
          <w:p w14:paraId="42DE2311">
            <w:pPr>
              <w:spacing w:before="78" w:line="183" w:lineRule="auto"/>
              <w:ind w:left="358"/>
              <w:rPr>
                <w:spacing w:val="-5"/>
                <w:szCs w:val="21"/>
              </w:rPr>
            </w:pPr>
          </w:p>
        </w:tc>
        <w:tc>
          <w:tcPr>
            <w:tcW w:w="3023" w:type="dxa"/>
          </w:tcPr>
          <w:p w14:paraId="6F10DE72">
            <w:pPr>
              <w:spacing w:before="36" w:line="216" w:lineRule="auto"/>
              <w:ind w:left="558"/>
              <w:rPr>
                <w:szCs w:val="21"/>
              </w:rPr>
            </w:pPr>
            <w:r>
              <w:rPr>
                <w:spacing w:val="-2"/>
                <w:szCs w:val="21"/>
              </w:rPr>
              <w:t>厂区外</w:t>
            </w:r>
            <w:r>
              <w:rPr>
                <w:spacing w:val="-1"/>
                <w:szCs w:val="21"/>
              </w:rPr>
              <w:t>部影响：无</w:t>
            </w:r>
          </w:p>
        </w:tc>
      </w:tr>
      <w:tr w14:paraId="734A53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0C6539CC">
            <w:pPr>
              <w:spacing w:before="197" w:line="217" w:lineRule="auto"/>
              <w:ind w:left="238"/>
              <w:rPr>
                <w:szCs w:val="21"/>
              </w:rPr>
            </w:pPr>
            <w:r>
              <w:rPr>
                <w:spacing w:val="-2"/>
                <w:szCs w:val="21"/>
              </w:rPr>
              <w:t>德邦</w:t>
            </w:r>
            <w:r>
              <w:rPr>
                <w:spacing w:val="-1"/>
                <w:szCs w:val="21"/>
              </w:rPr>
              <w:t>：合成氨装置</w:t>
            </w:r>
          </w:p>
        </w:tc>
        <w:tc>
          <w:tcPr>
            <w:tcW w:w="1895" w:type="dxa"/>
            <w:vMerge w:val="restart"/>
          </w:tcPr>
          <w:p w14:paraId="42A1796B">
            <w:pPr>
              <w:spacing w:before="196" w:line="221" w:lineRule="auto"/>
              <w:ind w:left="256"/>
              <w:rPr>
                <w:szCs w:val="21"/>
              </w:rPr>
            </w:pPr>
            <w:r>
              <w:rPr>
                <w:spacing w:val="-7"/>
                <w:szCs w:val="21"/>
              </w:rPr>
              <w:t>阀</w:t>
            </w:r>
            <w:r>
              <w:rPr>
                <w:spacing w:val="-4"/>
                <w:szCs w:val="21"/>
              </w:rPr>
              <w:t>门小孔泄漏</w:t>
            </w:r>
          </w:p>
        </w:tc>
        <w:tc>
          <w:tcPr>
            <w:tcW w:w="1175" w:type="dxa"/>
            <w:vMerge w:val="restart"/>
          </w:tcPr>
          <w:p w14:paraId="75FB9E6E">
            <w:pPr>
              <w:spacing w:before="196" w:line="218" w:lineRule="auto"/>
              <w:ind w:left="361"/>
              <w:rPr>
                <w:szCs w:val="21"/>
              </w:rPr>
            </w:pPr>
            <w:r>
              <w:rPr>
                <w:spacing w:val="-4"/>
                <w:szCs w:val="21"/>
              </w:rPr>
              <w:t>云爆</w:t>
            </w:r>
          </w:p>
        </w:tc>
        <w:tc>
          <w:tcPr>
            <w:tcW w:w="933" w:type="dxa"/>
            <w:vMerge w:val="restart"/>
          </w:tcPr>
          <w:p w14:paraId="1D135051">
            <w:pPr>
              <w:spacing w:before="236" w:line="183" w:lineRule="auto"/>
              <w:ind w:left="371"/>
              <w:rPr>
                <w:szCs w:val="21"/>
              </w:rPr>
            </w:pPr>
            <w:r>
              <w:rPr>
                <w:spacing w:val="-8"/>
                <w:szCs w:val="21"/>
              </w:rPr>
              <w:t>1</w:t>
            </w:r>
            <w:r>
              <w:rPr>
                <w:spacing w:val="-6"/>
                <w:szCs w:val="21"/>
              </w:rPr>
              <w:t>6</w:t>
            </w:r>
          </w:p>
        </w:tc>
        <w:tc>
          <w:tcPr>
            <w:tcW w:w="3023" w:type="dxa"/>
          </w:tcPr>
          <w:p w14:paraId="73AA7A53">
            <w:pPr>
              <w:spacing w:before="35" w:line="216" w:lineRule="auto"/>
              <w:ind w:left="117"/>
              <w:rPr>
                <w:szCs w:val="21"/>
              </w:rPr>
            </w:pPr>
            <w:r>
              <w:rPr>
                <w:spacing w:val="-16"/>
                <w:szCs w:val="21"/>
              </w:rPr>
              <w:t>厂区内部影响： 相邻的装置</w:t>
            </w:r>
          </w:p>
        </w:tc>
      </w:tr>
      <w:tr w14:paraId="575E0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3E0EF73D">
            <w:pPr>
              <w:spacing w:before="38" w:line="217" w:lineRule="auto"/>
              <w:ind w:left="238"/>
              <w:rPr>
                <w:spacing w:val="-2"/>
                <w:szCs w:val="21"/>
              </w:rPr>
            </w:pPr>
          </w:p>
        </w:tc>
        <w:tc>
          <w:tcPr>
            <w:tcW w:w="1895" w:type="dxa"/>
            <w:vMerge w:val="continue"/>
          </w:tcPr>
          <w:p w14:paraId="41D9A181">
            <w:pPr>
              <w:spacing w:before="38" w:line="217" w:lineRule="auto"/>
              <w:ind w:left="238"/>
              <w:rPr>
                <w:spacing w:val="-2"/>
                <w:szCs w:val="21"/>
              </w:rPr>
            </w:pPr>
          </w:p>
        </w:tc>
        <w:tc>
          <w:tcPr>
            <w:tcW w:w="1175" w:type="dxa"/>
            <w:vMerge w:val="continue"/>
          </w:tcPr>
          <w:p w14:paraId="764DA7D1">
            <w:pPr>
              <w:spacing w:before="38" w:line="217" w:lineRule="auto"/>
              <w:ind w:left="361"/>
              <w:rPr>
                <w:spacing w:val="-4"/>
                <w:szCs w:val="21"/>
              </w:rPr>
            </w:pPr>
          </w:p>
        </w:tc>
        <w:tc>
          <w:tcPr>
            <w:tcW w:w="933" w:type="dxa"/>
            <w:vMerge w:val="continue"/>
          </w:tcPr>
          <w:p w14:paraId="2566830E">
            <w:pPr>
              <w:spacing w:before="78" w:line="183" w:lineRule="auto"/>
              <w:ind w:left="358"/>
              <w:rPr>
                <w:spacing w:val="-5"/>
                <w:szCs w:val="21"/>
              </w:rPr>
            </w:pPr>
          </w:p>
        </w:tc>
        <w:tc>
          <w:tcPr>
            <w:tcW w:w="3023" w:type="dxa"/>
          </w:tcPr>
          <w:p w14:paraId="624AAB50">
            <w:pPr>
              <w:spacing w:before="36" w:line="216" w:lineRule="auto"/>
              <w:ind w:left="558"/>
              <w:rPr>
                <w:szCs w:val="21"/>
              </w:rPr>
            </w:pPr>
            <w:r>
              <w:rPr>
                <w:spacing w:val="-2"/>
                <w:szCs w:val="21"/>
              </w:rPr>
              <w:t>厂区外</w:t>
            </w:r>
            <w:r>
              <w:rPr>
                <w:spacing w:val="-1"/>
                <w:szCs w:val="21"/>
              </w:rPr>
              <w:t>部影响：无</w:t>
            </w:r>
          </w:p>
        </w:tc>
      </w:tr>
      <w:tr w14:paraId="39DC3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3BD9E0B9">
            <w:pPr>
              <w:spacing w:before="196" w:line="220" w:lineRule="auto"/>
              <w:ind w:left="118"/>
              <w:rPr>
                <w:szCs w:val="21"/>
              </w:rPr>
            </w:pPr>
            <w:r>
              <w:rPr>
                <w:spacing w:val="-2"/>
                <w:szCs w:val="21"/>
              </w:rPr>
              <w:t>德</w:t>
            </w:r>
            <w:r>
              <w:rPr>
                <w:spacing w:val="-1"/>
                <w:szCs w:val="21"/>
              </w:rPr>
              <w:t>邦：甲醇中间储罐</w:t>
            </w:r>
          </w:p>
        </w:tc>
        <w:tc>
          <w:tcPr>
            <w:tcW w:w="1895" w:type="dxa"/>
            <w:vMerge w:val="restart"/>
          </w:tcPr>
          <w:p w14:paraId="3E22EA15">
            <w:pPr>
              <w:spacing w:before="196" w:line="218" w:lineRule="auto"/>
              <w:ind w:left="236"/>
              <w:rPr>
                <w:szCs w:val="21"/>
              </w:rPr>
            </w:pPr>
            <w:r>
              <w:rPr>
                <w:spacing w:val="-2"/>
                <w:szCs w:val="21"/>
              </w:rPr>
              <w:t>容器物理爆</w:t>
            </w:r>
            <w:r>
              <w:rPr>
                <w:spacing w:val="-1"/>
                <w:szCs w:val="21"/>
              </w:rPr>
              <w:t>炸</w:t>
            </w:r>
          </w:p>
        </w:tc>
        <w:tc>
          <w:tcPr>
            <w:tcW w:w="1175" w:type="dxa"/>
            <w:vMerge w:val="restart"/>
          </w:tcPr>
          <w:p w14:paraId="31664579">
            <w:pPr>
              <w:spacing w:before="196" w:line="218" w:lineRule="auto"/>
              <w:ind w:left="114"/>
              <w:rPr>
                <w:szCs w:val="21"/>
              </w:rPr>
            </w:pPr>
            <w:r>
              <w:rPr>
                <w:spacing w:val="-2"/>
                <w:szCs w:val="21"/>
              </w:rPr>
              <w:t>物理爆炸</w:t>
            </w:r>
          </w:p>
        </w:tc>
        <w:tc>
          <w:tcPr>
            <w:tcW w:w="933" w:type="dxa"/>
            <w:vMerge w:val="restart"/>
          </w:tcPr>
          <w:p w14:paraId="00F5B11E">
            <w:pPr>
              <w:spacing w:before="236" w:line="183" w:lineRule="auto"/>
              <w:ind w:left="371"/>
              <w:rPr>
                <w:szCs w:val="21"/>
              </w:rPr>
            </w:pPr>
            <w:r>
              <w:rPr>
                <w:spacing w:val="-8"/>
                <w:szCs w:val="21"/>
              </w:rPr>
              <w:t>1</w:t>
            </w:r>
            <w:r>
              <w:rPr>
                <w:spacing w:val="-6"/>
                <w:szCs w:val="21"/>
              </w:rPr>
              <w:t>3</w:t>
            </w:r>
          </w:p>
        </w:tc>
        <w:tc>
          <w:tcPr>
            <w:tcW w:w="3023" w:type="dxa"/>
          </w:tcPr>
          <w:p w14:paraId="57F9F6AD">
            <w:pPr>
              <w:spacing w:before="35" w:line="214" w:lineRule="auto"/>
              <w:ind w:left="117"/>
              <w:rPr>
                <w:szCs w:val="21"/>
              </w:rPr>
            </w:pPr>
            <w:r>
              <w:rPr>
                <w:spacing w:val="-16"/>
                <w:szCs w:val="21"/>
              </w:rPr>
              <w:t>厂区内部影响： 相邻的装置</w:t>
            </w:r>
          </w:p>
        </w:tc>
      </w:tr>
      <w:tr w14:paraId="5CFCCA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5017D381">
            <w:pPr>
              <w:spacing w:before="38" w:line="217" w:lineRule="auto"/>
              <w:ind w:left="238"/>
              <w:rPr>
                <w:spacing w:val="-2"/>
                <w:szCs w:val="21"/>
              </w:rPr>
            </w:pPr>
          </w:p>
        </w:tc>
        <w:tc>
          <w:tcPr>
            <w:tcW w:w="1895" w:type="dxa"/>
            <w:vMerge w:val="continue"/>
          </w:tcPr>
          <w:p w14:paraId="728F7691">
            <w:pPr>
              <w:spacing w:before="38" w:line="217" w:lineRule="auto"/>
              <w:ind w:left="238"/>
              <w:rPr>
                <w:spacing w:val="-2"/>
                <w:szCs w:val="21"/>
              </w:rPr>
            </w:pPr>
          </w:p>
        </w:tc>
        <w:tc>
          <w:tcPr>
            <w:tcW w:w="1175" w:type="dxa"/>
            <w:vMerge w:val="continue"/>
          </w:tcPr>
          <w:p w14:paraId="43AAD07E">
            <w:pPr>
              <w:spacing w:before="38" w:line="217" w:lineRule="auto"/>
              <w:ind w:left="361"/>
              <w:rPr>
                <w:spacing w:val="-4"/>
                <w:szCs w:val="21"/>
              </w:rPr>
            </w:pPr>
          </w:p>
        </w:tc>
        <w:tc>
          <w:tcPr>
            <w:tcW w:w="933" w:type="dxa"/>
            <w:vMerge w:val="continue"/>
          </w:tcPr>
          <w:p w14:paraId="62C65ADE">
            <w:pPr>
              <w:spacing w:before="78" w:line="183" w:lineRule="auto"/>
              <w:ind w:left="358"/>
              <w:rPr>
                <w:spacing w:val="-5"/>
                <w:szCs w:val="21"/>
              </w:rPr>
            </w:pPr>
          </w:p>
        </w:tc>
        <w:tc>
          <w:tcPr>
            <w:tcW w:w="3023" w:type="dxa"/>
          </w:tcPr>
          <w:p w14:paraId="7D82B8C0">
            <w:pPr>
              <w:spacing w:before="39" w:line="213" w:lineRule="auto"/>
              <w:ind w:left="558"/>
              <w:rPr>
                <w:szCs w:val="21"/>
              </w:rPr>
            </w:pPr>
            <w:r>
              <w:rPr>
                <w:spacing w:val="-2"/>
                <w:szCs w:val="21"/>
              </w:rPr>
              <w:t>厂区外</w:t>
            </w:r>
            <w:r>
              <w:rPr>
                <w:spacing w:val="-1"/>
                <w:szCs w:val="21"/>
              </w:rPr>
              <w:t>部影响：无</w:t>
            </w:r>
          </w:p>
        </w:tc>
      </w:tr>
      <w:tr w14:paraId="6498FE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406" w:type="dxa"/>
            <w:gridSpan w:val="5"/>
          </w:tcPr>
          <w:p w14:paraId="28FB29CB">
            <w:pPr>
              <w:spacing w:before="39" w:line="213" w:lineRule="auto"/>
              <w:ind w:left="558"/>
              <w:jc w:val="center"/>
              <w:rPr>
                <w:spacing w:val="-2"/>
                <w:szCs w:val="21"/>
              </w:rPr>
            </w:pPr>
            <w:r>
              <w:rPr>
                <w:spacing w:val="-2"/>
                <w:szCs w:val="21"/>
              </w:rPr>
              <w:t>区块二</w:t>
            </w:r>
          </w:p>
        </w:tc>
      </w:tr>
      <w:tr w14:paraId="63EDA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4FB50850">
            <w:pPr>
              <w:spacing w:before="197" w:line="219" w:lineRule="auto"/>
              <w:ind w:left="140"/>
              <w:rPr>
                <w:szCs w:val="21"/>
              </w:rPr>
            </w:pPr>
            <w:r>
              <w:rPr>
                <w:spacing w:val="-6"/>
                <w:szCs w:val="21"/>
              </w:rPr>
              <w:t>国</w:t>
            </w:r>
            <w:r>
              <w:rPr>
                <w:spacing w:val="-3"/>
                <w:szCs w:val="21"/>
              </w:rPr>
              <w:t>瑞制药：二氧化碳</w:t>
            </w:r>
          </w:p>
        </w:tc>
        <w:tc>
          <w:tcPr>
            <w:tcW w:w="1895" w:type="dxa"/>
            <w:vMerge w:val="restart"/>
          </w:tcPr>
          <w:p w14:paraId="183E81BA">
            <w:pPr>
              <w:spacing w:before="197" w:line="218" w:lineRule="auto"/>
              <w:ind w:left="236"/>
              <w:rPr>
                <w:szCs w:val="21"/>
              </w:rPr>
            </w:pPr>
            <w:r>
              <w:rPr>
                <w:spacing w:val="-2"/>
                <w:szCs w:val="21"/>
              </w:rPr>
              <w:t>容器物理爆</w:t>
            </w:r>
            <w:r>
              <w:rPr>
                <w:spacing w:val="-1"/>
                <w:szCs w:val="21"/>
              </w:rPr>
              <w:t>炸</w:t>
            </w:r>
          </w:p>
        </w:tc>
        <w:tc>
          <w:tcPr>
            <w:tcW w:w="1175" w:type="dxa"/>
            <w:vMerge w:val="restart"/>
          </w:tcPr>
          <w:p w14:paraId="3C291B46">
            <w:pPr>
              <w:spacing w:before="197" w:line="218" w:lineRule="auto"/>
              <w:ind w:left="114"/>
              <w:rPr>
                <w:szCs w:val="21"/>
              </w:rPr>
            </w:pPr>
            <w:r>
              <w:rPr>
                <w:spacing w:val="-2"/>
                <w:szCs w:val="21"/>
              </w:rPr>
              <w:t>物理爆炸</w:t>
            </w:r>
          </w:p>
        </w:tc>
        <w:tc>
          <w:tcPr>
            <w:tcW w:w="933" w:type="dxa"/>
            <w:vMerge w:val="restart"/>
          </w:tcPr>
          <w:p w14:paraId="192C6DD6">
            <w:pPr>
              <w:spacing w:before="238" w:line="184" w:lineRule="auto"/>
              <w:ind w:left="416"/>
              <w:rPr>
                <w:szCs w:val="21"/>
              </w:rPr>
            </w:pPr>
            <w:r>
              <w:rPr>
                <w:szCs w:val="21"/>
              </w:rPr>
              <w:t>2</w:t>
            </w:r>
          </w:p>
        </w:tc>
        <w:tc>
          <w:tcPr>
            <w:tcW w:w="3023" w:type="dxa"/>
          </w:tcPr>
          <w:p w14:paraId="241CF8F5">
            <w:pPr>
              <w:spacing w:before="36" w:line="215" w:lineRule="auto"/>
              <w:ind w:left="117"/>
              <w:rPr>
                <w:szCs w:val="21"/>
              </w:rPr>
            </w:pPr>
            <w:r>
              <w:rPr>
                <w:spacing w:val="-16"/>
                <w:szCs w:val="21"/>
              </w:rPr>
              <w:t>厂区内部影响： 相邻的装置</w:t>
            </w:r>
          </w:p>
        </w:tc>
      </w:tr>
      <w:tr w14:paraId="00957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EEB80BF">
            <w:pPr>
              <w:spacing w:before="38" w:line="217" w:lineRule="auto"/>
              <w:ind w:left="238"/>
              <w:rPr>
                <w:spacing w:val="-2"/>
                <w:szCs w:val="21"/>
              </w:rPr>
            </w:pPr>
          </w:p>
        </w:tc>
        <w:tc>
          <w:tcPr>
            <w:tcW w:w="1895" w:type="dxa"/>
            <w:vMerge w:val="continue"/>
          </w:tcPr>
          <w:p w14:paraId="57256356">
            <w:pPr>
              <w:spacing w:before="38" w:line="217" w:lineRule="auto"/>
              <w:ind w:left="238"/>
              <w:rPr>
                <w:spacing w:val="-2"/>
                <w:szCs w:val="21"/>
              </w:rPr>
            </w:pPr>
          </w:p>
        </w:tc>
        <w:tc>
          <w:tcPr>
            <w:tcW w:w="1175" w:type="dxa"/>
            <w:vMerge w:val="continue"/>
          </w:tcPr>
          <w:p w14:paraId="495A6CB2">
            <w:pPr>
              <w:spacing w:before="38" w:line="217" w:lineRule="auto"/>
              <w:ind w:left="361"/>
              <w:rPr>
                <w:spacing w:val="-4"/>
                <w:szCs w:val="21"/>
              </w:rPr>
            </w:pPr>
          </w:p>
        </w:tc>
        <w:tc>
          <w:tcPr>
            <w:tcW w:w="933" w:type="dxa"/>
            <w:vMerge w:val="continue"/>
          </w:tcPr>
          <w:p w14:paraId="71B475FD">
            <w:pPr>
              <w:spacing w:before="78" w:line="183" w:lineRule="auto"/>
              <w:ind w:left="358"/>
              <w:rPr>
                <w:spacing w:val="-5"/>
                <w:szCs w:val="21"/>
              </w:rPr>
            </w:pPr>
          </w:p>
        </w:tc>
        <w:tc>
          <w:tcPr>
            <w:tcW w:w="3023" w:type="dxa"/>
          </w:tcPr>
          <w:p w14:paraId="3AF0D0AD">
            <w:pPr>
              <w:spacing w:before="37" w:line="215" w:lineRule="auto"/>
              <w:ind w:left="558"/>
              <w:rPr>
                <w:szCs w:val="21"/>
              </w:rPr>
            </w:pPr>
            <w:r>
              <w:rPr>
                <w:spacing w:val="-2"/>
                <w:szCs w:val="21"/>
              </w:rPr>
              <w:t>厂区外</w:t>
            </w:r>
            <w:r>
              <w:rPr>
                <w:spacing w:val="-1"/>
                <w:szCs w:val="21"/>
              </w:rPr>
              <w:t>部影响：无</w:t>
            </w:r>
          </w:p>
        </w:tc>
      </w:tr>
      <w:tr w14:paraId="3372B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2468E8C7">
            <w:pPr>
              <w:spacing w:before="209" w:line="219" w:lineRule="auto"/>
              <w:ind w:left="380"/>
              <w:rPr>
                <w:szCs w:val="21"/>
              </w:rPr>
            </w:pPr>
            <w:r>
              <w:rPr>
                <w:spacing w:val="-5"/>
                <w:szCs w:val="21"/>
              </w:rPr>
              <w:t>国</w:t>
            </w:r>
            <w:r>
              <w:rPr>
                <w:spacing w:val="-4"/>
                <w:szCs w:val="21"/>
              </w:rPr>
              <w:t>瑞制药：氩气</w:t>
            </w:r>
          </w:p>
        </w:tc>
        <w:tc>
          <w:tcPr>
            <w:tcW w:w="1895" w:type="dxa"/>
            <w:vMerge w:val="restart"/>
          </w:tcPr>
          <w:p w14:paraId="66E1A7D5">
            <w:pPr>
              <w:spacing w:before="210" w:line="218" w:lineRule="auto"/>
              <w:ind w:left="236"/>
              <w:rPr>
                <w:szCs w:val="21"/>
              </w:rPr>
            </w:pPr>
            <w:r>
              <w:rPr>
                <w:spacing w:val="-2"/>
                <w:szCs w:val="21"/>
              </w:rPr>
              <w:t>容器物理爆</w:t>
            </w:r>
            <w:r>
              <w:rPr>
                <w:spacing w:val="-1"/>
                <w:szCs w:val="21"/>
              </w:rPr>
              <w:t>炸</w:t>
            </w:r>
          </w:p>
        </w:tc>
        <w:tc>
          <w:tcPr>
            <w:tcW w:w="1175" w:type="dxa"/>
            <w:vMerge w:val="restart"/>
          </w:tcPr>
          <w:p w14:paraId="52201F64">
            <w:pPr>
              <w:spacing w:before="210" w:line="218" w:lineRule="auto"/>
              <w:ind w:left="114"/>
              <w:rPr>
                <w:szCs w:val="21"/>
              </w:rPr>
            </w:pPr>
            <w:r>
              <w:rPr>
                <w:spacing w:val="-2"/>
                <w:szCs w:val="21"/>
              </w:rPr>
              <w:t>物理爆炸</w:t>
            </w:r>
          </w:p>
        </w:tc>
        <w:tc>
          <w:tcPr>
            <w:tcW w:w="933" w:type="dxa"/>
            <w:vMerge w:val="restart"/>
          </w:tcPr>
          <w:p w14:paraId="4CDF8B1F">
            <w:pPr>
              <w:spacing w:before="249" w:line="185" w:lineRule="auto"/>
              <w:ind w:left="431"/>
              <w:rPr>
                <w:szCs w:val="21"/>
              </w:rPr>
            </w:pPr>
            <w:r>
              <w:rPr>
                <w:szCs w:val="21"/>
              </w:rPr>
              <w:t>1</w:t>
            </w:r>
          </w:p>
        </w:tc>
        <w:tc>
          <w:tcPr>
            <w:tcW w:w="3023" w:type="dxa"/>
          </w:tcPr>
          <w:p w14:paraId="57731530">
            <w:pPr>
              <w:spacing w:before="51" w:line="220" w:lineRule="auto"/>
              <w:ind w:left="117"/>
              <w:rPr>
                <w:szCs w:val="21"/>
              </w:rPr>
            </w:pPr>
            <w:r>
              <w:rPr>
                <w:spacing w:val="-16"/>
                <w:szCs w:val="21"/>
              </w:rPr>
              <w:t>厂区内部影响： 相邻的装置</w:t>
            </w:r>
          </w:p>
        </w:tc>
      </w:tr>
      <w:tr w14:paraId="7B81E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7CC90697">
            <w:pPr>
              <w:spacing w:before="38" w:line="217" w:lineRule="auto"/>
              <w:ind w:left="238"/>
              <w:rPr>
                <w:spacing w:val="-2"/>
                <w:szCs w:val="21"/>
              </w:rPr>
            </w:pPr>
          </w:p>
        </w:tc>
        <w:tc>
          <w:tcPr>
            <w:tcW w:w="1895" w:type="dxa"/>
            <w:vMerge w:val="continue"/>
          </w:tcPr>
          <w:p w14:paraId="648ADE5A">
            <w:pPr>
              <w:spacing w:before="38" w:line="217" w:lineRule="auto"/>
              <w:ind w:left="238"/>
              <w:rPr>
                <w:spacing w:val="-2"/>
                <w:szCs w:val="21"/>
              </w:rPr>
            </w:pPr>
          </w:p>
        </w:tc>
        <w:tc>
          <w:tcPr>
            <w:tcW w:w="1175" w:type="dxa"/>
            <w:vMerge w:val="continue"/>
          </w:tcPr>
          <w:p w14:paraId="229F2D74">
            <w:pPr>
              <w:spacing w:before="38" w:line="217" w:lineRule="auto"/>
              <w:ind w:left="361"/>
              <w:rPr>
                <w:spacing w:val="-4"/>
                <w:szCs w:val="21"/>
              </w:rPr>
            </w:pPr>
          </w:p>
        </w:tc>
        <w:tc>
          <w:tcPr>
            <w:tcW w:w="933" w:type="dxa"/>
            <w:vMerge w:val="continue"/>
          </w:tcPr>
          <w:p w14:paraId="6D3FFC2D">
            <w:pPr>
              <w:spacing w:before="78" w:line="183" w:lineRule="auto"/>
              <w:ind w:left="358"/>
              <w:rPr>
                <w:spacing w:val="-5"/>
                <w:szCs w:val="21"/>
              </w:rPr>
            </w:pPr>
          </w:p>
        </w:tc>
        <w:tc>
          <w:tcPr>
            <w:tcW w:w="3023" w:type="dxa"/>
          </w:tcPr>
          <w:p w14:paraId="615C92A2">
            <w:pPr>
              <w:spacing w:before="37" w:line="214" w:lineRule="auto"/>
              <w:ind w:left="558"/>
              <w:rPr>
                <w:szCs w:val="21"/>
              </w:rPr>
            </w:pPr>
            <w:r>
              <w:rPr>
                <w:spacing w:val="-2"/>
                <w:szCs w:val="21"/>
              </w:rPr>
              <w:t>厂区外</w:t>
            </w:r>
            <w:r>
              <w:rPr>
                <w:spacing w:val="-1"/>
                <w:szCs w:val="21"/>
              </w:rPr>
              <w:t>部影响：无</w:t>
            </w:r>
          </w:p>
        </w:tc>
      </w:tr>
      <w:tr w14:paraId="1D5E9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3D23BD6">
            <w:pPr>
              <w:spacing w:before="203" w:line="216" w:lineRule="auto"/>
              <w:ind w:left="380"/>
              <w:rPr>
                <w:szCs w:val="21"/>
              </w:rPr>
            </w:pPr>
            <w:r>
              <w:rPr>
                <w:spacing w:val="-5"/>
                <w:szCs w:val="21"/>
              </w:rPr>
              <w:t>国</w:t>
            </w:r>
            <w:r>
              <w:rPr>
                <w:spacing w:val="-4"/>
                <w:szCs w:val="21"/>
              </w:rPr>
              <w:t>瑞制药：氮气</w:t>
            </w:r>
          </w:p>
        </w:tc>
        <w:tc>
          <w:tcPr>
            <w:tcW w:w="1895" w:type="dxa"/>
            <w:vMerge w:val="restart"/>
          </w:tcPr>
          <w:p w14:paraId="7E7F46A1">
            <w:pPr>
              <w:spacing w:before="203" w:line="218" w:lineRule="auto"/>
              <w:ind w:left="236"/>
              <w:rPr>
                <w:szCs w:val="21"/>
              </w:rPr>
            </w:pPr>
            <w:r>
              <w:rPr>
                <w:spacing w:val="-2"/>
                <w:szCs w:val="21"/>
              </w:rPr>
              <w:t>容器物理爆</w:t>
            </w:r>
            <w:r>
              <w:rPr>
                <w:spacing w:val="-1"/>
                <w:szCs w:val="21"/>
              </w:rPr>
              <w:t>炸</w:t>
            </w:r>
          </w:p>
        </w:tc>
        <w:tc>
          <w:tcPr>
            <w:tcW w:w="1175" w:type="dxa"/>
            <w:vMerge w:val="restart"/>
          </w:tcPr>
          <w:p w14:paraId="7A27EF28">
            <w:pPr>
              <w:spacing w:before="203" w:line="218" w:lineRule="auto"/>
              <w:ind w:left="114"/>
              <w:rPr>
                <w:szCs w:val="21"/>
              </w:rPr>
            </w:pPr>
            <w:r>
              <w:rPr>
                <w:spacing w:val="-2"/>
                <w:szCs w:val="21"/>
              </w:rPr>
              <w:t>物理爆炸</w:t>
            </w:r>
          </w:p>
        </w:tc>
        <w:tc>
          <w:tcPr>
            <w:tcW w:w="933" w:type="dxa"/>
            <w:vMerge w:val="restart"/>
          </w:tcPr>
          <w:p w14:paraId="08FDEE72">
            <w:pPr>
              <w:spacing w:before="242" w:line="185" w:lineRule="auto"/>
              <w:ind w:left="431"/>
              <w:rPr>
                <w:szCs w:val="21"/>
              </w:rPr>
            </w:pPr>
            <w:r>
              <w:rPr>
                <w:szCs w:val="21"/>
              </w:rPr>
              <w:t>1</w:t>
            </w:r>
          </w:p>
        </w:tc>
        <w:tc>
          <w:tcPr>
            <w:tcW w:w="3023" w:type="dxa"/>
          </w:tcPr>
          <w:p w14:paraId="14D41B4B">
            <w:pPr>
              <w:spacing w:before="42" w:line="218" w:lineRule="auto"/>
              <w:ind w:left="117"/>
              <w:rPr>
                <w:szCs w:val="21"/>
              </w:rPr>
            </w:pPr>
            <w:r>
              <w:rPr>
                <w:spacing w:val="-10"/>
                <w:szCs w:val="21"/>
              </w:rPr>
              <w:t>厂</w:t>
            </w:r>
            <w:r>
              <w:rPr>
                <w:spacing w:val="-7"/>
                <w:szCs w:val="21"/>
              </w:rPr>
              <w:t>区内部影响：相邻的装置</w:t>
            </w:r>
          </w:p>
        </w:tc>
      </w:tr>
      <w:tr w14:paraId="6FEED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28F9B13">
            <w:pPr>
              <w:spacing w:before="38" w:line="217" w:lineRule="auto"/>
              <w:ind w:left="238"/>
              <w:rPr>
                <w:spacing w:val="-2"/>
                <w:szCs w:val="21"/>
              </w:rPr>
            </w:pPr>
          </w:p>
        </w:tc>
        <w:tc>
          <w:tcPr>
            <w:tcW w:w="1895" w:type="dxa"/>
            <w:vMerge w:val="continue"/>
          </w:tcPr>
          <w:p w14:paraId="79CB7E05">
            <w:pPr>
              <w:spacing w:before="38" w:line="217" w:lineRule="auto"/>
              <w:ind w:left="238"/>
              <w:rPr>
                <w:spacing w:val="-2"/>
                <w:szCs w:val="21"/>
              </w:rPr>
            </w:pPr>
          </w:p>
        </w:tc>
        <w:tc>
          <w:tcPr>
            <w:tcW w:w="1175" w:type="dxa"/>
            <w:vMerge w:val="continue"/>
          </w:tcPr>
          <w:p w14:paraId="39FE7089">
            <w:pPr>
              <w:spacing w:before="38" w:line="217" w:lineRule="auto"/>
              <w:ind w:left="361"/>
              <w:rPr>
                <w:spacing w:val="-4"/>
                <w:szCs w:val="21"/>
              </w:rPr>
            </w:pPr>
          </w:p>
        </w:tc>
        <w:tc>
          <w:tcPr>
            <w:tcW w:w="933" w:type="dxa"/>
            <w:vMerge w:val="continue"/>
          </w:tcPr>
          <w:p w14:paraId="3CFA0EEA">
            <w:pPr>
              <w:spacing w:before="78" w:line="183" w:lineRule="auto"/>
              <w:ind w:left="358"/>
              <w:rPr>
                <w:spacing w:val="-5"/>
                <w:szCs w:val="21"/>
              </w:rPr>
            </w:pPr>
          </w:p>
        </w:tc>
        <w:tc>
          <w:tcPr>
            <w:tcW w:w="3023" w:type="dxa"/>
          </w:tcPr>
          <w:p w14:paraId="6A4C99A3">
            <w:pPr>
              <w:spacing w:before="37" w:line="218" w:lineRule="auto"/>
              <w:ind w:left="558"/>
              <w:rPr>
                <w:szCs w:val="21"/>
              </w:rPr>
            </w:pPr>
            <w:r>
              <w:rPr>
                <w:spacing w:val="-2"/>
                <w:szCs w:val="21"/>
              </w:rPr>
              <w:t>厂区外</w:t>
            </w:r>
            <w:r>
              <w:rPr>
                <w:spacing w:val="-1"/>
                <w:szCs w:val="21"/>
              </w:rPr>
              <w:t>部影响：无</w:t>
            </w:r>
          </w:p>
        </w:tc>
      </w:tr>
      <w:tr w14:paraId="22BB6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9406" w:type="dxa"/>
            <w:gridSpan w:val="5"/>
          </w:tcPr>
          <w:p w14:paraId="3AA99EF1">
            <w:pPr>
              <w:spacing w:before="33" w:line="214" w:lineRule="auto"/>
              <w:ind w:left="2115"/>
              <w:rPr>
                <w:spacing w:val="-2"/>
                <w:szCs w:val="21"/>
              </w:rPr>
            </w:pPr>
            <w:r>
              <w:rPr>
                <w:spacing w:val="-4"/>
                <w:szCs w:val="21"/>
              </w:rPr>
              <w:t>表9.4</w:t>
            </w:r>
            <w:r>
              <w:rPr>
                <w:rFonts w:eastAsia="Times New Roman"/>
                <w:spacing w:val="-4"/>
                <w:szCs w:val="21"/>
              </w:rPr>
              <w:t>-3</w:t>
            </w:r>
            <w:r>
              <w:rPr>
                <w:spacing w:val="13"/>
                <w:szCs w:val="21"/>
              </w:rPr>
              <w:t>区块一</w:t>
            </w:r>
            <w:r>
              <w:rPr>
                <w:spacing w:val="-2"/>
                <w:szCs w:val="21"/>
              </w:rPr>
              <w:t>整改后各装置多米诺效应分析结果</w:t>
            </w:r>
          </w:p>
        </w:tc>
      </w:tr>
      <w:tr w14:paraId="00C10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328CDEBD">
            <w:pPr>
              <w:spacing w:before="195" w:line="217" w:lineRule="auto"/>
              <w:ind w:left="238"/>
              <w:rPr>
                <w:szCs w:val="21"/>
              </w:rPr>
            </w:pPr>
            <w:r>
              <w:rPr>
                <w:spacing w:val="-2"/>
                <w:szCs w:val="21"/>
              </w:rPr>
              <w:t>德邦</w:t>
            </w:r>
            <w:r>
              <w:rPr>
                <w:spacing w:val="-1"/>
                <w:szCs w:val="21"/>
              </w:rPr>
              <w:t>：合成氨装置</w:t>
            </w:r>
          </w:p>
        </w:tc>
        <w:tc>
          <w:tcPr>
            <w:tcW w:w="1895" w:type="dxa"/>
            <w:vMerge w:val="restart"/>
          </w:tcPr>
          <w:p w14:paraId="48320806">
            <w:pPr>
              <w:spacing w:before="39" w:line="230" w:lineRule="auto"/>
              <w:ind w:left="807" w:right="199" w:hanging="599"/>
              <w:rPr>
                <w:szCs w:val="21"/>
              </w:rPr>
            </w:pPr>
            <w:r>
              <w:rPr>
                <w:spacing w:val="-2"/>
                <w:szCs w:val="21"/>
              </w:rPr>
              <w:t>反应器完全</w:t>
            </w:r>
            <w:r>
              <w:rPr>
                <w:spacing w:val="-1"/>
                <w:szCs w:val="21"/>
              </w:rPr>
              <w:t>破</w:t>
            </w:r>
            <w:r>
              <w:rPr>
                <w:szCs w:val="21"/>
              </w:rPr>
              <w:t xml:space="preserve"> 裂</w:t>
            </w:r>
          </w:p>
        </w:tc>
        <w:tc>
          <w:tcPr>
            <w:tcW w:w="1175" w:type="dxa"/>
            <w:vMerge w:val="restart"/>
          </w:tcPr>
          <w:p w14:paraId="09D3D74F">
            <w:pPr>
              <w:spacing w:before="195" w:line="218" w:lineRule="auto"/>
              <w:ind w:left="337"/>
              <w:rPr>
                <w:szCs w:val="21"/>
              </w:rPr>
            </w:pPr>
            <w:r>
              <w:rPr>
                <w:spacing w:val="-4"/>
                <w:szCs w:val="21"/>
              </w:rPr>
              <w:t>云爆</w:t>
            </w:r>
          </w:p>
        </w:tc>
        <w:tc>
          <w:tcPr>
            <w:tcW w:w="933" w:type="dxa"/>
            <w:vMerge w:val="restart"/>
          </w:tcPr>
          <w:p w14:paraId="15C7785F">
            <w:pPr>
              <w:spacing w:before="235" w:line="183" w:lineRule="auto"/>
              <w:ind w:left="386"/>
              <w:rPr>
                <w:szCs w:val="21"/>
              </w:rPr>
            </w:pPr>
            <w:r>
              <w:rPr>
                <w:spacing w:val="-5"/>
                <w:szCs w:val="21"/>
              </w:rPr>
              <w:t>5</w:t>
            </w:r>
            <w:r>
              <w:rPr>
                <w:spacing w:val="-3"/>
                <w:szCs w:val="21"/>
              </w:rPr>
              <w:t>4</w:t>
            </w:r>
          </w:p>
        </w:tc>
        <w:tc>
          <w:tcPr>
            <w:tcW w:w="3023" w:type="dxa"/>
          </w:tcPr>
          <w:p w14:paraId="288E2F61">
            <w:pPr>
              <w:spacing w:before="35" w:line="216" w:lineRule="auto"/>
              <w:ind w:left="118"/>
              <w:rPr>
                <w:szCs w:val="21"/>
              </w:rPr>
            </w:pPr>
            <w:r>
              <w:rPr>
                <w:spacing w:val="-20"/>
                <w:szCs w:val="21"/>
              </w:rPr>
              <w:t>厂</w:t>
            </w:r>
            <w:r>
              <w:rPr>
                <w:spacing w:val="-13"/>
                <w:szCs w:val="21"/>
              </w:rPr>
              <w:t>区内部影响： 相邻的装置</w:t>
            </w:r>
          </w:p>
        </w:tc>
      </w:tr>
      <w:tr w14:paraId="04FC4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1099F3CC">
            <w:pPr>
              <w:spacing w:before="38" w:line="217" w:lineRule="auto"/>
              <w:ind w:left="238"/>
              <w:rPr>
                <w:spacing w:val="-2"/>
                <w:szCs w:val="21"/>
              </w:rPr>
            </w:pPr>
          </w:p>
        </w:tc>
        <w:tc>
          <w:tcPr>
            <w:tcW w:w="1895" w:type="dxa"/>
            <w:vMerge w:val="continue"/>
          </w:tcPr>
          <w:p w14:paraId="46F240A4">
            <w:pPr>
              <w:spacing w:before="38" w:line="217" w:lineRule="auto"/>
              <w:ind w:left="238"/>
              <w:rPr>
                <w:spacing w:val="-2"/>
                <w:szCs w:val="21"/>
              </w:rPr>
            </w:pPr>
          </w:p>
        </w:tc>
        <w:tc>
          <w:tcPr>
            <w:tcW w:w="1175" w:type="dxa"/>
            <w:vMerge w:val="continue"/>
          </w:tcPr>
          <w:p w14:paraId="06068782">
            <w:pPr>
              <w:spacing w:before="38" w:line="217" w:lineRule="auto"/>
              <w:ind w:left="361"/>
              <w:rPr>
                <w:spacing w:val="-4"/>
                <w:szCs w:val="21"/>
              </w:rPr>
            </w:pPr>
          </w:p>
        </w:tc>
        <w:tc>
          <w:tcPr>
            <w:tcW w:w="933" w:type="dxa"/>
            <w:vMerge w:val="continue"/>
          </w:tcPr>
          <w:p w14:paraId="054022E6">
            <w:pPr>
              <w:spacing w:before="78" w:line="183" w:lineRule="auto"/>
              <w:ind w:left="358"/>
              <w:rPr>
                <w:spacing w:val="-5"/>
                <w:szCs w:val="21"/>
              </w:rPr>
            </w:pPr>
          </w:p>
        </w:tc>
        <w:tc>
          <w:tcPr>
            <w:tcW w:w="3023" w:type="dxa"/>
          </w:tcPr>
          <w:p w14:paraId="76A9F145">
            <w:pPr>
              <w:spacing w:before="35" w:line="216" w:lineRule="auto"/>
              <w:ind w:left="574"/>
              <w:rPr>
                <w:szCs w:val="21"/>
              </w:rPr>
            </w:pPr>
            <w:r>
              <w:rPr>
                <w:spacing w:val="-2"/>
                <w:szCs w:val="21"/>
              </w:rPr>
              <w:t>厂区外</w:t>
            </w:r>
            <w:r>
              <w:rPr>
                <w:spacing w:val="-1"/>
                <w:szCs w:val="21"/>
              </w:rPr>
              <w:t>部影响：无</w:t>
            </w:r>
          </w:p>
        </w:tc>
      </w:tr>
      <w:tr w14:paraId="3F1BF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80" w:type="dxa"/>
            <w:vMerge w:val="restart"/>
          </w:tcPr>
          <w:p w14:paraId="707B6689">
            <w:pPr>
              <w:spacing w:before="197" w:line="217" w:lineRule="auto"/>
              <w:ind w:left="238"/>
              <w:rPr>
                <w:spacing w:val="-2"/>
                <w:szCs w:val="21"/>
              </w:rPr>
            </w:pPr>
          </w:p>
          <w:p w14:paraId="2D1BC60A">
            <w:pPr>
              <w:spacing w:before="197" w:line="217" w:lineRule="auto"/>
              <w:ind w:left="238"/>
              <w:rPr>
                <w:szCs w:val="21"/>
              </w:rPr>
            </w:pPr>
            <w:r>
              <w:rPr>
                <w:spacing w:val="-2"/>
                <w:szCs w:val="21"/>
              </w:rPr>
              <w:t>德邦</w:t>
            </w:r>
            <w:r>
              <w:rPr>
                <w:spacing w:val="-1"/>
                <w:szCs w:val="21"/>
              </w:rPr>
              <w:t>：合成氨装置</w:t>
            </w:r>
          </w:p>
        </w:tc>
        <w:tc>
          <w:tcPr>
            <w:tcW w:w="1895" w:type="dxa"/>
            <w:vMerge w:val="restart"/>
          </w:tcPr>
          <w:p w14:paraId="5A0BC02B">
            <w:pPr>
              <w:spacing w:before="197" w:line="220" w:lineRule="auto"/>
              <w:ind w:left="229"/>
              <w:rPr>
                <w:spacing w:val="-7"/>
                <w:szCs w:val="21"/>
              </w:rPr>
            </w:pPr>
          </w:p>
          <w:p w14:paraId="25240C45">
            <w:pPr>
              <w:spacing w:before="197" w:line="220" w:lineRule="auto"/>
              <w:ind w:left="229"/>
              <w:rPr>
                <w:szCs w:val="21"/>
              </w:rPr>
            </w:pPr>
            <w:r>
              <w:rPr>
                <w:spacing w:val="-7"/>
                <w:szCs w:val="21"/>
              </w:rPr>
              <w:t>阀</w:t>
            </w:r>
            <w:r>
              <w:rPr>
                <w:spacing w:val="-4"/>
                <w:szCs w:val="21"/>
              </w:rPr>
              <w:t>门大孔泄漏</w:t>
            </w:r>
          </w:p>
        </w:tc>
        <w:tc>
          <w:tcPr>
            <w:tcW w:w="1175" w:type="dxa"/>
            <w:vMerge w:val="restart"/>
          </w:tcPr>
          <w:p w14:paraId="2B98CA88">
            <w:pPr>
              <w:spacing w:before="197" w:line="218" w:lineRule="auto"/>
              <w:ind w:left="337"/>
              <w:rPr>
                <w:spacing w:val="-4"/>
                <w:szCs w:val="21"/>
              </w:rPr>
            </w:pPr>
          </w:p>
          <w:p w14:paraId="02498DF8">
            <w:pPr>
              <w:spacing w:before="197" w:line="218" w:lineRule="auto"/>
              <w:ind w:left="337"/>
              <w:rPr>
                <w:szCs w:val="21"/>
              </w:rPr>
            </w:pPr>
            <w:r>
              <w:rPr>
                <w:spacing w:val="-4"/>
                <w:szCs w:val="21"/>
              </w:rPr>
              <w:t>云爆</w:t>
            </w:r>
          </w:p>
        </w:tc>
        <w:tc>
          <w:tcPr>
            <w:tcW w:w="933" w:type="dxa"/>
            <w:vMerge w:val="restart"/>
          </w:tcPr>
          <w:p w14:paraId="6519F91C">
            <w:pPr>
              <w:spacing w:before="237" w:line="183" w:lineRule="auto"/>
              <w:ind w:left="386"/>
              <w:rPr>
                <w:spacing w:val="-5"/>
                <w:szCs w:val="21"/>
              </w:rPr>
            </w:pPr>
          </w:p>
          <w:p w14:paraId="0052095F">
            <w:pPr>
              <w:spacing w:before="237" w:line="183" w:lineRule="auto"/>
              <w:ind w:left="386"/>
              <w:rPr>
                <w:szCs w:val="21"/>
              </w:rPr>
            </w:pPr>
            <w:r>
              <w:rPr>
                <w:spacing w:val="-5"/>
                <w:szCs w:val="21"/>
              </w:rPr>
              <w:t>5</w:t>
            </w:r>
            <w:r>
              <w:rPr>
                <w:spacing w:val="-3"/>
                <w:szCs w:val="21"/>
              </w:rPr>
              <w:t>4</w:t>
            </w:r>
          </w:p>
        </w:tc>
        <w:tc>
          <w:tcPr>
            <w:tcW w:w="3023" w:type="dxa"/>
          </w:tcPr>
          <w:p w14:paraId="19658614">
            <w:pPr>
              <w:spacing w:before="35" w:line="216" w:lineRule="auto"/>
              <w:ind w:left="118"/>
              <w:rPr>
                <w:spacing w:val="-20"/>
                <w:szCs w:val="21"/>
              </w:rPr>
            </w:pPr>
          </w:p>
          <w:p w14:paraId="1753AE83">
            <w:pPr>
              <w:spacing w:before="35" w:line="216" w:lineRule="auto"/>
              <w:ind w:left="118"/>
              <w:rPr>
                <w:szCs w:val="21"/>
              </w:rPr>
            </w:pPr>
            <w:r>
              <w:rPr>
                <w:spacing w:val="-20"/>
                <w:szCs w:val="21"/>
              </w:rPr>
              <w:t>厂</w:t>
            </w:r>
            <w:r>
              <w:rPr>
                <w:spacing w:val="-13"/>
                <w:szCs w:val="21"/>
              </w:rPr>
              <w:t>区内部影响： 相邻的装置</w:t>
            </w:r>
          </w:p>
        </w:tc>
      </w:tr>
      <w:tr w14:paraId="4C98F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3874566">
            <w:pPr>
              <w:spacing w:before="38" w:line="217" w:lineRule="auto"/>
              <w:ind w:left="238"/>
              <w:rPr>
                <w:spacing w:val="-2"/>
                <w:szCs w:val="21"/>
              </w:rPr>
            </w:pPr>
          </w:p>
        </w:tc>
        <w:tc>
          <w:tcPr>
            <w:tcW w:w="1895" w:type="dxa"/>
            <w:vMerge w:val="continue"/>
          </w:tcPr>
          <w:p w14:paraId="0AB30DBD">
            <w:pPr>
              <w:spacing w:before="38" w:line="217" w:lineRule="auto"/>
              <w:ind w:left="238"/>
              <w:rPr>
                <w:spacing w:val="-2"/>
                <w:szCs w:val="21"/>
              </w:rPr>
            </w:pPr>
          </w:p>
        </w:tc>
        <w:tc>
          <w:tcPr>
            <w:tcW w:w="1175" w:type="dxa"/>
            <w:vMerge w:val="continue"/>
          </w:tcPr>
          <w:p w14:paraId="3334DC2D">
            <w:pPr>
              <w:spacing w:before="38" w:line="217" w:lineRule="auto"/>
              <w:ind w:left="361"/>
              <w:rPr>
                <w:spacing w:val="-4"/>
                <w:szCs w:val="21"/>
              </w:rPr>
            </w:pPr>
          </w:p>
        </w:tc>
        <w:tc>
          <w:tcPr>
            <w:tcW w:w="933" w:type="dxa"/>
            <w:vMerge w:val="continue"/>
          </w:tcPr>
          <w:p w14:paraId="1421E3E3">
            <w:pPr>
              <w:spacing w:before="78" w:line="183" w:lineRule="auto"/>
              <w:ind w:left="358"/>
              <w:rPr>
                <w:spacing w:val="-5"/>
                <w:szCs w:val="21"/>
              </w:rPr>
            </w:pPr>
          </w:p>
        </w:tc>
        <w:tc>
          <w:tcPr>
            <w:tcW w:w="3023" w:type="dxa"/>
          </w:tcPr>
          <w:p w14:paraId="373D6F7D">
            <w:pPr>
              <w:spacing w:before="37" w:line="215" w:lineRule="auto"/>
              <w:ind w:left="574"/>
              <w:rPr>
                <w:szCs w:val="21"/>
              </w:rPr>
            </w:pPr>
            <w:r>
              <w:rPr>
                <w:spacing w:val="-2"/>
                <w:szCs w:val="21"/>
              </w:rPr>
              <w:t>厂区外</w:t>
            </w:r>
            <w:r>
              <w:rPr>
                <w:spacing w:val="-1"/>
                <w:szCs w:val="21"/>
              </w:rPr>
              <w:t>部影响：无</w:t>
            </w:r>
          </w:p>
        </w:tc>
      </w:tr>
      <w:tr w14:paraId="7C3AC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8163458">
            <w:pPr>
              <w:spacing w:before="197" w:line="217" w:lineRule="auto"/>
              <w:ind w:left="238"/>
              <w:rPr>
                <w:szCs w:val="21"/>
              </w:rPr>
            </w:pPr>
            <w:r>
              <w:rPr>
                <w:spacing w:val="-2"/>
                <w:szCs w:val="21"/>
              </w:rPr>
              <w:t>德邦</w:t>
            </w:r>
            <w:r>
              <w:rPr>
                <w:spacing w:val="-1"/>
                <w:szCs w:val="21"/>
              </w:rPr>
              <w:t>：合成氨装置</w:t>
            </w:r>
          </w:p>
        </w:tc>
        <w:tc>
          <w:tcPr>
            <w:tcW w:w="1895" w:type="dxa"/>
            <w:vMerge w:val="restart"/>
          </w:tcPr>
          <w:p w14:paraId="7BFB37C2">
            <w:pPr>
              <w:spacing w:before="196" w:line="220" w:lineRule="auto"/>
              <w:ind w:left="212"/>
              <w:rPr>
                <w:szCs w:val="21"/>
              </w:rPr>
            </w:pPr>
            <w:r>
              <w:rPr>
                <w:spacing w:val="-2"/>
                <w:szCs w:val="21"/>
              </w:rPr>
              <w:t>管道完全破裂</w:t>
            </w:r>
          </w:p>
        </w:tc>
        <w:tc>
          <w:tcPr>
            <w:tcW w:w="1175" w:type="dxa"/>
            <w:vMerge w:val="restart"/>
          </w:tcPr>
          <w:p w14:paraId="1327821C">
            <w:pPr>
              <w:spacing w:before="197" w:line="218" w:lineRule="auto"/>
              <w:ind w:left="337"/>
              <w:rPr>
                <w:szCs w:val="21"/>
              </w:rPr>
            </w:pPr>
            <w:r>
              <w:rPr>
                <w:spacing w:val="-4"/>
                <w:szCs w:val="21"/>
              </w:rPr>
              <w:t>云爆</w:t>
            </w:r>
          </w:p>
        </w:tc>
        <w:tc>
          <w:tcPr>
            <w:tcW w:w="933" w:type="dxa"/>
            <w:vMerge w:val="restart"/>
          </w:tcPr>
          <w:p w14:paraId="60E40B0A">
            <w:pPr>
              <w:spacing w:before="237" w:line="183" w:lineRule="auto"/>
              <w:ind w:left="386"/>
              <w:rPr>
                <w:szCs w:val="21"/>
              </w:rPr>
            </w:pPr>
            <w:r>
              <w:rPr>
                <w:spacing w:val="-5"/>
                <w:szCs w:val="21"/>
              </w:rPr>
              <w:t>5</w:t>
            </w:r>
            <w:r>
              <w:rPr>
                <w:spacing w:val="-3"/>
                <w:szCs w:val="21"/>
              </w:rPr>
              <w:t>4</w:t>
            </w:r>
          </w:p>
        </w:tc>
        <w:tc>
          <w:tcPr>
            <w:tcW w:w="3023" w:type="dxa"/>
          </w:tcPr>
          <w:p w14:paraId="1F2275E9">
            <w:pPr>
              <w:spacing w:before="37" w:line="213" w:lineRule="auto"/>
              <w:ind w:left="118"/>
              <w:rPr>
                <w:szCs w:val="21"/>
              </w:rPr>
            </w:pPr>
            <w:r>
              <w:rPr>
                <w:spacing w:val="-20"/>
                <w:szCs w:val="21"/>
              </w:rPr>
              <w:t>厂</w:t>
            </w:r>
            <w:r>
              <w:rPr>
                <w:spacing w:val="-13"/>
                <w:szCs w:val="21"/>
              </w:rPr>
              <w:t>区内部影响： 相邻的装置</w:t>
            </w:r>
          </w:p>
        </w:tc>
      </w:tr>
      <w:tr w14:paraId="32E2F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3AEADE92">
            <w:pPr>
              <w:spacing w:before="38" w:line="217" w:lineRule="auto"/>
              <w:ind w:left="238"/>
              <w:rPr>
                <w:spacing w:val="-2"/>
                <w:szCs w:val="21"/>
              </w:rPr>
            </w:pPr>
          </w:p>
        </w:tc>
        <w:tc>
          <w:tcPr>
            <w:tcW w:w="1895" w:type="dxa"/>
            <w:vMerge w:val="continue"/>
          </w:tcPr>
          <w:p w14:paraId="559390DF">
            <w:pPr>
              <w:spacing w:before="38" w:line="217" w:lineRule="auto"/>
              <w:ind w:left="238"/>
              <w:rPr>
                <w:spacing w:val="-2"/>
                <w:szCs w:val="21"/>
              </w:rPr>
            </w:pPr>
          </w:p>
        </w:tc>
        <w:tc>
          <w:tcPr>
            <w:tcW w:w="1175" w:type="dxa"/>
            <w:vMerge w:val="continue"/>
          </w:tcPr>
          <w:p w14:paraId="337880FA">
            <w:pPr>
              <w:spacing w:before="38" w:line="217" w:lineRule="auto"/>
              <w:ind w:left="361"/>
              <w:rPr>
                <w:spacing w:val="-4"/>
                <w:szCs w:val="21"/>
              </w:rPr>
            </w:pPr>
          </w:p>
        </w:tc>
        <w:tc>
          <w:tcPr>
            <w:tcW w:w="933" w:type="dxa"/>
            <w:vMerge w:val="continue"/>
          </w:tcPr>
          <w:p w14:paraId="71A592D4">
            <w:pPr>
              <w:spacing w:before="78" w:line="183" w:lineRule="auto"/>
              <w:ind w:left="358"/>
              <w:rPr>
                <w:spacing w:val="-5"/>
                <w:szCs w:val="21"/>
              </w:rPr>
            </w:pPr>
          </w:p>
        </w:tc>
        <w:tc>
          <w:tcPr>
            <w:tcW w:w="3023" w:type="dxa"/>
          </w:tcPr>
          <w:p w14:paraId="3F8BC745">
            <w:pPr>
              <w:spacing w:before="39" w:line="213" w:lineRule="auto"/>
              <w:ind w:left="574"/>
              <w:rPr>
                <w:szCs w:val="21"/>
              </w:rPr>
            </w:pPr>
            <w:r>
              <w:rPr>
                <w:spacing w:val="-2"/>
                <w:szCs w:val="21"/>
              </w:rPr>
              <w:t>厂区外</w:t>
            </w:r>
            <w:r>
              <w:rPr>
                <w:spacing w:val="-1"/>
                <w:szCs w:val="21"/>
              </w:rPr>
              <w:t>部影响：无</w:t>
            </w:r>
          </w:p>
        </w:tc>
      </w:tr>
      <w:tr w14:paraId="660D4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3F9674B8">
            <w:pPr>
              <w:spacing w:before="198" w:line="217" w:lineRule="auto"/>
              <w:ind w:left="238"/>
              <w:rPr>
                <w:szCs w:val="21"/>
              </w:rPr>
            </w:pPr>
            <w:r>
              <w:rPr>
                <w:spacing w:val="-2"/>
                <w:szCs w:val="21"/>
              </w:rPr>
              <w:t>德邦</w:t>
            </w:r>
            <w:r>
              <w:rPr>
                <w:spacing w:val="-1"/>
                <w:szCs w:val="21"/>
              </w:rPr>
              <w:t>：合成氨装置</w:t>
            </w:r>
          </w:p>
        </w:tc>
        <w:tc>
          <w:tcPr>
            <w:tcW w:w="1895" w:type="dxa"/>
            <w:vMerge w:val="restart"/>
          </w:tcPr>
          <w:p w14:paraId="3260C74F">
            <w:pPr>
              <w:spacing w:before="197" w:line="220" w:lineRule="auto"/>
              <w:ind w:left="212"/>
              <w:rPr>
                <w:szCs w:val="21"/>
              </w:rPr>
            </w:pPr>
            <w:r>
              <w:rPr>
                <w:spacing w:val="-2"/>
                <w:szCs w:val="21"/>
              </w:rPr>
              <w:t>管道大孔泄漏</w:t>
            </w:r>
          </w:p>
        </w:tc>
        <w:tc>
          <w:tcPr>
            <w:tcW w:w="1175" w:type="dxa"/>
            <w:vMerge w:val="restart"/>
          </w:tcPr>
          <w:p w14:paraId="61B8B313">
            <w:pPr>
              <w:spacing w:before="198" w:line="218" w:lineRule="auto"/>
              <w:ind w:left="337"/>
              <w:rPr>
                <w:szCs w:val="21"/>
              </w:rPr>
            </w:pPr>
            <w:r>
              <w:rPr>
                <w:spacing w:val="-4"/>
                <w:szCs w:val="21"/>
              </w:rPr>
              <w:t>云爆</w:t>
            </w:r>
          </w:p>
        </w:tc>
        <w:tc>
          <w:tcPr>
            <w:tcW w:w="933" w:type="dxa"/>
            <w:vMerge w:val="restart"/>
          </w:tcPr>
          <w:p w14:paraId="6F5D5E5E">
            <w:pPr>
              <w:spacing w:before="238" w:line="183" w:lineRule="auto"/>
              <w:ind w:left="386"/>
              <w:rPr>
                <w:szCs w:val="21"/>
              </w:rPr>
            </w:pPr>
            <w:r>
              <w:rPr>
                <w:spacing w:val="-5"/>
                <w:szCs w:val="21"/>
              </w:rPr>
              <w:t>5</w:t>
            </w:r>
            <w:r>
              <w:rPr>
                <w:spacing w:val="-3"/>
                <w:szCs w:val="21"/>
              </w:rPr>
              <w:t>4</w:t>
            </w:r>
          </w:p>
        </w:tc>
        <w:tc>
          <w:tcPr>
            <w:tcW w:w="3023" w:type="dxa"/>
          </w:tcPr>
          <w:p w14:paraId="4B6B6D4D">
            <w:pPr>
              <w:spacing w:before="37" w:line="214" w:lineRule="auto"/>
              <w:ind w:left="118"/>
              <w:rPr>
                <w:szCs w:val="21"/>
              </w:rPr>
            </w:pPr>
            <w:r>
              <w:rPr>
                <w:spacing w:val="-20"/>
                <w:szCs w:val="21"/>
              </w:rPr>
              <w:t>厂</w:t>
            </w:r>
            <w:r>
              <w:rPr>
                <w:spacing w:val="-13"/>
                <w:szCs w:val="21"/>
              </w:rPr>
              <w:t>区内部影响： 相邻的装置</w:t>
            </w:r>
          </w:p>
        </w:tc>
      </w:tr>
      <w:tr w14:paraId="20E26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BD61CE6">
            <w:pPr>
              <w:spacing w:before="38" w:line="217" w:lineRule="auto"/>
              <w:ind w:left="238"/>
              <w:rPr>
                <w:spacing w:val="-2"/>
                <w:szCs w:val="21"/>
              </w:rPr>
            </w:pPr>
          </w:p>
        </w:tc>
        <w:tc>
          <w:tcPr>
            <w:tcW w:w="1895" w:type="dxa"/>
            <w:vMerge w:val="continue"/>
          </w:tcPr>
          <w:p w14:paraId="6E942B4F">
            <w:pPr>
              <w:spacing w:before="38" w:line="217" w:lineRule="auto"/>
              <w:ind w:left="238"/>
              <w:rPr>
                <w:spacing w:val="-2"/>
                <w:szCs w:val="21"/>
              </w:rPr>
            </w:pPr>
          </w:p>
        </w:tc>
        <w:tc>
          <w:tcPr>
            <w:tcW w:w="1175" w:type="dxa"/>
            <w:vMerge w:val="continue"/>
          </w:tcPr>
          <w:p w14:paraId="2F56F6DE">
            <w:pPr>
              <w:spacing w:before="38" w:line="217" w:lineRule="auto"/>
              <w:ind w:left="361"/>
              <w:rPr>
                <w:spacing w:val="-4"/>
                <w:szCs w:val="21"/>
              </w:rPr>
            </w:pPr>
          </w:p>
        </w:tc>
        <w:tc>
          <w:tcPr>
            <w:tcW w:w="933" w:type="dxa"/>
            <w:vMerge w:val="continue"/>
          </w:tcPr>
          <w:p w14:paraId="1F8F75E4">
            <w:pPr>
              <w:spacing w:before="78" w:line="183" w:lineRule="auto"/>
              <w:ind w:left="358"/>
              <w:rPr>
                <w:spacing w:val="-5"/>
                <w:szCs w:val="21"/>
              </w:rPr>
            </w:pPr>
          </w:p>
        </w:tc>
        <w:tc>
          <w:tcPr>
            <w:tcW w:w="3023" w:type="dxa"/>
          </w:tcPr>
          <w:p w14:paraId="07996DB0">
            <w:pPr>
              <w:spacing w:before="37" w:line="214" w:lineRule="auto"/>
              <w:ind w:left="574"/>
              <w:rPr>
                <w:szCs w:val="21"/>
              </w:rPr>
            </w:pPr>
            <w:r>
              <w:rPr>
                <w:spacing w:val="-2"/>
                <w:szCs w:val="21"/>
              </w:rPr>
              <w:t>厂区外</w:t>
            </w:r>
            <w:r>
              <w:rPr>
                <w:spacing w:val="-1"/>
                <w:szCs w:val="21"/>
              </w:rPr>
              <w:t>部影响：无</w:t>
            </w:r>
          </w:p>
        </w:tc>
      </w:tr>
      <w:tr w14:paraId="7B0471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tcPr>
          <w:p w14:paraId="58E0F43C">
            <w:pPr>
              <w:spacing w:before="38" w:line="217" w:lineRule="auto"/>
              <w:ind w:left="238"/>
              <w:rPr>
                <w:szCs w:val="21"/>
              </w:rPr>
            </w:pPr>
            <w:r>
              <w:rPr>
                <w:spacing w:val="-2"/>
                <w:szCs w:val="21"/>
              </w:rPr>
              <w:t>德邦</w:t>
            </w:r>
            <w:r>
              <w:rPr>
                <w:spacing w:val="-1"/>
                <w:szCs w:val="21"/>
              </w:rPr>
              <w:t>：合成氨装置</w:t>
            </w:r>
          </w:p>
        </w:tc>
        <w:tc>
          <w:tcPr>
            <w:tcW w:w="1895" w:type="dxa"/>
          </w:tcPr>
          <w:p w14:paraId="39900E86">
            <w:pPr>
              <w:spacing w:before="38" w:line="217" w:lineRule="auto"/>
              <w:ind w:left="208"/>
              <w:rPr>
                <w:szCs w:val="21"/>
              </w:rPr>
            </w:pPr>
            <w:r>
              <w:rPr>
                <w:spacing w:val="-2"/>
                <w:szCs w:val="21"/>
              </w:rPr>
              <w:t>反应器</w:t>
            </w:r>
            <w:r>
              <w:rPr>
                <w:spacing w:val="-1"/>
                <w:szCs w:val="21"/>
              </w:rPr>
              <w:t>大孔泄</w:t>
            </w:r>
            <w:r>
              <w:rPr>
                <w:szCs w:val="21"/>
              </w:rPr>
              <w:t>漏</w:t>
            </w:r>
          </w:p>
        </w:tc>
        <w:tc>
          <w:tcPr>
            <w:tcW w:w="1175" w:type="dxa"/>
          </w:tcPr>
          <w:p w14:paraId="49C9218C">
            <w:pPr>
              <w:spacing w:before="38" w:line="217" w:lineRule="auto"/>
              <w:ind w:left="337"/>
              <w:rPr>
                <w:szCs w:val="21"/>
              </w:rPr>
            </w:pPr>
            <w:r>
              <w:rPr>
                <w:spacing w:val="-4"/>
                <w:szCs w:val="21"/>
              </w:rPr>
              <w:t>云爆</w:t>
            </w:r>
          </w:p>
        </w:tc>
        <w:tc>
          <w:tcPr>
            <w:tcW w:w="933" w:type="dxa"/>
          </w:tcPr>
          <w:p w14:paraId="741AAFF3">
            <w:pPr>
              <w:spacing w:before="78" w:line="183" w:lineRule="auto"/>
              <w:ind w:left="386"/>
              <w:rPr>
                <w:szCs w:val="21"/>
              </w:rPr>
            </w:pPr>
            <w:r>
              <w:rPr>
                <w:spacing w:val="-5"/>
                <w:szCs w:val="21"/>
              </w:rPr>
              <w:t>5</w:t>
            </w:r>
            <w:r>
              <w:rPr>
                <w:spacing w:val="-3"/>
                <w:szCs w:val="21"/>
              </w:rPr>
              <w:t>4</w:t>
            </w:r>
          </w:p>
        </w:tc>
        <w:tc>
          <w:tcPr>
            <w:tcW w:w="3023" w:type="dxa"/>
          </w:tcPr>
          <w:p w14:paraId="763E9858">
            <w:pPr>
              <w:spacing w:before="38" w:line="217" w:lineRule="auto"/>
              <w:ind w:left="118"/>
              <w:rPr>
                <w:szCs w:val="21"/>
              </w:rPr>
            </w:pPr>
            <w:r>
              <w:rPr>
                <w:spacing w:val="-20"/>
                <w:szCs w:val="21"/>
              </w:rPr>
              <w:t>厂</w:t>
            </w:r>
            <w:r>
              <w:rPr>
                <w:spacing w:val="-13"/>
                <w:szCs w:val="21"/>
              </w:rPr>
              <w:t>区内部影响： 相邻的装置</w:t>
            </w:r>
          </w:p>
        </w:tc>
      </w:tr>
      <w:tr w14:paraId="3A503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0B8BDAF6">
            <w:pPr>
              <w:spacing w:before="195" w:line="217" w:lineRule="auto"/>
              <w:ind w:left="238"/>
              <w:rPr>
                <w:szCs w:val="21"/>
              </w:rPr>
            </w:pPr>
            <w:r>
              <w:rPr>
                <w:spacing w:val="-2"/>
                <w:szCs w:val="21"/>
              </w:rPr>
              <w:t>德邦</w:t>
            </w:r>
            <w:r>
              <w:rPr>
                <w:spacing w:val="-1"/>
                <w:szCs w:val="21"/>
              </w:rPr>
              <w:t>：合成氨装置</w:t>
            </w:r>
          </w:p>
        </w:tc>
        <w:tc>
          <w:tcPr>
            <w:tcW w:w="1895" w:type="dxa"/>
            <w:vMerge w:val="restart"/>
          </w:tcPr>
          <w:p w14:paraId="633A7B31">
            <w:pPr>
              <w:spacing w:before="194" w:line="220" w:lineRule="auto"/>
              <w:ind w:left="212"/>
              <w:rPr>
                <w:szCs w:val="21"/>
              </w:rPr>
            </w:pPr>
            <w:r>
              <w:rPr>
                <w:spacing w:val="-2"/>
                <w:szCs w:val="21"/>
              </w:rPr>
              <w:t>管道中孔泄漏</w:t>
            </w:r>
          </w:p>
        </w:tc>
        <w:tc>
          <w:tcPr>
            <w:tcW w:w="1175" w:type="dxa"/>
            <w:vMerge w:val="restart"/>
          </w:tcPr>
          <w:p w14:paraId="356DF5B5">
            <w:pPr>
              <w:spacing w:before="195" w:line="218" w:lineRule="auto"/>
              <w:ind w:left="337"/>
              <w:rPr>
                <w:szCs w:val="21"/>
              </w:rPr>
            </w:pPr>
            <w:r>
              <w:rPr>
                <w:spacing w:val="-4"/>
                <w:szCs w:val="21"/>
              </w:rPr>
              <w:t>云爆</w:t>
            </w:r>
          </w:p>
        </w:tc>
        <w:tc>
          <w:tcPr>
            <w:tcW w:w="933" w:type="dxa"/>
            <w:vMerge w:val="restart"/>
          </w:tcPr>
          <w:p w14:paraId="6229F205">
            <w:pPr>
              <w:spacing w:before="235" w:line="183" w:lineRule="auto"/>
              <w:ind w:left="380"/>
              <w:rPr>
                <w:szCs w:val="21"/>
              </w:rPr>
            </w:pPr>
            <w:r>
              <w:rPr>
                <w:spacing w:val="-3"/>
                <w:szCs w:val="21"/>
              </w:rPr>
              <w:t>4</w:t>
            </w:r>
            <w:r>
              <w:rPr>
                <w:spacing w:val="-2"/>
                <w:szCs w:val="21"/>
              </w:rPr>
              <w:t>7</w:t>
            </w:r>
          </w:p>
        </w:tc>
        <w:tc>
          <w:tcPr>
            <w:tcW w:w="3023" w:type="dxa"/>
          </w:tcPr>
          <w:p w14:paraId="51E4C5BD">
            <w:pPr>
              <w:spacing w:before="35" w:line="216" w:lineRule="auto"/>
              <w:ind w:left="118"/>
              <w:rPr>
                <w:szCs w:val="21"/>
              </w:rPr>
            </w:pPr>
            <w:r>
              <w:rPr>
                <w:spacing w:val="-20"/>
                <w:szCs w:val="21"/>
              </w:rPr>
              <w:t>厂</w:t>
            </w:r>
            <w:r>
              <w:rPr>
                <w:spacing w:val="-13"/>
                <w:szCs w:val="21"/>
              </w:rPr>
              <w:t>区内部影响： 相邻的装置</w:t>
            </w:r>
          </w:p>
        </w:tc>
      </w:tr>
      <w:tr w14:paraId="79E39A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07791485">
            <w:pPr>
              <w:spacing w:before="38" w:line="217" w:lineRule="auto"/>
              <w:ind w:left="238"/>
              <w:rPr>
                <w:spacing w:val="-2"/>
                <w:szCs w:val="21"/>
              </w:rPr>
            </w:pPr>
          </w:p>
        </w:tc>
        <w:tc>
          <w:tcPr>
            <w:tcW w:w="1895" w:type="dxa"/>
            <w:vMerge w:val="continue"/>
          </w:tcPr>
          <w:p w14:paraId="5EB89669">
            <w:pPr>
              <w:spacing w:before="38" w:line="217" w:lineRule="auto"/>
              <w:ind w:left="208"/>
              <w:rPr>
                <w:spacing w:val="-2"/>
                <w:szCs w:val="21"/>
              </w:rPr>
            </w:pPr>
          </w:p>
        </w:tc>
        <w:tc>
          <w:tcPr>
            <w:tcW w:w="1175" w:type="dxa"/>
            <w:vMerge w:val="continue"/>
          </w:tcPr>
          <w:p w14:paraId="0A7BF3C6">
            <w:pPr>
              <w:spacing w:before="38" w:line="217" w:lineRule="auto"/>
              <w:ind w:left="337"/>
              <w:rPr>
                <w:spacing w:val="-4"/>
                <w:szCs w:val="21"/>
              </w:rPr>
            </w:pPr>
          </w:p>
        </w:tc>
        <w:tc>
          <w:tcPr>
            <w:tcW w:w="933" w:type="dxa"/>
            <w:vMerge w:val="continue"/>
          </w:tcPr>
          <w:p w14:paraId="1B500E05">
            <w:pPr>
              <w:spacing w:before="78" w:line="183" w:lineRule="auto"/>
              <w:ind w:left="386"/>
              <w:rPr>
                <w:spacing w:val="-5"/>
                <w:szCs w:val="21"/>
              </w:rPr>
            </w:pPr>
          </w:p>
        </w:tc>
        <w:tc>
          <w:tcPr>
            <w:tcW w:w="3023" w:type="dxa"/>
          </w:tcPr>
          <w:p w14:paraId="109B84E1">
            <w:pPr>
              <w:spacing w:before="34" w:line="217" w:lineRule="auto"/>
              <w:ind w:left="574"/>
              <w:rPr>
                <w:szCs w:val="21"/>
              </w:rPr>
            </w:pPr>
            <w:r>
              <w:rPr>
                <w:spacing w:val="-2"/>
                <w:szCs w:val="21"/>
              </w:rPr>
              <w:t>厂区外</w:t>
            </w:r>
            <w:r>
              <w:rPr>
                <w:spacing w:val="-1"/>
                <w:szCs w:val="21"/>
              </w:rPr>
              <w:t>部影响：无</w:t>
            </w:r>
          </w:p>
        </w:tc>
      </w:tr>
      <w:tr w14:paraId="2A633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691CDC4D">
            <w:pPr>
              <w:spacing w:before="196" w:line="217" w:lineRule="auto"/>
              <w:ind w:left="238"/>
              <w:rPr>
                <w:szCs w:val="21"/>
              </w:rPr>
            </w:pPr>
            <w:r>
              <w:rPr>
                <w:spacing w:val="-2"/>
                <w:szCs w:val="21"/>
              </w:rPr>
              <w:t>德邦</w:t>
            </w:r>
            <w:r>
              <w:rPr>
                <w:spacing w:val="-1"/>
                <w:szCs w:val="21"/>
              </w:rPr>
              <w:t>：合成氨装置</w:t>
            </w:r>
          </w:p>
        </w:tc>
        <w:tc>
          <w:tcPr>
            <w:tcW w:w="1895" w:type="dxa"/>
            <w:vMerge w:val="restart"/>
          </w:tcPr>
          <w:p w14:paraId="3AF3B2B3">
            <w:pPr>
              <w:spacing w:before="195" w:line="220" w:lineRule="auto"/>
              <w:ind w:left="229"/>
              <w:rPr>
                <w:szCs w:val="21"/>
              </w:rPr>
            </w:pPr>
            <w:r>
              <w:rPr>
                <w:spacing w:val="-7"/>
                <w:szCs w:val="21"/>
              </w:rPr>
              <w:t>阀</w:t>
            </w:r>
            <w:r>
              <w:rPr>
                <w:spacing w:val="-4"/>
                <w:szCs w:val="21"/>
              </w:rPr>
              <w:t>门中孔泄漏</w:t>
            </w:r>
          </w:p>
        </w:tc>
        <w:tc>
          <w:tcPr>
            <w:tcW w:w="1175" w:type="dxa"/>
            <w:vMerge w:val="restart"/>
          </w:tcPr>
          <w:p w14:paraId="28B7BAE1">
            <w:pPr>
              <w:spacing w:before="195" w:line="218" w:lineRule="auto"/>
              <w:ind w:left="337"/>
              <w:rPr>
                <w:szCs w:val="21"/>
              </w:rPr>
            </w:pPr>
            <w:r>
              <w:rPr>
                <w:spacing w:val="-4"/>
                <w:szCs w:val="21"/>
              </w:rPr>
              <w:t>云爆</w:t>
            </w:r>
          </w:p>
        </w:tc>
        <w:tc>
          <w:tcPr>
            <w:tcW w:w="933" w:type="dxa"/>
            <w:vMerge w:val="restart"/>
          </w:tcPr>
          <w:p w14:paraId="25A0D8EC">
            <w:pPr>
              <w:spacing w:before="235" w:line="183" w:lineRule="auto"/>
              <w:ind w:left="380"/>
              <w:rPr>
                <w:szCs w:val="21"/>
              </w:rPr>
            </w:pPr>
            <w:r>
              <w:rPr>
                <w:spacing w:val="-3"/>
                <w:szCs w:val="21"/>
              </w:rPr>
              <w:t>4</w:t>
            </w:r>
            <w:r>
              <w:rPr>
                <w:spacing w:val="-2"/>
                <w:szCs w:val="21"/>
              </w:rPr>
              <w:t>7</w:t>
            </w:r>
          </w:p>
        </w:tc>
        <w:tc>
          <w:tcPr>
            <w:tcW w:w="3023" w:type="dxa"/>
          </w:tcPr>
          <w:p w14:paraId="391ED4EF">
            <w:pPr>
              <w:spacing w:before="34" w:line="215" w:lineRule="auto"/>
              <w:ind w:left="118"/>
              <w:rPr>
                <w:szCs w:val="21"/>
              </w:rPr>
            </w:pPr>
            <w:r>
              <w:rPr>
                <w:spacing w:val="-20"/>
                <w:szCs w:val="21"/>
              </w:rPr>
              <w:t>厂</w:t>
            </w:r>
            <w:r>
              <w:rPr>
                <w:spacing w:val="-13"/>
                <w:szCs w:val="21"/>
              </w:rPr>
              <w:t>区内部影响： 相邻的装置</w:t>
            </w:r>
          </w:p>
        </w:tc>
      </w:tr>
      <w:tr w14:paraId="6C0E3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7E6B9471">
            <w:pPr>
              <w:spacing w:before="38" w:line="217" w:lineRule="auto"/>
              <w:ind w:left="238"/>
              <w:rPr>
                <w:spacing w:val="-2"/>
                <w:szCs w:val="21"/>
              </w:rPr>
            </w:pPr>
          </w:p>
        </w:tc>
        <w:tc>
          <w:tcPr>
            <w:tcW w:w="1895" w:type="dxa"/>
            <w:vMerge w:val="continue"/>
          </w:tcPr>
          <w:p w14:paraId="4F39724F">
            <w:pPr>
              <w:spacing w:before="38" w:line="217" w:lineRule="auto"/>
              <w:ind w:left="208"/>
              <w:rPr>
                <w:spacing w:val="-2"/>
                <w:szCs w:val="21"/>
              </w:rPr>
            </w:pPr>
          </w:p>
        </w:tc>
        <w:tc>
          <w:tcPr>
            <w:tcW w:w="1175" w:type="dxa"/>
            <w:vMerge w:val="continue"/>
          </w:tcPr>
          <w:p w14:paraId="473FCD80">
            <w:pPr>
              <w:spacing w:before="38" w:line="217" w:lineRule="auto"/>
              <w:ind w:left="337"/>
              <w:rPr>
                <w:spacing w:val="-4"/>
                <w:szCs w:val="21"/>
              </w:rPr>
            </w:pPr>
          </w:p>
        </w:tc>
        <w:tc>
          <w:tcPr>
            <w:tcW w:w="933" w:type="dxa"/>
            <w:vMerge w:val="continue"/>
          </w:tcPr>
          <w:p w14:paraId="6E7657FC">
            <w:pPr>
              <w:spacing w:before="78" w:line="183" w:lineRule="auto"/>
              <w:ind w:left="386"/>
              <w:rPr>
                <w:spacing w:val="-5"/>
                <w:szCs w:val="21"/>
              </w:rPr>
            </w:pPr>
          </w:p>
        </w:tc>
        <w:tc>
          <w:tcPr>
            <w:tcW w:w="3023" w:type="dxa"/>
          </w:tcPr>
          <w:p w14:paraId="2FA43B65">
            <w:pPr>
              <w:spacing w:before="37" w:line="214" w:lineRule="auto"/>
              <w:ind w:left="574"/>
              <w:rPr>
                <w:szCs w:val="21"/>
              </w:rPr>
            </w:pPr>
            <w:r>
              <w:rPr>
                <w:spacing w:val="-2"/>
                <w:szCs w:val="21"/>
              </w:rPr>
              <w:t>厂区外</w:t>
            </w:r>
            <w:r>
              <w:rPr>
                <w:spacing w:val="-1"/>
                <w:szCs w:val="21"/>
              </w:rPr>
              <w:t>部影响：无</w:t>
            </w:r>
          </w:p>
        </w:tc>
      </w:tr>
      <w:tr w14:paraId="3C62F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245EF1A1">
            <w:pPr>
              <w:spacing w:before="196" w:line="217" w:lineRule="auto"/>
              <w:ind w:left="238"/>
              <w:rPr>
                <w:szCs w:val="21"/>
              </w:rPr>
            </w:pPr>
            <w:r>
              <w:rPr>
                <w:spacing w:val="-2"/>
                <w:szCs w:val="21"/>
              </w:rPr>
              <w:t>德邦</w:t>
            </w:r>
            <w:r>
              <w:rPr>
                <w:spacing w:val="-1"/>
                <w:szCs w:val="21"/>
              </w:rPr>
              <w:t>：合成氨装置</w:t>
            </w:r>
          </w:p>
        </w:tc>
        <w:tc>
          <w:tcPr>
            <w:tcW w:w="1895" w:type="dxa"/>
            <w:vMerge w:val="restart"/>
          </w:tcPr>
          <w:p w14:paraId="0C939CD6">
            <w:pPr>
              <w:spacing w:before="41" w:line="229" w:lineRule="auto"/>
              <w:ind w:left="807" w:right="199" w:hanging="599"/>
              <w:rPr>
                <w:szCs w:val="21"/>
              </w:rPr>
            </w:pPr>
            <w:r>
              <w:rPr>
                <w:spacing w:val="-2"/>
                <w:szCs w:val="21"/>
              </w:rPr>
              <w:t>反应器中孔</w:t>
            </w:r>
            <w:r>
              <w:rPr>
                <w:spacing w:val="-1"/>
                <w:szCs w:val="21"/>
              </w:rPr>
              <w:t>泄</w:t>
            </w:r>
            <w:r>
              <w:rPr>
                <w:szCs w:val="21"/>
              </w:rPr>
              <w:t xml:space="preserve"> 漏</w:t>
            </w:r>
          </w:p>
        </w:tc>
        <w:tc>
          <w:tcPr>
            <w:tcW w:w="1175" w:type="dxa"/>
            <w:vMerge w:val="restart"/>
          </w:tcPr>
          <w:p w14:paraId="38D19534">
            <w:pPr>
              <w:spacing w:before="196" w:line="218" w:lineRule="auto"/>
              <w:ind w:left="337"/>
              <w:rPr>
                <w:szCs w:val="21"/>
              </w:rPr>
            </w:pPr>
            <w:r>
              <w:rPr>
                <w:spacing w:val="-4"/>
                <w:szCs w:val="21"/>
              </w:rPr>
              <w:t>云爆</w:t>
            </w:r>
          </w:p>
        </w:tc>
        <w:tc>
          <w:tcPr>
            <w:tcW w:w="933" w:type="dxa"/>
            <w:vMerge w:val="restart"/>
          </w:tcPr>
          <w:p w14:paraId="0FB44FD8">
            <w:pPr>
              <w:spacing w:before="236" w:line="183" w:lineRule="auto"/>
              <w:ind w:left="380"/>
              <w:rPr>
                <w:szCs w:val="21"/>
              </w:rPr>
            </w:pPr>
            <w:r>
              <w:rPr>
                <w:spacing w:val="-3"/>
                <w:szCs w:val="21"/>
              </w:rPr>
              <w:t>4</w:t>
            </w:r>
            <w:r>
              <w:rPr>
                <w:spacing w:val="-2"/>
                <w:szCs w:val="21"/>
              </w:rPr>
              <w:t>7</w:t>
            </w:r>
          </w:p>
        </w:tc>
        <w:tc>
          <w:tcPr>
            <w:tcW w:w="3023" w:type="dxa"/>
          </w:tcPr>
          <w:p w14:paraId="00E58885">
            <w:pPr>
              <w:spacing w:before="35" w:line="216" w:lineRule="auto"/>
              <w:ind w:left="118"/>
              <w:rPr>
                <w:szCs w:val="21"/>
              </w:rPr>
            </w:pPr>
            <w:r>
              <w:rPr>
                <w:spacing w:val="-20"/>
                <w:szCs w:val="21"/>
              </w:rPr>
              <w:t>厂</w:t>
            </w:r>
            <w:r>
              <w:rPr>
                <w:spacing w:val="-13"/>
                <w:szCs w:val="21"/>
              </w:rPr>
              <w:t>区内部影响： 相邻的装置</w:t>
            </w:r>
          </w:p>
        </w:tc>
      </w:tr>
      <w:tr w14:paraId="50D9E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7878764F">
            <w:pPr>
              <w:spacing w:before="38" w:line="217" w:lineRule="auto"/>
              <w:ind w:left="238"/>
              <w:rPr>
                <w:spacing w:val="-2"/>
                <w:szCs w:val="21"/>
              </w:rPr>
            </w:pPr>
          </w:p>
        </w:tc>
        <w:tc>
          <w:tcPr>
            <w:tcW w:w="1895" w:type="dxa"/>
            <w:vMerge w:val="continue"/>
          </w:tcPr>
          <w:p w14:paraId="640C6797">
            <w:pPr>
              <w:spacing w:before="38" w:line="217" w:lineRule="auto"/>
              <w:ind w:left="208"/>
              <w:rPr>
                <w:spacing w:val="-2"/>
                <w:szCs w:val="21"/>
              </w:rPr>
            </w:pPr>
          </w:p>
        </w:tc>
        <w:tc>
          <w:tcPr>
            <w:tcW w:w="1175" w:type="dxa"/>
            <w:vMerge w:val="continue"/>
          </w:tcPr>
          <w:p w14:paraId="04C6E489">
            <w:pPr>
              <w:spacing w:before="38" w:line="217" w:lineRule="auto"/>
              <w:ind w:left="337"/>
              <w:rPr>
                <w:spacing w:val="-4"/>
                <w:szCs w:val="21"/>
              </w:rPr>
            </w:pPr>
          </w:p>
        </w:tc>
        <w:tc>
          <w:tcPr>
            <w:tcW w:w="933" w:type="dxa"/>
            <w:vMerge w:val="continue"/>
          </w:tcPr>
          <w:p w14:paraId="1C0CD523">
            <w:pPr>
              <w:spacing w:before="78" w:line="183" w:lineRule="auto"/>
              <w:ind w:left="386"/>
              <w:rPr>
                <w:spacing w:val="-5"/>
                <w:szCs w:val="21"/>
              </w:rPr>
            </w:pPr>
          </w:p>
        </w:tc>
        <w:tc>
          <w:tcPr>
            <w:tcW w:w="3023" w:type="dxa"/>
          </w:tcPr>
          <w:p w14:paraId="3DFFF443">
            <w:pPr>
              <w:spacing w:before="36" w:line="215" w:lineRule="auto"/>
              <w:ind w:left="574"/>
              <w:rPr>
                <w:szCs w:val="21"/>
              </w:rPr>
            </w:pPr>
            <w:r>
              <w:rPr>
                <w:spacing w:val="-2"/>
                <w:szCs w:val="21"/>
              </w:rPr>
              <w:t>厂区外</w:t>
            </w:r>
            <w:r>
              <w:rPr>
                <w:spacing w:val="-1"/>
                <w:szCs w:val="21"/>
              </w:rPr>
              <w:t>部影响：无</w:t>
            </w:r>
          </w:p>
        </w:tc>
      </w:tr>
      <w:tr w14:paraId="4558F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0CCF1A3D">
            <w:pPr>
              <w:spacing w:before="197" w:line="220" w:lineRule="auto"/>
              <w:ind w:left="238"/>
              <w:rPr>
                <w:szCs w:val="21"/>
              </w:rPr>
            </w:pPr>
            <w:r>
              <w:rPr>
                <w:spacing w:val="-2"/>
                <w:szCs w:val="21"/>
              </w:rPr>
              <w:t>德邦</w:t>
            </w:r>
            <w:r>
              <w:rPr>
                <w:spacing w:val="-1"/>
                <w:szCs w:val="21"/>
              </w:rPr>
              <w:t>：醇烃化装置</w:t>
            </w:r>
          </w:p>
        </w:tc>
        <w:tc>
          <w:tcPr>
            <w:tcW w:w="1895" w:type="dxa"/>
            <w:vMerge w:val="restart"/>
          </w:tcPr>
          <w:p w14:paraId="4459D213">
            <w:pPr>
              <w:spacing w:before="197" w:line="220" w:lineRule="auto"/>
              <w:ind w:left="229"/>
              <w:rPr>
                <w:szCs w:val="21"/>
              </w:rPr>
            </w:pPr>
            <w:r>
              <w:rPr>
                <w:spacing w:val="-7"/>
                <w:szCs w:val="21"/>
              </w:rPr>
              <w:t>阀</w:t>
            </w:r>
            <w:r>
              <w:rPr>
                <w:spacing w:val="-4"/>
                <w:szCs w:val="21"/>
              </w:rPr>
              <w:t>门大孔泄漏</w:t>
            </w:r>
          </w:p>
        </w:tc>
        <w:tc>
          <w:tcPr>
            <w:tcW w:w="1175" w:type="dxa"/>
            <w:vMerge w:val="restart"/>
          </w:tcPr>
          <w:p w14:paraId="3BBE22E9">
            <w:pPr>
              <w:spacing w:before="197" w:line="218" w:lineRule="auto"/>
              <w:ind w:left="337"/>
              <w:rPr>
                <w:szCs w:val="21"/>
              </w:rPr>
            </w:pPr>
            <w:r>
              <w:rPr>
                <w:spacing w:val="-4"/>
                <w:szCs w:val="21"/>
              </w:rPr>
              <w:t>云爆</w:t>
            </w:r>
          </w:p>
        </w:tc>
        <w:tc>
          <w:tcPr>
            <w:tcW w:w="933" w:type="dxa"/>
            <w:vMerge w:val="restart"/>
          </w:tcPr>
          <w:p w14:paraId="143976C1">
            <w:pPr>
              <w:spacing w:before="237" w:line="183" w:lineRule="auto"/>
              <w:ind w:left="386"/>
              <w:rPr>
                <w:szCs w:val="21"/>
              </w:rPr>
            </w:pPr>
            <w:r>
              <w:rPr>
                <w:spacing w:val="-5"/>
                <w:szCs w:val="21"/>
              </w:rPr>
              <w:t>3</w:t>
            </w:r>
            <w:r>
              <w:rPr>
                <w:spacing w:val="-3"/>
                <w:szCs w:val="21"/>
              </w:rPr>
              <w:t>7</w:t>
            </w:r>
          </w:p>
        </w:tc>
        <w:tc>
          <w:tcPr>
            <w:tcW w:w="3023" w:type="dxa"/>
          </w:tcPr>
          <w:p w14:paraId="5658EAC2">
            <w:pPr>
              <w:spacing w:before="36" w:line="216" w:lineRule="auto"/>
              <w:ind w:left="118"/>
              <w:rPr>
                <w:szCs w:val="21"/>
              </w:rPr>
            </w:pPr>
            <w:r>
              <w:rPr>
                <w:spacing w:val="-20"/>
                <w:szCs w:val="21"/>
              </w:rPr>
              <w:t>厂</w:t>
            </w:r>
            <w:r>
              <w:rPr>
                <w:spacing w:val="-13"/>
                <w:szCs w:val="21"/>
              </w:rPr>
              <w:t>区内部影响： 相邻的装置</w:t>
            </w:r>
          </w:p>
        </w:tc>
      </w:tr>
      <w:tr w14:paraId="4D708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4FB81380">
            <w:pPr>
              <w:spacing w:before="38" w:line="217" w:lineRule="auto"/>
              <w:ind w:left="238"/>
              <w:rPr>
                <w:spacing w:val="-2"/>
                <w:szCs w:val="21"/>
              </w:rPr>
            </w:pPr>
          </w:p>
        </w:tc>
        <w:tc>
          <w:tcPr>
            <w:tcW w:w="1895" w:type="dxa"/>
            <w:vMerge w:val="continue"/>
          </w:tcPr>
          <w:p w14:paraId="528178CC">
            <w:pPr>
              <w:spacing w:before="38" w:line="217" w:lineRule="auto"/>
              <w:ind w:left="208"/>
              <w:rPr>
                <w:spacing w:val="-2"/>
                <w:szCs w:val="21"/>
              </w:rPr>
            </w:pPr>
          </w:p>
        </w:tc>
        <w:tc>
          <w:tcPr>
            <w:tcW w:w="1175" w:type="dxa"/>
            <w:vMerge w:val="continue"/>
          </w:tcPr>
          <w:p w14:paraId="6B10B953">
            <w:pPr>
              <w:spacing w:before="38" w:line="217" w:lineRule="auto"/>
              <w:ind w:left="337"/>
              <w:rPr>
                <w:spacing w:val="-4"/>
                <w:szCs w:val="21"/>
              </w:rPr>
            </w:pPr>
          </w:p>
        </w:tc>
        <w:tc>
          <w:tcPr>
            <w:tcW w:w="933" w:type="dxa"/>
            <w:vMerge w:val="continue"/>
          </w:tcPr>
          <w:p w14:paraId="5CE96F38">
            <w:pPr>
              <w:spacing w:before="78" w:line="183" w:lineRule="auto"/>
              <w:ind w:left="386"/>
              <w:rPr>
                <w:spacing w:val="-5"/>
                <w:szCs w:val="21"/>
              </w:rPr>
            </w:pPr>
          </w:p>
        </w:tc>
        <w:tc>
          <w:tcPr>
            <w:tcW w:w="3023" w:type="dxa"/>
          </w:tcPr>
          <w:p w14:paraId="2C97014D">
            <w:pPr>
              <w:spacing w:before="36" w:line="215" w:lineRule="auto"/>
              <w:ind w:left="574"/>
              <w:rPr>
                <w:szCs w:val="21"/>
              </w:rPr>
            </w:pPr>
            <w:r>
              <w:rPr>
                <w:spacing w:val="-2"/>
                <w:szCs w:val="21"/>
              </w:rPr>
              <w:t>厂区外</w:t>
            </w:r>
            <w:r>
              <w:rPr>
                <w:spacing w:val="-1"/>
                <w:szCs w:val="21"/>
              </w:rPr>
              <w:t>部影响：无</w:t>
            </w:r>
          </w:p>
        </w:tc>
      </w:tr>
      <w:tr w14:paraId="24EA3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4F7C4645">
            <w:pPr>
              <w:ind w:firstLine="276" w:firstLineChars="100"/>
              <w:rPr>
                <w:szCs w:val="21"/>
              </w:rPr>
            </w:pPr>
            <w:r>
              <w:rPr>
                <w:spacing w:val="-2"/>
                <w:szCs w:val="21"/>
              </w:rPr>
              <w:t>德邦</w:t>
            </w:r>
            <w:r>
              <w:rPr>
                <w:spacing w:val="-1"/>
                <w:szCs w:val="21"/>
              </w:rPr>
              <w:t>：醇烃化装置</w:t>
            </w:r>
          </w:p>
        </w:tc>
        <w:tc>
          <w:tcPr>
            <w:tcW w:w="1895" w:type="dxa"/>
            <w:vMerge w:val="restart"/>
          </w:tcPr>
          <w:p w14:paraId="0B33EE81">
            <w:pPr>
              <w:ind w:firstLine="276" w:firstLineChars="100"/>
              <w:rPr>
                <w:szCs w:val="21"/>
              </w:rPr>
            </w:pPr>
            <w:r>
              <w:rPr>
                <w:spacing w:val="-2"/>
                <w:szCs w:val="21"/>
              </w:rPr>
              <w:t>管道完全破裂</w:t>
            </w:r>
          </w:p>
        </w:tc>
        <w:tc>
          <w:tcPr>
            <w:tcW w:w="1175" w:type="dxa"/>
            <w:vMerge w:val="restart"/>
          </w:tcPr>
          <w:p w14:paraId="6758A947">
            <w:pPr>
              <w:ind w:firstLine="272" w:firstLineChars="100"/>
              <w:rPr>
                <w:szCs w:val="21"/>
              </w:rPr>
            </w:pPr>
            <w:r>
              <w:rPr>
                <w:spacing w:val="-4"/>
                <w:szCs w:val="21"/>
              </w:rPr>
              <w:t>云爆</w:t>
            </w:r>
          </w:p>
        </w:tc>
        <w:tc>
          <w:tcPr>
            <w:tcW w:w="933" w:type="dxa"/>
            <w:vMerge w:val="restart"/>
          </w:tcPr>
          <w:p w14:paraId="1E0D07A6">
            <w:pPr>
              <w:rPr>
                <w:szCs w:val="21"/>
              </w:rPr>
            </w:pPr>
            <w:r>
              <w:rPr>
                <w:spacing w:val="-5"/>
                <w:szCs w:val="21"/>
              </w:rPr>
              <w:t>3</w:t>
            </w:r>
            <w:r>
              <w:rPr>
                <w:spacing w:val="-3"/>
                <w:szCs w:val="21"/>
              </w:rPr>
              <w:t>7</w:t>
            </w:r>
          </w:p>
        </w:tc>
        <w:tc>
          <w:tcPr>
            <w:tcW w:w="3023" w:type="dxa"/>
          </w:tcPr>
          <w:p w14:paraId="23497BB3">
            <w:pPr>
              <w:spacing w:before="36" w:line="215" w:lineRule="auto"/>
              <w:ind w:left="118"/>
              <w:rPr>
                <w:szCs w:val="21"/>
              </w:rPr>
            </w:pPr>
            <w:r>
              <w:rPr>
                <w:spacing w:val="-20"/>
                <w:szCs w:val="21"/>
              </w:rPr>
              <w:t>厂</w:t>
            </w:r>
            <w:r>
              <w:rPr>
                <w:spacing w:val="-13"/>
                <w:szCs w:val="21"/>
              </w:rPr>
              <w:t>区内部影响： 相邻的装置</w:t>
            </w:r>
          </w:p>
        </w:tc>
      </w:tr>
      <w:tr w14:paraId="32FF8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6890BCC6">
            <w:pPr>
              <w:spacing w:before="38" w:line="217" w:lineRule="auto"/>
              <w:ind w:left="238"/>
              <w:rPr>
                <w:spacing w:val="-2"/>
                <w:szCs w:val="21"/>
              </w:rPr>
            </w:pPr>
          </w:p>
        </w:tc>
        <w:tc>
          <w:tcPr>
            <w:tcW w:w="1895" w:type="dxa"/>
            <w:vMerge w:val="continue"/>
          </w:tcPr>
          <w:p w14:paraId="64E8BFD6">
            <w:pPr>
              <w:spacing w:before="38" w:line="217" w:lineRule="auto"/>
              <w:ind w:left="208"/>
              <w:rPr>
                <w:spacing w:val="-2"/>
                <w:szCs w:val="21"/>
              </w:rPr>
            </w:pPr>
          </w:p>
        </w:tc>
        <w:tc>
          <w:tcPr>
            <w:tcW w:w="1175" w:type="dxa"/>
            <w:vMerge w:val="continue"/>
          </w:tcPr>
          <w:p w14:paraId="0F9C326E">
            <w:pPr>
              <w:spacing w:before="38" w:line="217" w:lineRule="auto"/>
              <w:ind w:left="337"/>
              <w:rPr>
                <w:spacing w:val="-4"/>
                <w:szCs w:val="21"/>
              </w:rPr>
            </w:pPr>
          </w:p>
        </w:tc>
        <w:tc>
          <w:tcPr>
            <w:tcW w:w="933" w:type="dxa"/>
            <w:vMerge w:val="continue"/>
          </w:tcPr>
          <w:p w14:paraId="579FD4C7">
            <w:pPr>
              <w:spacing w:before="78" w:line="183" w:lineRule="auto"/>
              <w:ind w:left="386"/>
              <w:rPr>
                <w:spacing w:val="-5"/>
                <w:szCs w:val="21"/>
              </w:rPr>
            </w:pPr>
          </w:p>
        </w:tc>
        <w:tc>
          <w:tcPr>
            <w:tcW w:w="3023" w:type="dxa"/>
          </w:tcPr>
          <w:p w14:paraId="11D7AF3E">
            <w:pPr>
              <w:spacing w:before="38" w:line="213" w:lineRule="auto"/>
              <w:ind w:left="574"/>
              <w:rPr>
                <w:szCs w:val="21"/>
              </w:rPr>
            </w:pPr>
            <w:r>
              <w:rPr>
                <w:spacing w:val="-2"/>
                <w:szCs w:val="21"/>
              </w:rPr>
              <w:t>厂区外</w:t>
            </w:r>
            <w:r>
              <w:rPr>
                <w:spacing w:val="-1"/>
                <w:szCs w:val="21"/>
              </w:rPr>
              <w:t>部影响：无</w:t>
            </w:r>
          </w:p>
        </w:tc>
      </w:tr>
      <w:tr w14:paraId="66DAF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42D63CCD">
            <w:pPr>
              <w:spacing w:before="200" w:line="220" w:lineRule="auto"/>
              <w:ind w:left="238"/>
              <w:rPr>
                <w:szCs w:val="21"/>
              </w:rPr>
            </w:pPr>
            <w:r>
              <w:rPr>
                <w:spacing w:val="-2"/>
                <w:szCs w:val="21"/>
              </w:rPr>
              <w:t>德邦</w:t>
            </w:r>
            <w:r>
              <w:rPr>
                <w:spacing w:val="-1"/>
                <w:szCs w:val="21"/>
              </w:rPr>
              <w:t>：醇烃化装置</w:t>
            </w:r>
          </w:p>
        </w:tc>
        <w:tc>
          <w:tcPr>
            <w:tcW w:w="1895" w:type="dxa"/>
            <w:vMerge w:val="restart"/>
          </w:tcPr>
          <w:p w14:paraId="49D498A9">
            <w:pPr>
              <w:spacing w:before="200" w:line="220" w:lineRule="auto"/>
              <w:ind w:left="212"/>
              <w:rPr>
                <w:szCs w:val="21"/>
              </w:rPr>
            </w:pPr>
            <w:r>
              <w:rPr>
                <w:spacing w:val="-2"/>
                <w:szCs w:val="21"/>
              </w:rPr>
              <w:t>管道大孔泄漏</w:t>
            </w:r>
          </w:p>
        </w:tc>
        <w:tc>
          <w:tcPr>
            <w:tcW w:w="1175" w:type="dxa"/>
            <w:vMerge w:val="restart"/>
          </w:tcPr>
          <w:p w14:paraId="29582F4D">
            <w:pPr>
              <w:spacing w:before="200" w:line="218" w:lineRule="auto"/>
              <w:ind w:left="337"/>
              <w:rPr>
                <w:szCs w:val="21"/>
              </w:rPr>
            </w:pPr>
            <w:r>
              <w:rPr>
                <w:spacing w:val="-4"/>
                <w:szCs w:val="21"/>
              </w:rPr>
              <w:t>云爆</w:t>
            </w:r>
          </w:p>
        </w:tc>
        <w:tc>
          <w:tcPr>
            <w:tcW w:w="933" w:type="dxa"/>
            <w:vMerge w:val="restart"/>
          </w:tcPr>
          <w:p w14:paraId="2DF239EB">
            <w:pPr>
              <w:spacing w:before="240" w:line="183" w:lineRule="auto"/>
              <w:ind w:left="386"/>
              <w:rPr>
                <w:szCs w:val="21"/>
              </w:rPr>
            </w:pPr>
            <w:r>
              <w:rPr>
                <w:spacing w:val="-5"/>
                <w:szCs w:val="21"/>
              </w:rPr>
              <w:t>3</w:t>
            </w:r>
            <w:r>
              <w:rPr>
                <w:spacing w:val="-3"/>
                <w:szCs w:val="21"/>
              </w:rPr>
              <w:t>7</w:t>
            </w:r>
          </w:p>
        </w:tc>
        <w:tc>
          <w:tcPr>
            <w:tcW w:w="3023" w:type="dxa"/>
          </w:tcPr>
          <w:p w14:paraId="3755B956">
            <w:pPr>
              <w:spacing w:before="40" w:line="212" w:lineRule="auto"/>
              <w:ind w:left="118"/>
              <w:rPr>
                <w:szCs w:val="21"/>
              </w:rPr>
            </w:pPr>
            <w:r>
              <w:rPr>
                <w:spacing w:val="-20"/>
                <w:szCs w:val="21"/>
              </w:rPr>
              <w:t>厂</w:t>
            </w:r>
            <w:r>
              <w:rPr>
                <w:spacing w:val="-13"/>
                <w:szCs w:val="21"/>
              </w:rPr>
              <w:t>区内部影响： 相邻的装置</w:t>
            </w:r>
          </w:p>
        </w:tc>
      </w:tr>
      <w:tr w14:paraId="51F4A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1E8224A4">
            <w:pPr>
              <w:spacing w:before="38" w:line="217" w:lineRule="auto"/>
              <w:ind w:left="238"/>
              <w:rPr>
                <w:spacing w:val="-2"/>
                <w:szCs w:val="21"/>
              </w:rPr>
            </w:pPr>
          </w:p>
        </w:tc>
        <w:tc>
          <w:tcPr>
            <w:tcW w:w="1895" w:type="dxa"/>
            <w:vMerge w:val="continue"/>
          </w:tcPr>
          <w:p w14:paraId="25800E82">
            <w:pPr>
              <w:spacing w:before="38" w:line="217" w:lineRule="auto"/>
              <w:ind w:left="208"/>
              <w:rPr>
                <w:spacing w:val="-2"/>
                <w:szCs w:val="21"/>
              </w:rPr>
            </w:pPr>
          </w:p>
        </w:tc>
        <w:tc>
          <w:tcPr>
            <w:tcW w:w="1175" w:type="dxa"/>
            <w:vMerge w:val="continue"/>
          </w:tcPr>
          <w:p w14:paraId="34AC6B5A">
            <w:pPr>
              <w:spacing w:before="38" w:line="217" w:lineRule="auto"/>
              <w:ind w:left="337"/>
              <w:rPr>
                <w:spacing w:val="-4"/>
                <w:szCs w:val="21"/>
              </w:rPr>
            </w:pPr>
          </w:p>
        </w:tc>
        <w:tc>
          <w:tcPr>
            <w:tcW w:w="933" w:type="dxa"/>
            <w:vMerge w:val="continue"/>
          </w:tcPr>
          <w:p w14:paraId="5AE898DB">
            <w:pPr>
              <w:spacing w:before="78" w:line="183" w:lineRule="auto"/>
              <w:ind w:left="386"/>
              <w:rPr>
                <w:spacing w:val="-5"/>
                <w:szCs w:val="21"/>
              </w:rPr>
            </w:pPr>
          </w:p>
        </w:tc>
        <w:tc>
          <w:tcPr>
            <w:tcW w:w="3023" w:type="dxa"/>
          </w:tcPr>
          <w:p w14:paraId="08210C0C">
            <w:pPr>
              <w:spacing w:before="37" w:line="214" w:lineRule="auto"/>
              <w:ind w:left="574"/>
              <w:rPr>
                <w:szCs w:val="21"/>
              </w:rPr>
            </w:pPr>
            <w:r>
              <w:rPr>
                <w:spacing w:val="-2"/>
                <w:szCs w:val="21"/>
              </w:rPr>
              <w:t>厂区外</w:t>
            </w:r>
            <w:r>
              <w:rPr>
                <w:spacing w:val="-1"/>
                <w:szCs w:val="21"/>
              </w:rPr>
              <w:t>部影响：无</w:t>
            </w:r>
          </w:p>
        </w:tc>
      </w:tr>
      <w:tr w14:paraId="22CB2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68B43A4E">
            <w:pPr>
              <w:spacing w:before="199" w:line="220" w:lineRule="auto"/>
              <w:ind w:left="238"/>
              <w:rPr>
                <w:szCs w:val="21"/>
              </w:rPr>
            </w:pPr>
            <w:r>
              <w:rPr>
                <w:spacing w:val="-2"/>
                <w:szCs w:val="21"/>
              </w:rPr>
              <w:t>德邦</w:t>
            </w:r>
            <w:r>
              <w:rPr>
                <w:spacing w:val="-1"/>
                <w:szCs w:val="21"/>
              </w:rPr>
              <w:t>：醇烃化装置</w:t>
            </w:r>
          </w:p>
        </w:tc>
        <w:tc>
          <w:tcPr>
            <w:tcW w:w="1895" w:type="dxa"/>
            <w:vMerge w:val="restart"/>
          </w:tcPr>
          <w:p w14:paraId="7352C510">
            <w:pPr>
              <w:spacing w:before="198" w:line="220" w:lineRule="auto"/>
              <w:ind w:left="212"/>
              <w:rPr>
                <w:szCs w:val="21"/>
              </w:rPr>
            </w:pPr>
            <w:r>
              <w:rPr>
                <w:spacing w:val="-2"/>
                <w:szCs w:val="21"/>
              </w:rPr>
              <w:t>管道中孔泄漏</w:t>
            </w:r>
          </w:p>
        </w:tc>
        <w:tc>
          <w:tcPr>
            <w:tcW w:w="1175" w:type="dxa"/>
            <w:vMerge w:val="restart"/>
          </w:tcPr>
          <w:p w14:paraId="03C68A5A">
            <w:pPr>
              <w:spacing w:before="199" w:line="218" w:lineRule="auto"/>
              <w:ind w:left="337"/>
              <w:rPr>
                <w:szCs w:val="21"/>
              </w:rPr>
            </w:pPr>
            <w:r>
              <w:rPr>
                <w:spacing w:val="-4"/>
                <w:szCs w:val="21"/>
              </w:rPr>
              <w:t>云爆</w:t>
            </w:r>
          </w:p>
        </w:tc>
        <w:tc>
          <w:tcPr>
            <w:tcW w:w="933" w:type="dxa"/>
            <w:vMerge w:val="restart"/>
          </w:tcPr>
          <w:p w14:paraId="7AB4892B">
            <w:pPr>
              <w:spacing w:before="239" w:line="183" w:lineRule="auto"/>
              <w:ind w:left="386"/>
              <w:rPr>
                <w:szCs w:val="21"/>
              </w:rPr>
            </w:pPr>
            <w:r>
              <w:rPr>
                <w:spacing w:val="-5"/>
                <w:szCs w:val="21"/>
              </w:rPr>
              <w:t>3</w:t>
            </w:r>
            <w:r>
              <w:rPr>
                <w:spacing w:val="-3"/>
                <w:szCs w:val="21"/>
              </w:rPr>
              <w:t>7</w:t>
            </w:r>
          </w:p>
        </w:tc>
        <w:tc>
          <w:tcPr>
            <w:tcW w:w="3023" w:type="dxa"/>
          </w:tcPr>
          <w:p w14:paraId="0B3AC1A1">
            <w:pPr>
              <w:spacing w:before="39" w:line="213" w:lineRule="auto"/>
              <w:ind w:left="118"/>
              <w:rPr>
                <w:szCs w:val="21"/>
              </w:rPr>
            </w:pPr>
            <w:r>
              <w:rPr>
                <w:spacing w:val="-20"/>
                <w:szCs w:val="21"/>
              </w:rPr>
              <w:t>厂</w:t>
            </w:r>
            <w:r>
              <w:rPr>
                <w:spacing w:val="-13"/>
                <w:szCs w:val="21"/>
              </w:rPr>
              <w:t>区内部影响： 相邻的装置</w:t>
            </w:r>
          </w:p>
        </w:tc>
      </w:tr>
      <w:tr w14:paraId="759D6B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33B723A9">
            <w:pPr>
              <w:spacing w:before="38" w:line="217" w:lineRule="auto"/>
              <w:ind w:left="238"/>
              <w:rPr>
                <w:spacing w:val="-2"/>
                <w:szCs w:val="21"/>
              </w:rPr>
            </w:pPr>
          </w:p>
        </w:tc>
        <w:tc>
          <w:tcPr>
            <w:tcW w:w="1895" w:type="dxa"/>
            <w:vMerge w:val="continue"/>
          </w:tcPr>
          <w:p w14:paraId="649FB75A">
            <w:pPr>
              <w:spacing w:before="38" w:line="217" w:lineRule="auto"/>
              <w:ind w:left="208"/>
              <w:rPr>
                <w:spacing w:val="-2"/>
                <w:szCs w:val="21"/>
              </w:rPr>
            </w:pPr>
          </w:p>
        </w:tc>
        <w:tc>
          <w:tcPr>
            <w:tcW w:w="1175" w:type="dxa"/>
            <w:vMerge w:val="continue"/>
          </w:tcPr>
          <w:p w14:paraId="18F012E3">
            <w:pPr>
              <w:spacing w:before="38" w:line="217" w:lineRule="auto"/>
              <w:ind w:left="337"/>
              <w:rPr>
                <w:spacing w:val="-4"/>
                <w:szCs w:val="21"/>
              </w:rPr>
            </w:pPr>
          </w:p>
        </w:tc>
        <w:tc>
          <w:tcPr>
            <w:tcW w:w="933" w:type="dxa"/>
            <w:vMerge w:val="continue"/>
          </w:tcPr>
          <w:p w14:paraId="2BCF288E">
            <w:pPr>
              <w:spacing w:before="78" w:line="183" w:lineRule="auto"/>
              <w:ind w:left="386"/>
              <w:rPr>
                <w:spacing w:val="-5"/>
                <w:szCs w:val="21"/>
              </w:rPr>
            </w:pPr>
          </w:p>
        </w:tc>
        <w:tc>
          <w:tcPr>
            <w:tcW w:w="3023" w:type="dxa"/>
          </w:tcPr>
          <w:p w14:paraId="24FC8696">
            <w:pPr>
              <w:spacing w:before="38" w:line="214" w:lineRule="auto"/>
              <w:ind w:left="574"/>
              <w:rPr>
                <w:szCs w:val="21"/>
              </w:rPr>
            </w:pPr>
            <w:r>
              <w:rPr>
                <w:spacing w:val="-2"/>
                <w:szCs w:val="21"/>
              </w:rPr>
              <w:t>厂区外</w:t>
            </w:r>
            <w:r>
              <w:rPr>
                <w:spacing w:val="-1"/>
                <w:szCs w:val="21"/>
              </w:rPr>
              <w:t>部影响：无</w:t>
            </w:r>
          </w:p>
        </w:tc>
      </w:tr>
      <w:tr w14:paraId="382273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01756729">
            <w:pPr>
              <w:spacing w:before="38" w:line="217" w:lineRule="auto"/>
              <w:ind w:left="238"/>
              <w:rPr>
                <w:spacing w:val="-2"/>
                <w:szCs w:val="21"/>
              </w:rPr>
            </w:pPr>
            <w:r>
              <w:rPr>
                <w:spacing w:val="-2"/>
                <w:szCs w:val="21"/>
              </w:rPr>
              <w:t>德邦：醇烃化装置</w:t>
            </w:r>
          </w:p>
        </w:tc>
        <w:tc>
          <w:tcPr>
            <w:tcW w:w="1895" w:type="dxa"/>
            <w:vMerge w:val="restart"/>
          </w:tcPr>
          <w:p w14:paraId="178C459B">
            <w:pPr>
              <w:spacing w:before="38" w:line="217" w:lineRule="auto"/>
              <w:ind w:left="238"/>
              <w:rPr>
                <w:spacing w:val="-2"/>
                <w:szCs w:val="21"/>
              </w:rPr>
            </w:pPr>
            <w:r>
              <w:rPr>
                <w:spacing w:val="-2"/>
                <w:szCs w:val="21"/>
              </w:rPr>
              <w:t>阀门中孔泄漏</w:t>
            </w:r>
          </w:p>
        </w:tc>
        <w:tc>
          <w:tcPr>
            <w:tcW w:w="1175" w:type="dxa"/>
            <w:vMerge w:val="restart"/>
          </w:tcPr>
          <w:p w14:paraId="474FD067">
            <w:pPr>
              <w:spacing w:before="38" w:line="217" w:lineRule="auto"/>
              <w:ind w:left="238"/>
              <w:rPr>
                <w:spacing w:val="-2"/>
                <w:szCs w:val="21"/>
              </w:rPr>
            </w:pPr>
            <w:r>
              <w:rPr>
                <w:spacing w:val="-2"/>
                <w:szCs w:val="21"/>
              </w:rPr>
              <w:t>云爆</w:t>
            </w:r>
          </w:p>
        </w:tc>
        <w:tc>
          <w:tcPr>
            <w:tcW w:w="933" w:type="dxa"/>
            <w:vMerge w:val="restart"/>
          </w:tcPr>
          <w:p w14:paraId="2857D54B">
            <w:pPr>
              <w:spacing w:before="38" w:line="217" w:lineRule="auto"/>
              <w:ind w:left="238"/>
              <w:rPr>
                <w:spacing w:val="-2"/>
                <w:szCs w:val="21"/>
              </w:rPr>
            </w:pPr>
            <w:r>
              <w:rPr>
                <w:spacing w:val="-2"/>
                <w:szCs w:val="21"/>
              </w:rPr>
              <w:t>37</w:t>
            </w:r>
          </w:p>
        </w:tc>
        <w:tc>
          <w:tcPr>
            <w:tcW w:w="3023" w:type="dxa"/>
          </w:tcPr>
          <w:p w14:paraId="4D74562B">
            <w:pPr>
              <w:spacing w:before="38" w:line="217" w:lineRule="auto"/>
              <w:ind w:left="238"/>
              <w:rPr>
                <w:spacing w:val="-2"/>
                <w:szCs w:val="21"/>
              </w:rPr>
            </w:pPr>
            <w:r>
              <w:rPr>
                <w:spacing w:val="-2"/>
                <w:szCs w:val="21"/>
              </w:rPr>
              <w:t>厂区内部影响： 相邻的装置</w:t>
            </w:r>
          </w:p>
        </w:tc>
      </w:tr>
      <w:tr w14:paraId="40513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50C766FA">
            <w:pPr>
              <w:spacing w:before="38" w:line="217" w:lineRule="auto"/>
              <w:ind w:left="238"/>
              <w:rPr>
                <w:spacing w:val="-2"/>
                <w:szCs w:val="21"/>
              </w:rPr>
            </w:pPr>
          </w:p>
        </w:tc>
        <w:tc>
          <w:tcPr>
            <w:tcW w:w="1895" w:type="dxa"/>
            <w:vMerge w:val="continue"/>
          </w:tcPr>
          <w:p w14:paraId="11E4C815">
            <w:pPr>
              <w:spacing w:before="38" w:line="217" w:lineRule="auto"/>
              <w:ind w:left="238"/>
              <w:rPr>
                <w:spacing w:val="-2"/>
                <w:szCs w:val="21"/>
              </w:rPr>
            </w:pPr>
          </w:p>
        </w:tc>
        <w:tc>
          <w:tcPr>
            <w:tcW w:w="1175" w:type="dxa"/>
            <w:vMerge w:val="continue"/>
          </w:tcPr>
          <w:p w14:paraId="5D4FB224">
            <w:pPr>
              <w:spacing w:before="38" w:line="217" w:lineRule="auto"/>
              <w:ind w:left="238"/>
              <w:rPr>
                <w:spacing w:val="-2"/>
                <w:szCs w:val="21"/>
              </w:rPr>
            </w:pPr>
          </w:p>
        </w:tc>
        <w:tc>
          <w:tcPr>
            <w:tcW w:w="933" w:type="dxa"/>
            <w:vMerge w:val="continue"/>
          </w:tcPr>
          <w:p w14:paraId="35A5BE36">
            <w:pPr>
              <w:spacing w:before="38" w:line="217" w:lineRule="auto"/>
              <w:ind w:left="238"/>
              <w:rPr>
                <w:spacing w:val="-2"/>
                <w:szCs w:val="21"/>
              </w:rPr>
            </w:pPr>
          </w:p>
        </w:tc>
        <w:tc>
          <w:tcPr>
            <w:tcW w:w="3023" w:type="dxa"/>
          </w:tcPr>
          <w:p w14:paraId="2536DDEE">
            <w:pPr>
              <w:spacing w:before="38" w:line="217" w:lineRule="auto"/>
              <w:ind w:left="238"/>
              <w:rPr>
                <w:spacing w:val="-2"/>
                <w:szCs w:val="21"/>
              </w:rPr>
            </w:pPr>
            <w:r>
              <w:rPr>
                <w:spacing w:val="-2"/>
                <w:szCs w:val="21"/>
              </w:rPr>
              <w:t>厂区外部影响：无</w:t>
            </w:r>
          </w:p>
        </w:tc>
      </w:tr>
      <w:tr w14:paraId="2D864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7C516A32">
            <w:pPr>
              <w:spacing w:before="78" w:line="217" w:lineRule="auto"/>
              <w:rPr>
                <w:szCs w:val="21"/>
              </w:rPr>
            </w:pPr>
            <w:r>
              <w:rPr>
                <w:spacing w:val="-2"/>
                <w:szCs w:val="21"/>
              </w:rPr>
              <w:t>德邦：氨</w:t>
            </w:r>
            <w:r>
              <w:rPr>
                <w:spacing w:val="-1"/>
                <w:szCs w:val="21"/>
              </w:rPr>
              <w:t>罐</w:t>
            </w:r>
          </w:p>
        </w:tc>
        <w:tc>
          <w:tcPr>
            <w:tcW w:w="1895" w:type="dxa"/>
            <w:vMerge w:val="restart"/>
          </w:tcPr>
          <w:p w14:paraId="6D8C2CDD">
            <w:pPr>
              <w:spacing w:before="78" w:line="218" w:lineRule="auto"/>
              <w:rPr>
                <w:szCs w:val="21"/>
              </w:rPr>
            </w:pPr>
            <w:r>
              <w:rPr>
                <w:spacing w:val="-2"/>
                <w:szCs w:val="21"/>
              </w:rPr>
              <w:t>容器物理爆</w:t>
            </w:r>
            <w:r>
              <w:rPr>
                <w:spacing w:val="-1"/>
                <w:szCs w:val="21"/>
              </w:rPr>
              <w:t>炸</w:t>
            </w:r>
          </w:p>
        </w:tc>
        <w:tc>
          <w:tcPr>
            <w:tcW w:w="1175" w:type="dxa"/>
            <w:vMerge w:val="restart"/>
          </w:tcPr>
          <w:p w14:paraId="767EBEF3">
            <w:pPr>
              <w:spacing w:before="199" w:line="253" w:lineRule="auto"/>
              <w:ind w:right="208"/>
              <w:rPr>
                <w:szCs w:val="21"/>
              </w:rPr>
            </w:pPr>
            <w:r>
              <w:rPr>
                <w:spacing w:val="-4"/>
                <w:szCs w:val="21"/>
              </w:rPr>
              <w:t>物</w:t>
            </w:r>
            <w:r>
              <w:rPr>
                <w:spacing w:val="-3"/>
                <w:szCs w:val="21"/>
              </w:rPr>
              <w:t>理爆</w:t>
            </w:r>
            <w:r>
              <w:rPr>
                <w:szCs w:val="21"/>
              </w:rPr>
              <w:t>炸</w:t>
            </w:r>
          </w:p>
        </w:tc>
        <w:tc>
          <w:tcPr>
            <w:tcW w:w="933" w:type="dxa"/>
            <w:vMerge w:val="restart"/>
          </w:tcPr>
          <w:p w14:paraId="30BCDD6C">
            <w:pPr>
              <w:spacing w:before="78" w:line="183" w:lineRule="auto"/>
              <w:rPr>
                <w:szCs w:val="21"/>
              </w:rPr>
            </w:pPr>
            <w:r>
              <w:rPr>
                <w:spacing w:val="-8"/>
                <w:szCs w:val="21"/>
              </w:rPr>
              <w:t>1</w:t>
            </w:r>
            <w:r>
              <w:rPr>
                <w:spacing w:val="-6"/>
                <w:szCs w:val="21"/>
              </w:rPr>
              <w:t>7</w:t>
            </w:r>
          </w:p>
        </w:tc>
        <w:tc>
          <w:tcPr>
            <w:tcW w:w="3023" w:type="dxa"/>
          </w:tcPr>
          <w:p w14:paraId="73B7DF26">
            <w:pPr>
              <w:spacing w:before="38" w:line="226" w:lineRule="auto"/>
              <w:ind w:left="1413" w:right="109" w:hanging="1295"/>
              <w:rPr>
                <w:szCs w:val="21"/>
              </w:rPr>
            </w:pPr>
            <w:r>
              <w:rPr>
                <w:spacing w:val="-22"/>
                <w:szCs w:val="21"/>
              </w:rPr>
              <w:t>厂</w:t>
            </w:r>
            <w:r>
              <w:rPr>
                <w:spacing w:val="-13"/>
                <w:szCs w:val="21"/>
              </w:rPr>
              <w:t>区内部影响： 相邻的氨储</w:t>
            </w:r>
            <w:r>
              <w:rPr>
                <w:szCs w:val="21"/>
              </w:rPr>
              <w:t xml:space="preserve"> 罐</w:t>
            </w:r>
          </w:p>
        </w:tc>
      </w:tr>
      <w:tr w14:paraId="2D1406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2380" w:type="dxa"/>
            <w:vMerge w:val="continue"/>
          </w:tcPr>
          <w:p w14:paraId="554AE7A1">
            <w:pPr>
              <w:spacing w:before="38" w:line="217" w:lineRule="auto"/>
              <w:ind w:left="238"/>
              <w:rPr>
                <w:spacing w:val="-2"/>
                <w:szCs w:val="21"/>
              </w:rPr>
            </w:pPr>
          </w:p>
        </w:tc>
        <w:tc>
          <w:tcPr>
            <w:tcW w:w="1895" w:type="dxa"/>
            <w:vMerge w:val="continue"/>
          </w:tcPr>
          <w:p w14:paraId="3B8F071E">
            <w:pPr>
              <w:spacing w:before="38" w:line="217" w:lineRule="auto"/>
              <w:ind w:left="208"/>
              <w:rPr>
                <w:spacing w:val="-2"/>
                <w:szCs w:val="21"/>
              </w:rPr>
            </w:pPr>
          </w:p>
        </w:tc>
        <w:tc>
          <w:tcPr>
            <w:tcW w:w="1175" w:type="dxa"/>
            <w:vMerge w:val="continue"/>
          </w:tcPr>
          <w:p w14:paraId="0184E646">
            <w:pPr>
              <w:spacing w:before="38" w:line="217" w:lineRule="auto"/>
              <w:ind w:left="337"/>
              <w:rPr>
                <w:spacing w:val="-4"/>
                <w:szCs w:val="21"/>
              </w:rPr>
            </w:pPr>
          </w:p>
        </w:tc>
        <w:tc>
          <w:tcPr>
            <w:tcW w:w="933" w:type="dxa"/>
            <w:vMerge w:val="continue"/>
          </w:tcPr>
          <w:p w14:paraId="7C6F3E8A">
            <w:pPr>
              <w:spacing w:before="78" w:line="183" w:lineRule="auto"/>
              <w:ind w:left="386"/>
              <w:rPr>
                <w:spacing w:val="-5"/>
                <w:szCs w:val="21"/>
              </w:rPr>
            </w:pPr>
          </w:p>
        </w:tc>
        <w:tc>
          <w:tcPr>
            <w:tcW w:w="3023" w:type="dxa"/>
          </w:tcPr>
          <w:p w14:paraId="400A7937">
            <w:pPr>
              <w:spacing w:before="39" w:line="213" w:lineRule="auto"/>
              <w:ind w:left="574"/>
              <w:rPr>
                <w:szCs w:val="21"/>
              </w:rPr>
            </w:pPr>
            <w:r>
              <w:rPr>
                <w:spacing w:val="-2"/>
                <w:szCs w:val="21"/>
              </w:rPr>
              <w:t>厂区外</w:t>
            </w:r>
            <w:r>
              <w:rPr>
                <w:spacing w:val="-1"/>
                <w:szCs w:val="21"/>
              </w:rPr>
              <w:t>部影响：无</w:t>
            </w:r>
          </w:p>
        </w:tc>
      </w:tr>
      <w:tr w14:paraId="7FD8C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C6A90D2">
            <w:pPr>
              <w:spacing w:before="200" w:line="219" w:lineRule="auto"/>
              <w:ind w:left="118"/>
              <w:rPr>
                <w:szCs w:val="21"/>
              </w:rPr>
            </w:pPr>
            <w:r>
              <w:rPr>
                <w:spacing w:val="-2"/>
                <w:szCs w:val="21"/>
              </w:rPr>
              <w:t>德</w:t>
            </w:r>
            <w:r>
              <w:rPr>
                <w:spacing w:val="-1"/>
                <w:szCs w:val="21"/>
              </w:rPr>
              <w:t>邦：煤气压缩机房</w:t>
            </w:r>
          </w:p>
        </w:tc>
        <w:tc>
          <w:tcPr>
            <w:tcW w:w="1895" w:type="dxa"/>
            <w:vMerge w:val="restart"/>
          </w:tcPr>
          <w:p w14:paraId="6B86A02A">
            <w:pPr>
              <w:spacing w:before="200" w:line="220" w:lineRule="auto"/>
              <w:ind w:left="212"/>
              <w:rPr>
                <w:szCs w:val="21"/>
              </w:rPr>
            </w:pPr>
            <w:r>
              <w:rPr>
                <w:spacing w:val="-2"/>
                <w:szCs w:val="21"/>
              </w:rPr>
              <w:t>管道中孔泄漏</w:t>
            </w:r>
          </w:p>
        </w:tc>
        <w:tc>
          <w:tcPr>
            <w:tcW w:w="1175" w:type="dxa"/>
            <w:vMerge w:val="restart"/>
          </w:tcPr>
          <w:p w14:paraId="39786286">
            <w:pPr>
              <w:spacing w:before="200" w:line="218" w:lineRule="auto"/>
              <w:ind w:left="337"/>
              <w:rPr>
                <w:szCs w:val="21"/>
              </w:rPr>
            </w:pPr>
            <w:r>
              <w:rPr>
                <w:spacing w:val="-4"/>
                <w:szCs w:val="21"/>
              </w:rPr>
              <w:t>云爆</w:t>
            </w:r>
          </w:p>
        </w:tc>
        <w:tc>
          <w:tcPr>
            <w:tcW w:w="933" w:type="dxa"/>
            <w:vMerge w:val="restart"/>
          </w:tcPr>
          <w:p w14:paraId="674B974D">
            <w:pPr>
              <w:spacing w:before="240" w:line="183" w:lineRule="auto"/>
              <w:ind w:left="384"/>
              <w:rPr>
                <w:szCs w:val="21"/>
              </w:rPr>
            </w:pPr>
            <w:r>
              <w:rPr>
                <w:spacing w:val="-4"/>
                <w:szCs w:val="21"/>
              </w:rPr>
              <w:t>2</w:t>
            </w:r>
            <w:r>
              <w:rPr>
                <w:spacing w:val="-3"/>
                <w:szCs w:val="21"/>
              </w:rPr>
              <w:t>3</w:t>
            </w:r>
          </w:p>
        </w:tc>
        <w:tc>
          <w:tcPr>
            <w:tcW w:w="3023" w:type="dxa"/>
          </w:tcPr>
          <w:p w14:paraId="4620F516">
            <w:pPr>
              <w:spacing w:before="40" w:line="213" w:lineRule="auto"/>
              <w:ind w:left="118"/>
              <w:rPr>
                <w:szCs w:val="21"/>
              </w:rPr>
            </w:pPr>
            <w:r>
              <w:rPr>
                <w:spacing w:val="-20"/>
                <w:szCs w:val="21"/>
              </w:rPr>
              <w:t>厂</w:t>
            </w:r>
            <w:r>
              <w:rPr>
                <w:spacing w:val="-13"/>
                <w:szCs w:val="21"/>
              </w:rPr>
              <w:t>区内部影响： 相邻的装置</w:t>
            </w:r>
          </w:p>
        </w:tc>
      </w:tr>
      <w:tr w14:paraId="16A4C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588C52DE">
            <w:pPr>
              <w:spacing w:before="38" w:line="217" w:lineRule="auto"/>
              <w:ind w:left="238"/>
              <w:rPr>
                <w:spacing w:val="-2"/>
                <w:szCs w:val="21"/>
              </w:rPr>
            </w:pPr>
          </w:p>
        </w:tc>
        <w:tc>
          <w:tcPr>
            <w:tcW w:w="1895" w:type="dxa"/>
            <w:vMerge w:val="continue"/>
          </w:tcPr>
          <w:p w14:paraId="67778133">
            <w:pPr>
              <w:spacing w:before="38" w:line="217" w:lineRule="auto"/>
              <w:ind w:left="208"/>
              <w:rPr>
                <w:spacing w:val="-2"/>
                <w:szCs w:val="21"/>
              </w:rPr>
            </w:pPr>
          </w:p>
        </w:tc>
        <w:tc>
          <w:tcPr>
            <w:tcW w:w="1175" w:type="dxa"/>
            <w:vMerge w:val="continue"/>
          </w:tcPr>
          <w:p w14:paraId="267CC7B9">
            <w:pPr>
              <w:spacing w:before="38" w:line="217" w:lineRule="auto"/>
              <w:ind w:left="337"/>
              <w:rPr>
                <w:spacing w:val="-4"/>
                <w:szCs w:val="21"/>
              </w:rPr>
            </w:pPr>
          </w:p>
        </w:tc>
        <w:tc>
          <w:tcPr>
            <w:tcW w:w="933" w:type="dxa"/>
            <w:vMerge w:val="continue"/>
          </w:tcPr>
          <w:p w14:paraId="524A58F3">
            <w:pPr>
              <w:spacing w:before="78" w:line="183" w:lineRule="auto"/>
              <w:ind w:left="386"/>
              <w:rPr>
                <w:spacing w:val="-5"/>
                <w:szCs w:val="21"/>
              </w:rPr>
            </w:pPr>
          </w:p>
        </w:tc>
        <w:tc>
          <w:tcPr>
            <w:tcW w:w="3023" w:type="dxa"/>
          </w:tcPr>
          <w:p w14:paraId="072120C3">
            <w:pPr>
              <w:spacing w:before="38" w:line="214" w:lineRule="auto"/>
              <w:ind w:left="574"/>
              <w:rPr>
                <w:szCs w:val="21"/>
              </w:rPr>
            </w:pPr>
            <w:r>
              <w:rPr>
                <w:spacing w:val="-2"/>
                <w:szCs w:val="21"/>
              </w:rPr>
              <w:t>厂区外</w:t>
            </w:r>
            <w:r>
              <w:rPr>
                <w:spacing w:val="-1"/>
                <w:szCs w:val="21"/>
              </w:rPr>
              <w:t>部影响：无</w:t>
            </w:r>
          </w:p>
        </w:tc>
      </w:tr>
      <w:tr w14:paraId="0381BD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11ABAF2D">
            <w:pPr>
              <w:spacing w:before="199" w:line="219" w:lineRule="auto"/>
              <w:ind w:left="118"/>
              <w:rPr>
                <w:szCs w:val="21"/>
              </w:rPr>
            </w:pPr>
            <w:r>
              <w:rPr>
                <w:spacing w:val="-2"/>
                <w:szCs w:val="21"/>
              </w:rPr>
              <w:t>德</w:t>
            </w:r>
            <w:r>
              <w:rPr>
                <w:spacing w:val="-1"/>
                <w:szCs w:val="21"/>
              </w:rPr>
              <w:t>邦：煤气压缩机房</w:t>
            </w:r>
          </w:p>
        </w:tc>
        <w:tc>
          <w:tcPr>
            <w:tcW w:w="1895" w:type="dxa"/>
            <w:vMerge w:val="restart"/>
          </w:tcPr>
          <w:p w14:paraId="27E9FB75">
            <w:pPr>
              <w:spacing w:before="199" w:line="220" w:lineRule="auto"/>
              <w:ind w:left="212"/>
              <w:rPr>
                <w:szCs w:val="21"/>
              </w:rPr>
            </w:pPr>
            <w:r>
              <w:rPr>
                <w:spacing w:val="-2"/>
                <w:szCs w:val="21"/>
              </w:rPr>
              <w:t>管道完全破裂</w:t>
            </w:r>
          </w:p>
        </w:tc>
        <w:tc>
          <w:tcPr>
            <w:tcW w:w="1175" w:type="dxa"/>
            <w:vMerge w:val="restart"/>
          </w:tcPr>
          <w:p w14:paraId="0C2A9F04">
            <w:pPr>
              <w:spacing w:before="200" w:line="218" w:lineRule="auto"/>
              <w:ind w:left="337"/>
              <w:rPr>
                <w:szCs w:val="21"/>
              </w:rPr>
            </w:pPr>
            <w:r>
              <w:rPr>
                <w:spacing w:val="-4"/>
                <w:szCs w:val="21"/>
              </w:rPr>
              <w:t>云爆</w:t>
            </w:r>
          </w:p>
        </w:tc>
        <w:tc>
          <w:tcPr>
            <w:tcW w:w="933" w:type="dxa"/>
            <w:vMerge w:val="restart"/>
          </w:tcPr>
          <w:p w14:paraId="6F80AD9A">
            <w:pPr>
              <w:spacing w:before="240" w:line="183" w:lineRule="auto"/>
              <w:ind w:left="384"/>
              <w:rPr>
                <w:szCs w:val="21"/>
              </w:rPr>
            </w:pPr>
            <w:r>
              <w:rPr>
                <w:spacing w:val="-4"/>
                <w:szCs w:val="21"/>
              </w:rPr>
              <w:t>2</w:t>
            </w:r>
            <w:r>
              <w:rPr>
                <w:spacing w:val="-3"/>
                <w:szCs w:val="21"/>
              </w:rPr>
              <w:t>3</w:t>
            </w:r>
          </w:p>
        </w:tc>
        <w:tc>
          <w:tcPr>
            <w:tcW w:w="3023" w:type="dxa"/>
          </w:tcPr>
          <w:p w14:paraId="086CD77B">
            <w:pPr>
              <w:spacing w:before="38" w:line="214" w:lineRule="auto"/>
              <w:ind w:left="118"/>
              <w:rPr>
                <w:szCs w:val="21"/>
              </w:rPr>
            </w:pPr>
            <w:r>
              <w:rPr>
                <w:spacing w:val="-20"/>
                <w:szCs w:val="21"/>
              </w:rPr>
              <w:t>厂</w:t>
            </w:r>
            <w:r>
              <w:rPr>
                <w:spacing w:val="-13"/>
                <w:szCs w:val="21"/>
              </w:rPr>
              <w:t>区内部影响： 相邻的装置</w:t>
            </w:r>
          </w:p>
        </w:tc>
      </w:tr>
      <w:tr w14:paraId="6683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63B7251E">
            <w:pPr>
              <w:spacing w:before="38" w:line="217" w:lineRule="auto"/>
              <w:ind w:left="238"/>
              <w:rPr>
                <w:spacing w:val="-2"/>
                <w:szCs w:val="21"/>
              </w:rPr>
            </w:pPr>
          </w:p>
        </w:tc>
        <w:tc>
          <w:tcPr>
            <w:tcW w:w="1895" w:type="dxa"/>
            <w:vMerge w:val="continue"/>
          </w:tcPr>
          <w:p w14:paraId="171E0D8B">
            <w:pPr>
              <w:spacing w:before="38" w:line="217" w:lineRule="auto"/>
              <w:ind w:left="208"/>
              <w:rPr>
                <w:spacing w:val="-2"/>
                <w:szCs w:val="21"/>
              </w:rPr>
            </w:pPr>
          </w:p>
        </w:tc>
        <w:tc>
          <w:tcPr>
            <w:tcW w:w="1175" w:type="dxa"/>
            <w:vMerge w:val="continue"/>
          </w:tcPr>
          <w:p w14:paraId="1C643421">
            <w:pPr>
              <w:spacing w:before="38" w:line="217" w:lineRule="auto"/>
              <w:ind w:left="337"/>
              <w:rPr>
                <w:spacing w:val="-4"/>
                <w:szCs w:val="21"/>
              </w:rPr>
            </w:pPr>
          </w:p>
        </w:tc>
        <w:tc>
          <w:tcPr>
            <w:tcW w:w="933" w:type="dxa"/>
            <w:vMerge w:val="continue"/>
          </w:tcPr>
          <w:p w14:paraId="1AD05778">
            <w:pPr>
              <w:spacing w:before="78" w:line="183" w:lineRule="auto"/>
              <w:ind w:left="386"/>
              <w:rPr>
                <w:spacing w:val="-5"/>
                <w:szCs w:val="21"/>
              </w:rPr>
            </w:pPr>
          </w:p>
        </w:tc>
        <w:tc>
          <w:tcPr>
            <w:tcW w:w="3023" w:type="dxa"/>
          </w:tcPr>
          <w:p w14:paraId="2EC13F1F">
            <w:pPr>
              <w:spacing w:before="38" w:line="212" w:lineRule="auto"/>
              <w:ind w:left="574"/>
              <w:rPr>
                <w:szCs w:val="21"/>
              </w:rPr>
            </w:pPr>
            <w:r>
              <w:rPr>
                <w:spacing w:val="-2"/>
                <w:szCs w:val="21"/>
              </w:rPr>
              <w:t>厂区外</w:t>
            </w:r>
            <w:r>
              <w:rPr>
                <w:spacing w:val="-1"/>
                <w:szCs w:val="21"/>
              </w:rPr>
              <w:t>部影响：无</w:t>
            </w:r>
          </w:p>
        </w:tc>
      </w:tr>
      <w:tr w14:paraId="054BA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2380" w:type="dxa"/>
            <w:vMerge w:val="restart"/>
          </w:tcPr>
          <w:p w14:paraId="672137A4">
            <w:pPr>
              <w:spacing w:before="199" w:line="219" w:lineRule="auto"/>
              <w:ind w:left="118"/>
              <w:rPr>
                <w:szCs w:val="21"/>
              </w:rPr>
            </w:pPr>
            <w:r>
              <w:rPr>
                <w:spacing w:val="-2"/>
                <w:szCs w:val="21"/>
              </w:rPr>
              <w:t>德</w:t>
            </w:r>
            <w:r>
              <w:rPr>
                <w:spacing w:val="-1"/>
                <w:szCs w:val="21"/>
              </w:rPr>
              <w:t>邦：煤气压缩机房</w:t>
            </w:r>
          </w:p>
        </w:tc>
        <w:tc>
          <w:tcPr>
            <w:tcW w:w="1895" w:type="dxa"/>
            <w:vMerge w:val="restart"/>
          </w:tcPr>
          <w:p w14:paraId="3A656953">
            <w:pPr>
              <w:spacing w:before="200" w:line="220" w:lineRule="auto"/>
              <w:ind w:left="229"/>
              <w:rPr>
                <w:szCs w:val="21"/>
              </w:rPr>
            </w:pPr>
            <w:r>
              <w:rPr>
                <w:spacing w:val="-7"/>
                <w:szCs w:val="21"/>
              </w:rPr>
              <w:t>阀</w:t>
            </w:r>
            <w:r>
              <w:rPr>
                <w:spacing w:val="-4"/>
                <w:szCs w:val="21"/>
              </w:rPr>
              <w:t>门大孔泄漏</w:t>
            </w:r>
          </w:p>
        </w:tc>
        <w:tc>
          <w:tcPr>
            <w:tcW w:w="1175" w:type="dxa"/>
            <w:vMerge w:val="restart"/>
          </w:tcPr>
          <w:p w14:paraId="4C5FF469">
            <w:pPr>
              <w:spacing w:before="200" w:line="218" w:lineRule="auto"/>
              <w:ind w:left="337"/>
              <w:rPr>
                <w:szCs w:val="21"/>
              </w:rPr>
            </w:pPr>
            <w:r>
              <w:rPr>
                <w:spacing w:val="-4"/>
                <w:szCs w:val="21"/>
              </w:rPr>
              <w:t>云爆</w:t>
            </w:r>
          </w:p>
        </w:tc>
        <w:tc>
          <w:tcPr>
            <w:tcW w:w="933" w:type="dxa"/>
            <w:vMerge w:val="restart"/>
          </w:tcPr>
          <w:p w14:paraId="0D78B986">
            <w:pPr>
              <w:spacing w:before="239" w:line="183" w:lineRule="auto"/>
              <w:ind w:left="384"/>
              <w:rPr>
                <w:szCs w:val="21"/>
              </w:rPr>
            </w:pPr>
            <w:r>
              <w:rPr>
                <w:spacing w:val="-4"/>
                <w:szCs w:val="21"/>
              </w:rPr>
              <w:t>2</w:t>
            </w:r>
            <w:r>
              <w:rPr>
                <w:spacing w:val="-3"/>
                <w:szCs w:val="21"/>
              </w:rPr>
              <w:t>3</w:t>
            </w:r>
          </w:p>
        </w:tc>
        <w:tc>
          <w:tcPr>
            <w:tcW w:w="3023" w:type="dxa"/>
          </w:tcPr>
          <w:p w14:paraId="4276CE4E">
            <w:pPr>
              <w:spacing w:before="41" w:line="212" w:lineRule="auto"/>
              <w:ind w:left="118"/>
              <w:rPr>
                <w:szCs w:val="21"/>
              </w:rPr>
            </w:pPr>
            <w:r>
              <w:rPr>
                <w:spacing w:val="-20"/>
                <w:szCs w:val="21"/>
              </w:rPr>
              <w:t>厂</w:t>
            </w:r>
            <w:r>
              <w:rPr>
                <w:spacing w:val="-13"/>
                <w:szCs w:val="21"/>
              </w:rPr>
              <w:t>区内部影响： 相邻的装置</w:t>
            </w:r>
          </w:p>
        </w:tc>
      </w:tr>
      <w:tr w14:paraId="4AE4E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2F7F4963">
            <w:pPr>
              <w:spacing w:before="38" w:line="217" w:lineRule="auto"/>
              <w:ind w:left="238"/>
              <w:rPr>
                <w:spacing w:val="-2"/>
                <w:szCs w:val="21"/>
              </w:rPr>
            </w:pPr>
          </w:p>
        </w:tc>
        <w:tc>
          <w:tcPr>
            <w:tcW w:w="1895" w:type="dxa"/>
            <w:vMerge w:val="continue"/>
          </w:tcPr>
          <w:p w14:paraId="78B9D68C">
            <w:pPr>
              <w:spacing w:before="38" w:line="217" w:lineRule="auto"/>
              <w:ind w:left="208"/>
              <w:rPr>
                <w:spacing w:val="-2"/>
                <w:szCs w:val="21"/>
              </w:rPr>
            </w:pPr>
          </w:p>
        </w:tc>
        <w:tc>
          <w:tcPr>
            <w:tcW w:w="1175" w:type="dxa"/>
            <w:vMerge w:val="continue"/>
          </w:tcPr>
          <w:p w14:paraId="3DDCFF8E">
            <w:pPr>
              <w:spacing w:before="38" w:line="217" w:lineRule="auto"/>
              <w:ind w:left="337"/>
              <w:rPr>
                <w:spacing w:val="-4"/>
                <w:szCs w:val="21"/>
              </w:rPr>
            </w:pPr>
          </w:p>
        </w:tc>
        <w:tc>
          <w:tcPr>
            <w:tcW w:w="933" w:type="dxa"/>
            <w:vMerge w:val="continue"/>
          </w:tcPr>
          <w:p w14:paraId="2856F973">
            <w:pPr>
              <w:spacing w:before="78" w:line="183" w:lineRule="auto"/>
              <w:ind w:left="386"/>
              <w:rPr>
                <w:spacing w:val="-5"/>
                <w:szCs w:val="21"/>
              </w:rPr>
            </w:pPr>
          </w:p>
        </w:tc>
        <w:tc>
          <w:tcPr>
            <w:tcW w:w="3023" w:type="dxa"/>
          </w:tcPr>
          <w:p w14:paraId="51142684">
            <w:pPr>
              <w:spacing w:before="38" w:line="214" w:lineRule="auto"/>
              <w:ind w:left="574"/>
              <w:rPr>
                <w:szCs w:val="21"/>
              </w:rPr>
            </w:pPr>
            <w:r>
              <w:rPr>
                <w:spacing w:val="-2"/>
                <w:szCs w:val="21"/>
              </w:rPr>
              <w:t>厂区外</w:t>
            </w:r>
            <w:r>
              <w:rPr>
                <w:spacing w:val="-1"/>
                <w:szCs w:val="21"/>
              </w:rPr>
              <w:t>部影响：无</w:t>
            </w:r>
          </w:p>
        </w:tc>
      </w:tr>
      <w:tr w14:paraId="07517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4719447D">
            <w:pPr>
              <w:spacing w:before="198" w:line="219" w:lineRule="auto"/>
              <w:ind w:left="118"/>
              <w:rPr>
                <w:szCs w:val="21"/>
              </w:rPr>
            </w:pPr>
            <w:r>
              <w:rPr>
                <w:spacing w:val="-2"/>
                <w:szCs w:val="21"/>
              </w:rPr>
              <w:t>德</w:t>
            </w:r>
            <w:r>
              <w:rPr>
                <w:spacing w:val="-1"/>
                <w:szCs w:val="21"/>
              </w:rPr>
              <w:t>邦：煤气压缩机房</w:t>
            </w:r>
          </w:p>
        </w:tc>
        <w:tc>
          <w:tcPr>
            <w:tcW w:w="1895" w:type="dxa"/>
            <w:vMerge w:val="restart"/>
          </w:tcPr>
          <w:p w14:paraId="64D29085">
            <w:pPr>
              <w:spacing w:before="199" w:line="220" w:lineRule="auto"/>
              <w:ind w:left="229"/>
              <w:rPr>
                <w:szCs w:val="21"/>
              </w:rPr>
            </w:pPr>
            <w:r>
              <w:rPr>
                <w:spacing w:val="-7"/>
                <w:szCs w:val="21"/>
              </w:rPr>
              <w:t>阀</w:t>
            </w:r>
            <w:r>
              <w:rPr>
                <w:spacing w:val="-4"/>
                <w:szCs w:val="21"/>
              </w:rPr>
              <w:t>门中孔泄漏</w:t>
            </w:r>
          </w:p>
        </w:tc>
        <w:tc>
          <w:tcPr>
            <w:tcW w:w="1175" w:type="dxa"/>
            <w:vMerge w:val="restart"/>
          </w:tcPr>
          <w:p w14:paraId="1528D002">
            <w:pPr>
              <w:spacing w:before="199" w:line="218" w:lineRule="auto"/>
              <w:ind w:left="337"/>
              <w:rPr>
                <w:szCs w:val="21"/>
              </w:rPr>
            </w:pPr>
            <w:r>
              <w:rPr>
                <w:spacing w:val="-4"/>
                <w:szCs w:val="21"/>
              </w:rPr>
              <w:t>云爆</w:t>
            </w:r>
          </w:p>
        </w:tc>
        <w:tc>
          <w:tcPr>
            <w:tcW w:w="933" w:type="dxa"/>
            <w:vMerge w:val="restart"/>
          </w:tcPr>
          <w:p w14:paraId="0DF775D8">
            <w:pPr>
              <w:spacing w:before="239" w:line="183" w:lineRule="auto"/>
              <w:ind w:left="384"/>
              <w:rPr>
                <w:szCs w:val="21"/>
              </w:rPr>
            </w:pPr>
            <w:r>
              <w:rPr>
                <w:spacing w:val="-4"/>
                <w:szCs w:val="21"/>
              </w:rPr>
              <w:t>2</w:t>
            </w:r>
            <w:r>
              <w:rPr>
                <w:spacing w:val="-3"/>
                <w:szCs w:val="21"/>
              </w:rPr>
              <w:t>3</w:t>
            </w:r>
          </w:p>
        </w:tc>
        <w:tc>
          <w:tcPr>
            <w:tcW w:w="3023" w:type="dxa"/>
          </w:tcPr>
          <w:p w14:paraId="4BA1C596">
            <w:pPr>
              <w:spacing w:before="37" w:line="214" w:lineRule="auto"/>
              <w:ind w:left="118"/>
              <w:rPr>
                <w:szCs w:val="21"/>
              </w:rPr>
            </w:pPr>
            <w:r>
              <w:rPr>
                <w:spacing w:val="-20"/>
                <w:szCs w:val="21"/>
              </w:rPr>
              <w:t>厂</w:t>
            </w:r>
            <w:r>
              <w:rPr>
                <w:spacing w:val="-13"/>
                <w:szCs w:val="21"/>
              </w:rPr>
              <w:t>区内部影响： 相邻的装置</w:t>
            </w:r>
          </w:p>
        </w:tc>
      </w:tr>
      <w:tr w14:paraId="5A2B4C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2DB69C25">
            <w:pPr>
              <w:spacing w:before="38" w:line="217" w:lineRule="auto"/>
              <w:ind w:left="238"/>
              <w:rPr>
                <w:spacing w:val="-2"/>
                <w:szCs w:val="21"/>
              </w:rPr>
            </w:pPr>
          </w:p>
        </w:tc>
        <w:tc>
          <w:tcPr>
            <w:tcW w:w="1895" w:type="dxa"/>
            <w:vMerge w:val="continue"/>
          </w:tcPr>
          <w:p w14:paraId="62565A77">
            <w:pPr>
              <w:spacing w:before="38" w:line="217" w:lineRule="auto"/>
              <w:ind w:left="208"/>
              <w:rPr>
                <w:spacing w:val="-2"/>
                <w:szCs w:val="21"/>
              </w:rPr>
            </w:pPr>
          </w:p>
        </w:tc>
        <w:tc>
          <w:tcPr>
            <w:tcW w:w="1175" w:type="dxa"/>
            <w:vMerge w:val="continue"/>
          </w:tcPr>
          <w:p w14:paraId="42476721">
            <w:pPr>
              <w:spacing w:before="38" w:line="217" w:lineRule="auto"/>
              <w:ind w:left="337"/>
              <w:rPr>
                <w:spacing w:val="-4"/>
                <w:szCs w:val="21"/>
              </w:rPr>
            </w:pPr>
          </w:p>
        </w:tc>
        <w:tc>
          <w:tcPr>
            <w:tcW w:w="933" w:type="dxa"/>
            <w:vMerge w:val="continue"/>
          </w:tcPr>
          <w:p w14:paraId="7ED0E3C2">
            <w:pPr>
              <w:spacing w:before="78" w:line="183" w:lineRule="auto"/>
              <w:ind w:left="386"/>
              <w:rPr>
                <w:spacing w:val="-5"/>
                <w:szCs w:val="21"/>
              </w:rPr>
            </w:pPr>
          </w:p>
        </w:tc>
        <w:tc>
          <w:tcPr>
            <w:tcW w:w="3023" w:type="dxa"/>
          </w:tcPr>
          <w:p w14:paraId="76A63263">
            <w:pPr>
              <w:spacing w:before="38" w:line="214" w:lineRule="auto"/>
              <w:ind w:left="574"/>
              <w:rPr>
                <w:szCs w:val="21"/>
              </w:rPr>
            </w:pPr>
            <w:r>
              <w:rPr>
                <w:spacing w:val="-2"/>
                <w:szCs w:val="21"/>
              </w:rPr>
              <w:t>厂区外</w:t>
            </w:r>
            <w:r>
              <w:rPr>
                <w:spacing w:val="-1"/>
                <w:szCs w:val="21"/>
              </w:rPr>
              <w:t>部影响：无</w:t>
            </w:r>
          </w:p>
        </w:tc>
      </w:tr>
      <w:tr w14:paraId="51975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2B515F15">
            <w:pPr>
              <w:spacing w:before="199" w:line="219" w:lineRule="auto"/>
              <w:ind w:left="118"/>
              <w:rPr>
                <w:szCs w:val="21"/>
              </w:rPr>
            </w:pPr>
            <w:r>
              <w:rPr>
                <w:spacing w:val="-2"/>
                <w:szCs w:val="21"/>
              </w:rPr>
              <w:t>德</w:t>
            </w:r>
            <w:r>
              <w:rPr>
                <w:spacing w:val="-1"/>
                <w:szCs w:val="21"/>
              </w:rPr>
              <w:t>邦：煤气压缩机房</w:t>
            </w:r>
          </w:p>
        </w:tc>
        <w:tc>
          <w:tcPr>
            <w:tcW w:w="1895" w:type="dxa"/>
            <w:vMerge w:val="restart"/>
          </w:tcPr>
          <w:p w14:paraId="685519BD">
            <w:pPr>
              <w:spacing w:before="199" w:line="221" w:lineRule="auto"/>
              <w:ind w:left="229"/>
              <w:rPr>
                <w:szCs w:val="21"/>
              </w:rPr>
            </w:pPr>
            <w:r>
              <w:rPr>
                <w:spacing w:val="-7"/>
                <w:szCs w:val="21"/>
              </w:rPr>
              <w:t>阀</w:t>
            </w:r>
            <w:r>
              <w:rPr>
                <w:spacing w:val="-4"/>
                <w:szCs w:val="21"/>
              </w:rPr>
              <w:t>门小孔泄漏</w:t>
            </w:r>
          </w:p>
        </w:tc>
        <w:tc>
          <w:tcPr>
            <w:tcW w:w="1175" w:type="dxa"/>
            <w:vMerge w:val="restart"/>
          </w:tcPr>
          <w:p w14:paraId="24485829">
            <w:pPr>
              <w:spacing w:before="199" w:line="218" w:lineRule="auto"/>
              <w:ind w:left="337"/>
              <w:rPr>
                <w:szCs w:val="21"/>
              </w:rPr>
            </w:pPr>
            <w:r>
              <w:rPr>
                <w:spacing w:val="-4"/>
                <w:szCs w:val="21"/>
              </w:rPr>
              <w:t>云爆</w:t>
            </w:r>
          </w:p>
        </w:tc>
        <w:tc>
          <w:tcPr>
            <w:tcW w:w="933" w:type="dxa"/>
            <w:vMerge w:val="restart"/>
          </w:tcPr>
          <w:p w14:paraId="1C1AF4CF">
            <w:pPr>
              <w:spacing w:before="239" w:line="183" w:lineRule="auto"/>
              <w:ind w:left="399"/>
              <w:rPr>
                <w:szCs w:val="21"/>
              </w:rPr>
            </w:pPr>
            <w:r>
              <w:rPr>
                <w:spacing w:val="-8"/>
                <w:szCs w:val="21"/>
              </w:rPr>
              <w:t>1</w:t>
            </w:r>
            <w:r>
              <w:rPr>
                <w:spacing w:val="-6"/>
                <w:szCs w:val="21"/>
              </w:rPr>
              <w:t>7</w:t>
            </w:r>
          </w:p>
        </w:tc>
        <w:tc>
          <w:tcPr>
            <w:tcW w:w="3023" w:type="dxa"/>
          </w:tcPr>
          <w:p w14:paraId="1FE86501">
            <w:pPr>
              <w:spacing w:before="38" w:line="214" w:lineRule="auto"/>
              <w:ind w:left="118"/>
              <w:rPr>
                <w:szCs w:val="21"/>
              </w:rPr>
            </w:pPr>
            <w:r>
              <w:rPr>
                <w:spacing w:val="-22"/>
                <w:szCs w:val="21"/>
              </w:rPr>
              <w:t>厂</w:t>
            </w:r>
            <w:r>
              <w:rPr>
                <w:spacing w:val="-13"/>
                <w:szCs w:val="21"/>
              </w:rPr>
              <w:t>区内部影响： 相邻的装置</w:t>
            </w:r>
          </w:p>
        </w:tc>
      </w:tr>
      <w:tr w14:paraId="54AFD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79324089">
            <w:pPr>
              <w:spacing w:before="38" w:line="217" w:lineRule="auto"/>
              <w:ind w:left="238"/>
              <w:rPr>
                <w:spacing w:val="-2"/>
                <w:szCs w:val="21"/>
              </w:rPr>
            </w:pPr>
          </w:p>
        </w:tc>
        <w:tc>
          <w:tcPr>
            <w:tcW w:w="1895" w:type="dxa"/>
            <w:vMerge w:val="continue"/>
          </w:tcPr>
          <w:p w14:paraId="4AFBF16A">
            <w:pPr>
              <w:spacing w:before="38" w:line="217" w:lineRule="auto"/>
              <w:ind w:left="208"/>
              <w:rPr>
                <w:spacing w:val="-2"/>
                <w:szCs w:val="21"/>
              </w:rPr>
            </w:pPr>
          </w:p>
        </w:tc>
        <w:tc>
          <w:tcPr>
            <w:tcW w:w="1175" w:type="dxa"/>
            <w:vMerge w:val="continue"/>
          </w:tcPr>
          <w:p w14:paraId="0D524242">
            <w:pPr>
              <w:spacing w:before="38" w:line="217" w:lineRule="auto"/>
              <w:ind w:left="337"/>
              <w:rPr>
                <w:spacing w:val="-4"/>
                <w:szCs w:val="21"/>
              </w:rPr>
            </w:pPr>
          </w:p>
        </w:tc>
        <w:tc>
          <w:tcPr>
            <w:tcW w:w="933" w:type="dxa"/>
            <w:vMerge w:val="continue"/>
          </w:tcPr>
          <w:p w14:paraId="06DA4F3B">
            <w:pPr>
              <w:spacing w:before="78" w:line="183" w:lineRule="auto"/>
              <w:ind w:left="386"/>
              <w:rPr>
                <w:spacing w:val="-5"/>
                <w:szCs w:val="21"/>
              </w:rPr>
            </w:pPr>
          </w:p>
        </w:tc>
        <w:tc>
          <w:tcPr>
            <w:tcW w:w="3023" w:type="dxa"/>
          </w:tcPr>
          <w:p w14:paraId="73C8DDA1">
            <w:pPr>
              <w:spacing w:before="37" w:line="214" w:lineRule="auto"/>
              <w:ind w:left="574"/>
              <w:rPr>
                <w:szCs w:val="21"/>
              </w:rPr>
            </w:pPr>
            <w:r>
              <w:rPr>
                <w:spacing w:val="-2"/>
                <w:szCs w:val="21"/>
              </w:rPr>
              <w:t>厂区外</w:t>
            </w:r>
            <w:r>
              <w:rPr>
                <w:spacing w:val="-1"/>
                <w:szCs w:val="21"/>
              </w:rPr>
              <w:t>部影响：无</w:t>
            </w:r>
          </w:p>
        </w:tc>
      </w:tr>
      <w:tr w14:paraId="1471C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5A559944">
            <w:pPr>
              <w:spacing w:before="200" w:line="217" w:lineRule="auto"/>
              <w:ind w:left="238"/>
              <w:rPr>
                <w:szCs w:val="21"/>
              </w:rPr>
            </w:pPr>
            <w:r>
              <w:rPr>
                <w:spacing w:val="-2"/>
                <w:szCs w:val="21"/>
              </w:rPr>
              <w:t>德邦</w:t>
            </w:r>
            <w:r>
              <w:rPr>
                <w:spacing w:val="-1"/>
                <w:szCs w:val="21"/>
              </w:rPr>
              <w:t>：合成氨装置</w:t>
            </w:r>
          </w:p>
        </w:tc>
        <w:tc>
          <w:tcPr>
            <w:tcW w:w="1895" w:type="dxa"/>
            <w:vMerge w:val="restart"/>
          </w:tcPr>
          <w:p w14:paraId="42F13F21">
            <w:pPr>
              <w:spacing w:before="199" w:line="221" w:lineRule="auto"/>
              <w:ind w:left="229"/>
              <w:rPr>
                <w:szCs w:val="21"/>
              </w:rPr>
            </w:pPr>
            <w:r>
              <w:rPr>
                <w:spacing w:val="-7"/>
                <w:szCs w:val="21"/>
              </w:rPr>
              <w:t>阀</w:t>
            </w:r>
            <w:r>
              <w:rPr>
                <w:spacing w:val="-4"/>
                <w:szCs w:val="21"/>
              </w:rPr>
              <w:t>门小孔泄漏</w:t>
            </w:r>
          </w:p>
        </w:tc>
        <w:tc>
          <w:tcPr>
            <w:tcW w:w="1175" w:type="dxa"/>
            <w:vMerge w:val="restart"/>
          </w:tcPr>
          <w:p w14:paraId="7982AF7B">
            <w:pPr>
              <w:spacing w:before="199" w:line="218" w:lineRule="auto"/>
              <w:ind w:left="337"/>
              <w:rPr>
                <w:szCs w:val="21"/>
              </w:rPr>
            </w:pPr>
            <w:r>
              <w:rPr>
                <w:spacing w:val="-4"/>
                <w:szCs w:val="21"/>
              </w:rPr>
              <w:t>云爆</w:t>
            </w:r>
          </w:p>
        </w:tc>
        <w:tc>
          <w:tcPr>
            <w:tcW w:w="933" w:type="dxa"/>
            <w:vMerge w:val="restart"/>
          </w:tcPr>
          <w:p w14:paraId="76D0DAE2">
            <w:pPr>
              <w:spacing w:before="239" w:line="183" w:lineRule="auto"/>
              <w:ind w:left="399"/>
              <w:rPr>
                <w:szCs w:val="21"/>
              </w:rPr>
            </w:pPr>
            <w:r>
              <w:rPr>
                <w:spacing w:val="-8"/>
                <w:szCs w:val="21"/>
              </w:rPr>
              <w:t>1</w:t>
            </w:r>
            <w:r>
              <w:rPr>
                <w:spacing w:val="-6"/>
                <w:szCs w:val="21"/>
              </w:rPr>
              <w:t>6</w:t>
            </w:r>
          </w:p>
        </w:tc>
        <w:tc>
          <w:tcPr>
            <w:tcW w:w="3023" w:type="dxa"/>
          </w:tcPr>
          <w:p w14:paraId="04C1F45B">
            <w:pPr>
              <w:spacing w:before="38" w:line="212" w:lineRule="auto"/>
              <w:ind w:left="118"/>
              <w:rPr>
                <w:szCs w:val="21"/>
              </w:rPr>
            </w:pPr>
            <w:r>
              <w:rPr>
                <w:spacing w:val="-20"/>
                <w:szCs w:val="21"/>
              </w:rPr>
              <w:t>厂</w:t>
            </w:r>
            <w:r>
              <w:rPr>
                <w:spacing w:val="-13"/>
                <w:szCs w:val="21"/>
              </w:rPr>
              <w:t>区内部影响： 相邻的装置</w:t>
            </w:r>
          </w:p>
        </w:tc>
      </w:tr>
      <w:tr w14:paraId="34C77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42A9D801">
            <w:pPr>
              <w:spacing w:before="38" w:line="217" w:lineRule="auto"/>
              <w:ind w:left="238"/>
              <w:rPr>
                <w:spacing w:val="-2"/>
                <w:szCs w:val="21"/>
              </w:rPr>
            </w:pPr>
          </w:p>
        </w:tc>
        <w:tc>
          <w:tcPr>
            <w:tcW w:w="1895" w:type="dxa"/>
            <w:vMerge w:val="continue"/>
          </w:tcPr>
          <w:p w14:paraId="6579B38F">
            <w:pPr>
              <w:spacing w:before="38" w:line="217" w:lineRule="auto"/>
              <w:ind w:left="208"/>
              <w:rPr>
                <w:spacing w:val="-2"/>
                <w:szCs w:val="21"/>
              </w:rPr>
            </w:pPr>
          </w:p>
        </w:tc>
        <w:tc>
          <w:tcPr>
            <w:tcW w:w="1175" w:type="dxa"/>
            <w:vMerge w:val="continue"/>
          </w:tcPr>
          <w:p w14:paraId="25B5D8C9">
            <w:pPr>
              <w:spacing w:before="38" w:line="217" w:lineRule="auto"/>
              <w:ind w:left="337"/>
              <w:rPr>
                <w:spacing w:val="-4"/>
                <w:szCs w:val="21"/>
              </w:rPr>
            </w:pPr>
          </w:p>
        </w:tc>
        <w:tc>
          <w:tcPr>
            <w:tcW w:w="933" w:type="dxa"/>
            <w:vMerge w:val="continue"/>
          </w:tcPr>
          <w:p w14:paraId="66EAA7C2">
            <w:pPr>
              <w:spacing w:before="78" w:line="183" w:lineRule="auto"/>
              <w:ind w:left="386"/>
              <w:rPr>
                <w:spacing w:val="-5"/>
                <w:szCs w:val="21"/>
              </w:rPr>
            </w:pPr>
          </w:p>
        </w:tc>
        <w:tc>
          <w:tcPr>
            <w:tcW w:w="3023" w:type="dxa"/>
          </w:tcPr>
          <w:p w14:paraId="53726BB8">
            <w:pPr>
              <w:spacing w:before="41" w:line="211" w:lineRule="auto"/>
              <w:ind w:left="574"/>
              <w:rPr>
                <w:szCs w:val="21"/>
              </w:rPr>
            </w:pPr>
            <w:r>
              <w:rPr>
                <w:spacing w:val="-2"/>
                <w:szCs w:val="21"/>
              </w:rPr>
              <w:t>厂区外</w:t>
            </w:r>
            <w:r>
              <w:rPr>
                <w:spacing w:val="-1"/>
                <w:szCs w:val="21"/>
              </w:rPr>
              <w:t>部影响：无</w:t>
            </w:r>
          </w:p>
        </w:tc>
      </w:tr>
      <w:tr w14:paraId="71A09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restart"/>
          </w:tcPr>
          <w:p w14:paraId="417D9A16">
            <w:pPr>
              <w:spacing w:before="199" w:line="220" w:lineRule="auto"/>
              <w:ind w:left="118"/>
              <w:rPr>
                <w:spacing w:val="-2"/>
                <w:szCs w:val="21"/>
              </w:rPr>
            </w:pPr>
          </w:p>
          <w:p w14:paraId="01BCC571">
            <w:pPr>
              <w:spacing w:before="199" w:line="220" w:lineRule="auto"/>
              <w:ind w:left="118"/>
              <w:rPr>
                <w:szCs w:val="21"/>
              </w:rPr>
            </w:pPr>
            <w:r>
              <w:rPr>
                <w:spacing w:val="-2"/>
                <w:szCs w:val="21"/>
              </w:rPr>
              <w:t>德</w:t>
            </w:r>
            <w:r>
              <w:rPr>
                <w:spacing w:val="-1"/>
                <w:szCs w:val="21"/>
              </w:rPr>
              <w:t>邦：甲醇中间储罐</w:t>
            </w:r>
          </w:p>
        </w:tc>
        <w:tc>
          <w:tcPr>
            <w:tcW w:w="1895" w:type="dxa"/>
            <w:vMerge w:val="restart"/>
          </w:tcPr>
          <w:p w14:paraId="60AC6E76">
            <w:pPr>
              <w:spacing w:before="200" w:line="218" w:lineRule="auto"/>
              <w:ind w:left="210"/>
              <w:rPr>
                <w:spacing w:val="-2"/>
                <w:szCs w:val="21"/>
              </w:rPr>
            </w:pPr>
          </w:p>
          <w:p w14:paraId="577EF4A7">
            <w:pPr>
              <w:spacing w:before="200" w:line="218" w:lineRule="auto"/>
              <w:ind w:left="210"/>
              <w:rPr>
                <w:szCs w:val="21"/>
              </w:rPr>
            </w:pPr>
            <w:r>
              <w:rPr>
                <w:spacing w:val="-2"/>
                <w:szCs w:val="21"/>
              </w:rPr>
              <w:t>容器物理爆</w:t>
            </w:r>
            <w:r>
              <w:rPr>
                <w:spacing w:val="-1"/>
                <w:szCs w:val="21"/>
              </w:rPr>
              <w:t>炸</w:t>
            </w:r>
          </w:p>
        </w:tc>
        <w:tc>
          <w:tcPr>
            <w:tcW w:w="1175" w:type="dxa"/>
            <w:vMerge w:val="restart"/>
          </w:tcPr>
          <w:p w14:paraId="0F390185">
            <w:pPr>
              <w:spacing w:before="43" w:line="230" w:lineRule="auto"/>
              <w:ind w:left="452" w:right="208" w:hanging="242"/>
              <w:rPr>
                <w:spacing w:val="-4"/>
                <w:szCs w:val="21"/>
              </w:rPr>
            </w:pPr>
          </w:p>
          <w:p w14:paraId="67CAF707">
            <w:pPr>
              <w:spacing w:before="43" w:line="230" w:lineRule="auto"/>
              <w:ind w:left="452" w:right="208" w:hanging="242"/>
              <w:rPr>
                <w:szCs w:val="21"/>
              </w:rPr>
            </w:pPr>
            <w:r>
              <w:rPr>
                <w:spacing w:val="-4"/>
                <w:szCs w:val="21"/>
              </w:rPr>
              <w:t>物</w:t>
            </w:r>
            <w:r>
              <w:rPr>
                <w:spacing w:val="-3"/>
                <w:szCs w:val="21"/>
              </w:rPr>
              <w:t>理爆</w:t>
            </w:r>
            <w:r>
              <w:rPr>
                <w:szCs w:val="21"/>
              </w:rPr>
              <w:t xml:space="preserve"> 炸</w:t>
            </w:r>
          </w:p>
        </w:tc>
        <w:tc>
          <w:tcPr>
            <w:tcW w:w="933" w:type="dxa"/>
            <w:vMerge w:val="restart"/>
          </w:tcPr>
          <w:p w14:paraId="5893F0CC">
            <w:pPr>
              <w:spacing w:before="240" w:line="183" w:lineRule="auto"/>
              <w:ind w:left="399"/>
              <w:rPr>
                <w:spacing w:val="-8"/>
                <w:szCs w:val="21"/>
              </w:rPr>
            </w:pPr>
          </w:p>
          <w:p w14:paraId="60009344">
            <w:pPr>
              <w:spacing w:before="240" w:line="183" w:lineRule="auto"/>
              <w:ind w:left="399"/>
              <w:rPr>
                <w:szCs w:val="21"/>
              </w:rPr>
            </w:pPr>
            <w:r>
              <w:rPr>
                <w:spacing w:val="-8"/>
                <w:szCs w:val="21"/>
              </w:rPr>
              <w:t>1</w:t>
            </w:r>
            <w:r>
              <w:rPr>
                <w:spacing w:val="-6"/>
                <w:szCs w:val="21"/>
              </w:rPr>
              <w:t>3</w:t>
            </w:r>
          </w:p>
        </w:tc>
        <w:tc>
          <w:tcPr>
            <w:tcW w:w="3023" w:type="dxa"/>
          </w:tcPr>
          <w:p w14:paraId="3A1C96DB">
            <w:pPr>
              <w:spacing w:before="40" w:line="213" w:lineRule="auto"/>
              <w:ind w:left="118"/>
              <w:rPr>
                <w:spacing w:val="-20"/>
                <w:szCs w:val="21"/>
              </w:rPr>
            </w:pPr>
          </w:p>
          <w:p w14:paraId="2FB7D3AA">
            <w:pPr>
              <w:spacing w:before="40" w:line="213" w:lineRule="auto"/>
              <w:ind w:left="118"/>
              <w:rPr>
                <w:szCs w:val="21"/>
              </w:rPr>
            </w:pPr>
            <w:r>
              <w:rPr>
                <w:spacing w:val="-20"/>
                <w:szCs w:val="21"/>
              </w:rPr>
              <w:t>厂</w:t>
            </w:r>
            <w:r>
              <w:rPr>
                <w:spacing w:val="-13"/>
                <w:szCs w:val="21"/>
              </w:rPr>
              <w:t>区内部影响：相邻的装置</w:t>
            </w:r>
          </w:p>
        </w:tc>
      </w:tr>
      <w:tr w14:paraId="5EEE6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2380" w:type="dxa"/>
            <w:vMerge w:val="continue"/>
          </w:tcPr>
          <w:p w14:paraId="27F7AB85">
            <w:pPr>
              <w:spacing w:before="38" w:line="217" w:lineRule="auto"/>
              <w:ind w:left="238"/>
              <w:rPr>
                <w:spacing w:val="-2"/>
                <w:szCs w:val="21"/>
              </w:rPr>
            </w:pPr>
          </w:p>
        </w:tc>
        <w:tc>
          <w:tcPr>
            <w:tcW w:w="1895" w:type="dxa"/>
            <w:vMerge w:val="continue"/>
          </w:tcPr>
          <w:p w14:paraId="7D562F92">
            <w:pPr>
              <w:spacing w:before="38" w:line="217" w:lineRule="auto"/>
              <w:ind w:left="208"/>
              <w:rPr>
                <w:spacing w:val="-2"/>
                <w:szCs w:val="21"/>
              </w:rPr>
            </w:pPr>
          </w:p>
        </w:tc>
        <w:tc>
          <w:tcPr>
            <w:tcW w:w="1175" w:type="dxa"/>
            <w:vMerge w:val="continue"/>
          </w:tcPr>
          <w:p w14:paraId="73DF6032">
            <w:pPr>
              <w:spacing w:before="38" w:line="217" w:lineRule="auto"/>
              <w:ind w:left="337"/>
              <w:rPr>
                <w:spacing w:val="-4"/>
                <w:szCs w:val="21"/>
              </w:rPr>
            </w:pPr>
          </w:p>
        </w:tc>
        <w:tc>
          <w:tcPr>
            <w:tcW w:w="933" w:type="dxa"/>
            <w:vMerge w:val="continue"/>
          </w:tcPr>
          <w:p w14:paraId="0383DF16">
            <w:pPr>
              <w:spacing w:before="78" w:line="183" w:lineRule="auto"/>
              <w:ind w:left="386"/>
              <w:rPr>
                <w:spacing w:val="-5"/>
                <w:szCs w:val="21"/>
              </w:rPr>
            </w:pPr>
          </w:p>
        </w:tc>
        <w:tc>
          <w:tcPr>
            <w:tcW w:w="3023" w:type="dxa"/>
          </w:tcPr>
          <w:p w14:paraId="777163E7">
            <w:pPr>
              <w:spacing w:before="39" w:line="217" w:lineRule="auto"/>
              <w:ind w:left="574"/>
              <w:rPr>
                <w:szCs w:val="21"/>
              </w:rPr>
            </w:pPr>
            <w:r>
              <w:rPr>
                <w:spacing w:val="-2"/>
                <w:szCs w:val="21"/>
              </w:rPr>
              <w:t>厂区外</w:t>
            </w:r>
            <w:r>
              <w:rPr>
                <w:spacing w:val="-1"/>
                <w:szCs w:val="21"/>
              </w:rPr>
              <w:t>部影响：无</w:t>
            </w:r>
          </w:p>
        </w:tc>
      </w:tr>
    </w:tbl>
    <w:p w14:paraId="08CDE7F5">
      <w:pPr>
        <w:spacing w:line="360" w:lineRule="auto"/>
        <w:rPr>
          <w:rFonts w:eastAsia="黑体"/>
          <w:sz w:val="24"/>
          <w:szCs w:val="24"/>
        </w:rPr>
      </w:pPr>
      <w:r>
        <w:rPr>
          <w:spacing w:val="-1"/>
          <w:sz w:val="24"/>
          <w:szCs w:val="24"/>
        </w:rPr>
        <w:t>9.4</w:t>
      </w:r>
      <w:r>
        <w:rPr>
          <w:rFonts w:eastAsia="Times New Roman"/>
          <w:spacing w:val="-1"/>
          <w:sz w:val="24"/>
          <w:szCs w:val="24"/>
        </w:rPr>
        <w:t xml:space="preserve">.5 </w:t>
      </w:r>
      <w:r>
        <w:rPr>
          <w:rFonts w:eastAsia="黑体"/>
          <w:spacing w:val="-1"/>
          <w:sz w:val="24"/>
          <w:szCs w:val="24"/>
        </w:rPr>
        <w:t>化工园区</w:t>
      </w:r>
      <w:r>
        <w:rPr>
          <w:rFonts w:eastAsia="黑体"/>
          <w:sz w:val="24"/>
          <w:szCs w:val="24"/>
        </w:rPr>
        <w:t>外部防护距离计算</w:t>
      </w:r>
    </w:p>
    <w:p w14:paraId="1368634D">
      <w:pPr>
        <w:spacing w:before="269" w:line="400" w:lineRule="auto"/>
        <w:ind w:left="147" w:right="409" w:firstLine="592"/>
        <w:rPr>
          <w:sz w:val="24"/>
          <w:szCs w:val="24"/>
        </w:rPr>
      </w:pPr>
      <w:r>
        <w:rPr>
          <w:spacing w:val="26"/>
          <w:sz w:val="24"/>
          <w:szCs w:val="24"/>
        </w:rPr>
        <w:t>根</w:t>
      </w:r>
      <w:r>
        <w:rPr>
          <w:spacing w:val="21"/>
          <w:sz w:val="24"/>
          <w:szCs w:val="24"/>
        </w:rPr>
        <w:t>据</w:t>
      </w:r>
      <w:r>
        <w:rPr>
          <w:spacing w:val="13"/>
          <w:sz w:val="24"/>
          <w:szCs w:val="24"/>
        </w:rPr>
        <w:t>《淮南经开区化工园区安全风险评估模拟计算》(北京中矿</w:t>
      </w:r>
      <w:r>
        <w:rPr>
          <w:spacing w:val="8"/>
          <w:sz w:val="24"/>
          <w:szCs w:val="24"/>
        </w:rPr>
        <w:t>基业安</w:t>
      </w:r>
      <w:r>
        <w:rPr>
          <w:spacing w:val="6"/>
          <w:sz w:val="24"/>
          <w:szCs w:val="24"/>
        </w:rPr>
        <w:t>全</w:t>
      </w:r>
      <w:r>
        <w:rPr>
          <w:spacing w:val="4"/>
          <w:sz w:val="24"/>
          <w:szCs w:val="24"/>
        </w:rPr>
        <w:t>防范技术有限公司)</w:t>
      </w:r>
      <w:r>
        <w:rPr>
          <w:sz w:val="24"/>
          <w:szCs w:val="24"/>
        </w:rPr>
        <w:t>区块一和区块二</w:t>
      </w:r>
      <w:r>
        <w:rPr>
          <w:spacing w:val="-2"/>
          <w:sz w:val="24"/>
          <w:szCs w:val="24"/>
        </w:rPr>
        <w:t>基于个人风险确定的外部防护距离结果如下。</w:t>
      </w:r>
    </w:p>
    <w:p w14:paraId="47E45333">
      <w:pPr>
        <w:spacing w:before="270" w:line="402" w:lineRule="auto"/>
        <w:ind w:left="147" w:right="393" w:firstLine="562"/>
        <w:jc w:val="left"/>
        <w:rPr>
          <w:szCs w:val="28"/>
        </w:rPr>
      </w:pPr>
      <w:r>
        <w:rPr>
          <w:position w:val="-126"/>
        </w:rPr>
        <w:drawing>
          <wp:inline distT="0" distB="0" distL="0" distR="0">
            <wp:extent cx="4975225" cy="3817620"/>
            <wp:effectExtent l="0" t="0" r="15875" b="11430"/>
            <wp:docPr id="5" name="IM 3"/>
            <wp:cNvGraphicFramePr/>
            <a:graphic xmlns:a="http://schemas.openxmlformats.org/drawingml/2006/main">
              <a:graphicData uri="http://schemas.openxmlformats.org/drawingml/2006/picture">
                <pic:pic xmlns:pic="http://schemas.openxmlformats.org/drawingml/2006/picture">
                  <pic:nvPicPr>
                    <pic:cNvPr id="5" name="IM 3"/>
                    <pic:cNvPicPr/>
                  </pic:nvPicPr>
                  <pic:blipFill>
                    <a:blip r:embed="rId38"/>
                    <a:stretch>
                      <a:fillRect/>
                    </a:stretch>
                  </pic:blipFill>
                  <pic:spPr>
                    <a:xfrm>
                      <a:off x="0" y="0"/>
                      <a:ext cx="4975225" cy="3817620"/>
                    </a:xfrm>
                    <a:prstGeom prst="rect">
                      <a:avLst/>
                    </a:prstGeom>
                  </pic:spPr>
                </pic:pic>
              </a:graphicData>
            </a:graphic>
          </wp:inline>
        </w:drawing>
      </w:r>
    </w:p>
    <w:p w14:paraId="657511F6">
      <w:pPr>
        <w:spacing w:before="78" w:line="220" w:lineRule="auto"/>
        <w:ind w:left="2106"/>
        <w:rPr>
          <w:szCs w:val="21"/>
        </w:rPr>
      </w:pPr>
      <w:r>
        <w:rPr>
          <w:spacing w:val="26"/>
          <w:szCs w:val="21"/>
        </w:rPr>
        <w:t>图</w:t>
      </w:r>
      <w:r>
        <w:rPr>
          <w:spacing w:val="19"/>
          <w:szCs w:val="21"/>
        </w:rPr>
        <w:t>9.4</w:t>
      </w:r>
      <w:r>
        <w:rPr>
          <w:rFonts w:eastAsia="Calibri"/>
          <w:spacing w:val="13"/>
          <w:szCs w:val="21"/>
        </w:rPr>
        <w:t>-8</w:t>
      </w:r>
      <w:r>
        <w:rPr>
          <w:spacing w:val="13"/>
          <w:szCs w:val="21"/>
        </w:rPr>
        <w:t>、区块一外部防护距离结果图</w:t>
      </w:r>
    </w:p>
    <w:p w14:paraId="722720AD">
      <w:pPr>
        <w:pStyle w:val="12"/>
        <w:spacing w:beforeLines="50" w:afterLines="50" w:line="360" w:lineRule="auto"/>
        <w:ind w:firstLine="0"/>
        <w:jc w:val="left"/>
        <w:rPr>
          <w:spacing w:val="-3"/>
          <w:szCs w:val="21"/>
        </w:rPr>
      </w:pPr>
      <w:r>
        <w:rPr>
          <w:position w:val="-116"/>
        </w:rPr>
        <w:drawing>
          <wp:inline distT="0" distB="0" distL="0" distR="0">
            <wp:extent cx="5831840" cy="3692525"/>
            <wp:effectExtent l="0" t="0" r="16510" b="3175"/>
            <wp:docPr id="14" name="IM 4"/>
            <wp:cNvGraphicFramePr/>
            <a:graphic xmlns:a="http://schemas.openxmlformats.org/drawingml/2006/main">
              <a:graphicData uri="http://schemas.openxmlformats.org/drawingml/2006/picture">
                <pic:pic xmlns:pic="http://schemas.openxmlformats.org/drawingml/2006/picture">
                  <pic:nvPicPr>
                    <pic:cNvPr id="14" name="IM 4"/>
                    <pic:cNvPicPr/>
                  </pic:nvPicPr>
                  <pic:blipFill>
                    <a:blip r:embed="rId39"/>
                    <a:stretch>
                      <a:fillRect/>
                    </a:stretch>
                  </pic:blipFill>
                  <pic:spPr>
                    <a:xfrm>
                      <a:off x="0" y="0"/>
                      <a:ext cx="5831840" cy="3693159"/>
                    </a:xfrm>
                    <a:prstGeom prst="rect">
                      <a:avLst/>
                    </a:prstGeom>
                  </pic:spPr>
                </pic:pic>
              </a:graphicData>
            </a:graphic>
          </wp:inline>
        </w:drawing>
      </w:r>
    </w:p>
    <w:p w14:paraId="2CE416DD">
      <w:pPr>
        <w:spacing w:before="183" w:line="220" w:lineRule="auto"/>
        <w:ind w:left="2106"/>
        <w:rPr>
          <w:szCs w:val="21"/>
        </w:rPr>
      </w:pPr>
      <w:r>
        <w:rPr>
          <w:spacing w:val="26"/>
          <w:szCs w:val="21"/>
        </w:rPr>
        <w:t>图</w:t>
      </w:r>
      <w:r>
        <w:rPr>
          <w:spacing w:val="19"/>
          <w:szCs w:val="21"/>
        </w:rPr>
        <w:t>9.4</w:t>
      </w:r>
      <w:r>
        <w:rPr>
          <w:rFonts w:eastAsia="Calibri"/>
          <w:spacing w:val="13"/>
          <w:szCs w:val="21"/>
        </w:rPr>
        <w:t>-9</w:t>
      </w:r>
      <w:r>
        <w:rPr>
          <w:spacing w:val="13"/>
          <w:szCs w:val="21"/>
        </w:rPr>
        <w:t>、区块二外部防护距离结果图</w:t>
      </w:r>
    </w:p>
    <w:p w14:paraId="4B1E7A73">
      <w:pPr>
        <w:spacing w:before="91" w:line="220" w:lineRule="auto"/>
        <w:ind w:left="791"/>
        <w:rPr>
          <w:spacing w:val="-5"/>
          <w:sz w:val="24"/>
          <w:szCs w:val="24"/>
        </w:rPr>
      </w:pPr>
      <w:r>
        <w:rPr>
          <w:spacing w:val="13"/>
          <w:sz w:val="24"/>
          <w:szCs w:val="24"/>
        </w:rPr>
        <w:t>区块一、区块二</w:t>
      </w:r>
      <w:r>
        <w:rPr>
          <w:spacing w:val="5"/>
          <w:sz w:val="24"/>
          <w:szCs w:val="24"/>
        </w:rPr>
        <w:t>的外部防护距离汇总结果</w:t>
      </w:r>
      <w:r>
        <w:rPr>
          <w:spacing w:val="-8"/>
          <w:sz w:val="24"/>
          <w:szCs w:val="24"/>
        </w:rPr>
        <w:t>如</w:t>
      </w:r>
      <w:r>
        <w:rPr>
          <w:spacing w:val="-5"/>
          <w:sz w:val="24"/>
          <w:szCs w:val="24"/>
        </w:rPr>
        <w:t>下表所示。</w:t>
      </w:r>
    </w:p>
    <w:p w14:paraId="31144E13">
      <w:pPr>
        <w:spacing w:before="62" w:line="212" w:lineRule="auto"/>
        <w:rPr>
          <w:spacing w:val="-4"/>
          <w:szCs w:val="21"/>
        </w:rPr>
      </w:pPr>
    </w:p>
    <w:p w14:paraId="50155108">
      <w:pPr>
        <w:spacing w:before="62" w:line="212" w:lineRule="auto"/>
        <w:ind w:left="2593"/>
        <w:rPr>
          <w:szCs w:val="21"/>
        </w:rPr>
      </w:pPr>
      <w:r>
        <w:rPr>
          <w:spacing w:val="-4"/>
          <w:szCs w:val="21"/>
        </w:rPr>
        <w:t>表9.4-</w:t>
      </w:r>
      <w:r>
        <w:rPr>
          <w:rFonts w:eastAsia="Calibri"/>
          <w:spacing w:val="-4"/>
          <w:szCs w:val="21"/>
        </w:rPr>
        <w:t xml:space="preserve">4 </w:t>
      </w:r>
      <w:r>
        <w:rPr>
          <w:spacing w:val="-3"/>
          <w:szCs w:val="21"/>
        </w:rPr>
        <w:t>化工园区</w:t>
      </w:r>
      <w:r>
        <w:rPr>
          <w:spacing w:val="-2"/>
          <w:szCs w:val="21"/>
        </w:rPr>
        <w:t>外部防护距离计算结果</w:t>
      </w:r>
    </w:p>
    <w:p w14:paraId="076F881E">
      <w:pPr>
        <w:pStyle w:val="12"/>
      </w:pPr>
    </w:p>
    <w:tbl>
      <w:tblPr>
        <w:tblStyle w:val="58"/>
        <w:tblW w:w="94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0"/>
        <w:gridCol w:w="588"/>
        <w:gridCol w:w="1764"/>
        <w:gridCol w:w="1528"/>
        <w:gridCol w:w="1605"/>
        <w:gridCol w:w="1955"/>
        <w:gridCol w:w="1494"/>
      </w:tblGrid>
      <w:tr w14:paraId="715B1D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70" w:type="dxa"/>
            <w:tcBorders>
              <w:tl2br w:val="nil"/>
              <w:tr2bl w:val="nil"/>
            </w:tcBorders>
            <w:textDirection w:val="tbRlV"/>
          </w:tcPr>
          <w:p w14:paraId="6E856903">
            <w:pPr>
              <w:spacing w:before="126" w:line="211" w:lineRule="auto"/>
              <w:ind w:left="53"/>
              <w:rPr>
                <w:szCs w:val="21"/>
              </w:rPr>
            </w:pPr>
            <w:r>
              <w:rPr>
                <w:spacing w:val="-1"/>
                <w:szCs w:val="21"/>
              </w:rPr>
              <w:t xml:space="preserve">序 </w:t>
            </w:r>
            <w:r>
              <w:rPr>
                <w:szCs w:val="21"/>
              </w:rPr>
              <w:t>号</w:t>
            </w:r>
          </w:p>
        </w:tc>
        <w:tc>
          <w:tcPr>
            <w:tcW w:w="588" w:type="dxa"/>
            <w:tcBorders>
              <w:tl2br w:val="nil"/>
              <w:tr2bl w:val="nil"/>
            </w:tcBorders>
            <w:textDirection w:val="tbRlV"/>
          </w:tcPr>
          <w:p w14:paraId="57098BE4">
            <w:pPr>
              <w:spacing w:before="186" w:line="210" w:lineRule="auto"/>
              <w:ind w:left="53"/>
              <w:rPr>
                <w:szCs w:val="21"/>
              </w:rPr>
            </w:pPr>
            <w:r>
              <w:rPr>
                <w:spacing w:val="-1"/>
                <w:szCs w:val="21"/>
              </w:rPr>
              <w:t xml:space="preserve">方 </w:t>
            </w:r>
            <w:r>
              <w:rPr>
                <w:szCs w:val="21"/>
              </w:rPr>
              <w:t>位</w:t>
            </w:r>
          </w:p>
        </w:tc>
        <w:tc>
          <w:tcPr>
            <w:tcW w:w="1764" w:type="dxa"/>
            <w:tcBorders>
              <w:tl2br w:val="nil"/>
              <w:tr2bl w:val="nil"/>
            </w:tcBorders>
          </w:tcPr>
          <w:p w14:paraId="7846A824">
            <w:pPr>
              <w:spacing w:before="53" w:line="248" w:lineRule="auto"/>
              <w:ind w:left="512" w:right="141" w:hanging="366"/>
              <w:rPr>
                <w:szCs w:val="21"/>
              </w:rPr>
            </w:pPr>
            <w:r>
              <w:rPr>
                <w:spacing w:val="-1"/>
                <w:szCs w:val="21"/>
              </w:rPr>
              <w:t>外部安全防</w:t>
            </w:r>
            <w:r>
              <w:rPr>
                <w:szCs w:val="21"/>
              </w:rPr>
              <w:t xml:space="preserve">护距 </w:t>
            </w:r>
            <w:r>
              <w:rPr>
                <w:spacing w:val="32"/>
                <w:szCs w:val="21"/>
              </w:rPr>
              <w:t>离(</w:t>
            </w:r>
            <w:r>
              <w:rPr>
                <w:szCs w:val="21"/>
              </w:rPr>
              <w:t>m</w:t>
            </w:r>
            <w:r>
              <w:rPr>
                <w:spacing w:val="32"/>
                <w:szCs w:val="21"/>
              </w:rPr>
              <w:t>)</w:t>
            </w:r>
          </w:p>
        </w:tc>
        <w:tc>
          <w:tcPr>
            <w:tcW w:w="1528" w:type="dxa"/>
            <w:tcBorders>
              <w:tl2br w:val="nil"/>
              <w:tr2bl w:val="nil"/>
            </w:tcBorders>
          </w:tcPr>
          <w:p w14:paraId="56686FDC">
            <w:pPr>
              <w:spacing w:before="209" w:line="220" w:lineRule="auto"/>
              <w:ind w:left="552"/>
              <w:rPr>
                <w:szCs w:val="21"/>
              </w:rPr>
            </w:pPr>
            <w:r>
              <w:rPr>
                <w:spacing w:val="-2"/>
                <w:szCs w:val="21"/>
              </w:rPr>
              <w:t>依据</w:t>
            </w:r>
          </w:p>
        </w:tc>
        <w:tc>
          <w:tcPr>
            <w:tcW w:w="1605" w:type="dxa"/>
            <w:tcBorders>
              <w:tl2br w:val="nil"/>
              <w:tr2bl w:val="nil"/>
            </w:tcBorders>
          </w:tcPr>
          <w:p w14:paraId="5E2B0C07">
            <w:pPr>
              <w:spacing w:before="209" w:line="221" w:lineRule="auto"/>
              <w:ind w:left="280"/>
              <w:rPr>
                <w:szCs w:val="21"/>
              </w:rPr>
            </w:pPr>
            <w:r>
              <w:rPr>
                <w:spacing w:val="-1"/>
                <w:szCs w:val="21"/>
              </w:rPr>
              <w:t>可容许风</w:t>
            </w:r>
            <w:r>
              <w:rPr>
                <w:szCs w:val="21"/>
              </w:rPr>
              <w:t>险</w:t>
            </w:r>
          </w:p>
        </w:tc>
        <w:tc>
          <w:tcPr>
            <w:tcW w:w="1955" w:type="dxa"/>
            <w:tcBorders>
              <w:tl2br w:val="nil"/>
              <w:tr2bl w:val="nil"/>
            </w:tcBorders>
          </w:tcPr>
          <w:p w14:paraId="1782085C">
            <w:pPr>
              <w:spacing w:before="209" w:line="221" w:lineRule="auto"/>
              <w:ind w:left="560"/>
              <w:rPr>
                <w:szCs w:val="21"/>
              </w:rPr>
            </w:pPr>
            <w:r>
              <w:rPr>
                <w:spacing w:val="-1"/>
                <w:szCs w:val="21"/>
              </w:rPr>
              <w:t>检查结</w:t>
            </w:r>
            <w:r>
              <w:rPr>
                <w:szCs w:val="21"/>
              </w:rPr>
              <w:t>果</w:t>
            </w:r>
          </w:p>
        </w:tc>
        <w:tc>
          <w:tcPr>
            <w:tcW w:w="1494" w:type="dxa"/>
            <w:tcBorders>
              <w:tl2br w:val="nil"/>
              <w:tr2bl w:val="nil"/>
            </w:tcBorders>
          </w:tcPr>
          <w:p w14:paraId="7EBB4E97">
            <w:pPr>
              <w:spacing w:before="209" w:line="222" w:lineRule="auto"/>
              <w:ind w:left="540"/>
              <w:rPr>
                <w:szCs w:val="21"/>
              </w:rPr>
            </w:pPr>
            <w:r>
              <w:rPr>
                <w:spacing w:val="-3"/>
                <w:szCs w:val="21"/>
              </w:rPr>
              <w:t>备</w:t>
            </w:r>
            <w:r>
              <w:rPr>
                <w:spacing w:val="-2"/>
                <w:szCs w:val="21"/>
              </w:rPr>
              <w:t>注</w:t>
            </w:r>
          </w:p>
        </w:tc>
      </w:tr>
      <w:tr w14:paraId="6BF29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9404" w:type="dxa"/>
            <w:gridSpan w:val="7"/>
            <w:tcBorders>
              <w:tl2br w:val="nil"/>
              <w:tr2bl w:val="nil"/>
            </w:tcBorders>
          </w:tcPr>
          <w:p w14:paraId="7503833A">
            <w:pPr>
              <w:spacing w:before="127" w:line="221" w:lineRule="auto"/>
              <w:ind w:left="3758"/>
              <w:rPr>
                <w:szCs w:val="21"/>
              </w:rPr>
            </w:pPr>
            <w:r>
              <w:rPr>
                <w:spacing w:val="13"/>
                <w:szCs w:val="21"/>
              </w:rPr>
              <w:t>区块一</w:t>
            </w:r>
          </w:p>
        </w:tc>
      </w:tr>
      <w:tr w14:paraId="5C1D5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restart"/>
            <w:tcBorders>
              <w:tl2br w:val="nil"/>
              <w:tr2bl w:val="nil"/>
            </w:tcBorders>
          </w:tcPr>
          <w:p w14:paraId="0A557DB9">
            <w:pPr>
              <w:spacing w:line="282" w:lineRule="auto"/>
              <w:rPr>
                <w:szCs w:val="21"/>
              </w:rPr>
            </w:pPr>
          </w:p>
          <w:p w14:paraId="4BEA2273">
            <w:pPr>
              <w:spacing w:line="282" w:lineRule="auto"/>
              <w:rPr>
                <w:szCs w:val="21"/>
              </w:rPr>
            </w:pPr>
          </w:p>
          <w:p w14:paraId="217DB930">
            <w:pPr>
              <w:spacing w:line="282" w:lineRule="auto"/>
              <w:rPr>
                <w:szCs w:val="21"/>
              </w:rPr>
            </w:pPr>
          </w:p>
          <w:p w14:paraId="7F77DA8F">
            <w:pPr>
              <w:spacing w:line="283" w:lineRule="auto"/>
              <w:rPr>
                <w:szCs w:val="21"/>
              </w:rPr>
            </w:pPr>
          </w:p>
          <w:p w14:paraId="4280E395">
            <w:pPr>
              <w:spacing w:before="68" w:line="186" w:lineRule="auto"/>
              <w:ind w:left="201"/>
              <w:rPr>
                <w:szCs w:val="21"/>
              </w:rPr>
            </w:pPr>
            <w:r>
              <w:rPr>
                <w:szCs w:val="21"/>
              </w:rPr>
              <w:t>1</w:t>
            </w:r>
          </w:p>
        </w:tc>
        <w:tc>
          <w:tcPr>
            <w:tcW w:w="588" w:type="dxa"/>
            <w:vMerge w:val="restart"/>
            <w:tcBorders>
              <w:tl2br w:val="nil"/>
              <w:tr2bl w:val="nil"/>
            </w:tcBorders>
          </w:tcPr>
          <w:p w14:paraId="01B7432E">
            <w:pPr>
              <w:spacing w:line="273" w:lineRule="auto"/>
              <w:rPr>
                <w:szCs w:val="21"/>
              </w:rPr>
            </w:pPr>
          </w:p>
          <w:p w14:paraId="78908E2D">
            <w:pPr>
              <w:spacing w:line="273" w:lineRule="auto"/>
              <w:rPr>
                <w:szCs w:val="21"/>
              </w:rPr>
            </w:pPr>
          </w:p>
          <w:p w14:paraId="67DF5F96">
            <w:pPr>
              <w:spacing w:line="274" w:lineRule="auto"/>
              <w:rPr>
                <w:szCs w:val="21"/>
              </w:rPr>
            </w:pPr>
          </w:p>
          <w:p w14:paraId="30DA0D14">
            <w:pPr>
              <w:spacing w:line="274" w:lineRule="auto"/>
              <w:rPr>
                <w:szCs w:val="21"/>
              </w:rPr>
            </w:pPr>
          </w:p>
          <w:p w14:paraId="3C390491">
            <w:pPr>
              <w:spacing w:before="69" w:line="223" w:lineRule="auto"/>
              <w:ind w:left="190"/>
              <w:rPr>
                <w:szCs w:val="21"/>
              </w:rPr>
            </w:pPr>
            <w:r>
              <w:rPr>
                <w:szCs w:val="21"/>
              </w:rPr>
              <w:t>南</w:t>
            </w:r>
          </w:p>
        </w:tc>
        <w:tc>
          <w:tcPr>
            <w:tcW w:w="1764" w:type="dxa"/>
            <w:tcBorders>
              <w:tl2br w:val="nil"/>
              <w:tr2bl w:val="nil"/>
            </w:tcBorders>
          </w:tcPr>
          <w:p w14:paraId="17E93018">
            <w:pPr>
              <w:spacing w:before="212" w:line="221" w:lineRule="auto"/>
              <w:ind w:left="373"/>
              <w:rPr>
                <w:szCs w:val="21"/>
              </w:rPr>
            </w:pPr>
            <w:r>
              <w:rPr>
                <w:spacing w:val="-5"/>
                <w:szCs w:val="21"/>
              </w:rPr>
              <w:t>四至范围内</w:t>
            </w:r>
          </w:p>
        </w:tc>
        <w:tc>
          <w:tcPr>
            <w:tcW w:w="1528" w:type="dxa"/>
            <w:vMerge w:val="restart"/>
            <w:tcBorders>
              <w:tl2br w:val="nil"/>
              <w:tr2bl w:val="nil"/>
            </w:tcBorders>
          </w:tcPr>
          <w:p w14:paraId="4DBA9080">
            <w:pPr>
              <w:spacing w:line="243" w:lineRule="auto"/>
              <w:rPr>
                <w:szCs w:val="21"/>
              </w:rPr>
            </w:pPr>
          </w:p>
          <w:p w14:paraId="0116A2EE">
            <w:pPr>
              <w:spacing w:line="243" w:lineRule="auto"/>
              <w:rPr>
                <w:szCs w:val="21"/>
              </w:rPr>
            </w:pPr>
          </w:p>
          <w:p w14:paraId="5233AE4A">
            <w:pPr>
              <w:spacing w:line="243" w:lineRule="auto"/>
              <w:rPr>
                <w:szCs w:val="21"/>
              </w:rPr>
            </w:pPr>
          </w:p>
          <w:p w14:paraId="3D7082ED">
            <w:pPr>
              <w:spacing w:line="243" w:lineRule="auto"/>
              <w:rPr>
                <w:szCs w:val="21"/>
              </w:rPr>
            </w:pPr>
          </w:p>
          <w:p w14:paraId="2F846DAA">
            <w:pPr>
              <w:spacing w:line="243" w:lineRule="auto"/>
              <w:rPr>
                <w:szCs w:val="21"/>
              </w:rPr>
            </w:pPr>
          </w:p>
          <w:p w14:paraId="2DD1C841">
            <w:pPr>
              <w:spacing w:line="243" w:lineRule="auto"/>
              <w:rPr>
                <w:szCs w:val="21"/>
              </w:rPr>
            </w:pPr>
          </w:p>
          <w:p w14:paraId="29D15DC2">
            <w:pPr>
              <w:spacing w:line="243" w:lineRule="auto"/>
              <w:rPr>
                <w:szCs w:val="21"/>
              </w:rPr>
            </w:pPr>
          </w:p>
          <w:p w14:paraId="42B96A7A">
            <w:pPr>
              <w:spacing w:line="243" w:lineRule="auto"/>
              <w:rPr>
                <w:szCs w:val="21"/>
              </w:rPr>
            </w:pPr>
          </w:p>
          <w:p w14:paraId="0F787E30">
            <w:pPr>
              <w:spacing w:line="243" w:lineRule="auto"/>
              <w:rPr>
                <w:szCs w:val="21"/>
              </w:rPr>
            </w:pPr>
          </w:p>
          <w:p w14:paraId="0254DB7E">
            <w:pPr>
              <w:spacing w:line="243" w:lineRule="auto"/>
              <w:rPr>
                <w:szCs w:val="21"/>
              </w:rPr>
            </w:pPr>
          </w:p>
          <w:p w14:paraId="04B25CDA">
            <w:pPr>
              <w:spacing w:line="243" w:lineRule="auto"/>
              <w:rPr>
                <w:szCs w:val="21"/>
              </w:rPr>
            </w:pPr>
          </w:p>
          <w:p w14:paraId="489A65DA">
            <w:pPr>
              <w:spacing w:line="243" w:lineRule="auto"/>
              <w:rPr>
                <w:szCs w:val="21"/>
              </w:rPr>
            </w:pPr>
          </w:p>
          <w:p w14:paraId="2CB54B63">
            <w:pPr>
              <w:spacing w:line="243" w:lineRule="auto"/>
              <w:rPr>
                <w:szCs w:val="21"/>
              </w:rPr>
            </w:pPr>
          </w:p>
          <w:p w14:paraId="00A6D51D">
            <w:pPr>
              <w:spacing w:line="243" w:lineRule="auto"/>
              <w:rPr>
                <w:szCs w:val="21"/>
              </w:rPr>
            </w:pPr>
          </w:p>
          <w:p w14:paraId="55786A56">
            <w:pPr>
              <w:spacing w:line="243" w:lineRule="auto"/>
              <w:rPr>
                <w:szCs w:val="21"/>
              </w:rPr>
            </w:pPr>
          </w:p>
          <w:p w14:paraId="1E1E3490">
            <w:pPr>
              <w:spacing w:line="243" w:lineRule="auto"/>
              <w:rPr>
                <w:szCs w:val="21"/>
              </w:rPr>
            </w:pPr>
          </w:p>
          <w:p w14:paraId="6102EE34">
            <w:pPr>
              <w:spacing w:line="243" w:lineRule="auto"/>
              <w:rPr>
                <w:szCs w:val="21"/>
              </w:rPr>
            </w:pPr>
          </w:p>
          <w:p w14:paraId="57631212">
            <w:pPr>
              <w:spacing w:before="68" w:line="279" w:lineRule="auto"/>
              <w:ind w:left="132" w:right="130" w:firstLine="2"/>
              <w:rPr>
                <w:szCs w:val="21"/>
              </w:rPr>
            </w:pPr>
            <w:r>
              <w:rPr>
                <w:spacing w:val="-2"/>
                <w:szCs w:val="21"/>
              </w:rPr>
              <w:t>《危</w:t>
            </w:r>
            <w:r>
              <w:rPr>
                <w:spacing w:val="-1"/>
                <w:szCs w:val="21"/>
              </w:rPr>
              <w:t>险化学品生产装置和</w:t>
            </w:r>
            <w:r>
              <w:rPr>
                <w:szCs w:val="21"/>
              </w:rPr>
              <w:t xml:space="preserve">储 </w:t>
            </w:r>
            <w:r>
              <w:rPr>
                <w:spacing w:val="-1"/>
                <w:szCs w:val="21"/>
              </w:rPr>
              <w:t>存设施外部</w:t>
            </w:r>
            <w:r>
              <w:rPr>
                <w:szCs w:val="21"/>
              </w:rPr>
              <w:t xml:space="preserve">安 </w:t>
            </w:r>
            <w:r>
              <w:rPr>
                <w:spacing w:val="-1"/>
                <w:szCs w:val="21"/>
              </w:rPr>
              <w:t>全防护距离</w:t>
            </w:r>
            <w:r>
              <w:rPr>
                <w:szCs w:val="21"/>
              </w:rPr>
              <w:t xml:space="preserve">确 </w:t>
            </w:r>
            <w:r>
              <w:rPr>
                <w:spacing w:val="-1"/>
                <w:szCs w:val="21"/>
              </w:rPr>
              <w:t>定方法》(GBT</w:t>
            </w:r>
            <w:r>
              <w:rPr>
                <w:spacing w:val="-2"/>
                <w:szCs w:val="21"/>
              </w:rPr>
              <w:t>37243-201</w:t>
            </w:r>
            <w:r>
              <w:rPr>
                <w:spacing w:val="-1"/>
                <w:szCs w:val="21"/>
              </w:rPr>
              <w:t>9)</w:t>
            </w:r>
          </w:p>
        </w:tc>
        <w:tc>
          <w:tcPr>
            <w:tcW w:w="1605" w:type="dxa"/>
            <w:tcBorders>
              <w:tl2br w:val="nil"/>
              <w:tr2bl w:val="nil"/>
            </w:tcBorders>
          </w:tcPr>
          <w:p w14:paraId="12A30FC4">
            <w:pPr>
              <w:spacing w:before="208" w:line="213" w:lineRule="auto"/>
              <w:ind w:left="539"/>
              <w:rPr>
                <w:szCs w:val="21"/>
              </w:rPr>
            </w:pPr>
            <w:r>
              <w:rPr>
                <w:spacing w:val="1"/>
                <w:szCs w:val="21"/>
              </w:rPr>
              <w:t>3</w:t>
            </w:r>
            <w:r>
              <w:rPr>
                <w:position w:val="-5"/>
                <w:szCs w:val="21"/>
              </w:rPr>
              <w:drawing>
                <wp:inline distT="0" distB="0" distL="0" distR="0">
                  <wp:extent cx="65405" cy="121285"/>
                  <wp:effectExtent l="0" t="0" r="10795" b="13335"/>
                  <wp:docPr id="16" name="IM 5"/>
                  <wp:cNvGraphicFramePr/>
                  <a:graphic xmlns:a="http://schemas.openxmlformats.org/drawingml/2006/main">
                    <a:graphicData uri="http://schemas.openxmlformats.org/drawingml/2006/picture">
                      <pic:pic xmlns:pic="http://schemas.openxmlformats.org/drawingml/2006/picture">
                        <pic:nvPicPr>
                          <pic:cNvPr id="16" name="IM 5"/>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65CB302F">
            <w:pPr>
              <w:spacing w:before="57"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A199EB1">
            <w:pPr>
              <w:spacing w:before="56"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38DDB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51875117">
            <w:pPr>
              <w:rPr>
                <w:szCs w:val="21"/>
              </w:rPr>
            </w:pPr>
          </w:p>
        </w:tc>
        <w:tc>
          <w:tcPr>
            <w:tcW w:w="588" w:type="dxa"/>
            <w:vMerge w:val="continue"/>
            <w:tcBorders>
              <w:tl2br w:val="nil"/>
              <w:tr2bl w:val="nil"/>
            </w:tcBorders>
          </w:tcPr>
          <w:p w14:paraId="0C155ACB">
            <w:pPr>
              <w:rPr>
                <w:szCs w:val="21"/>
              </w:rPr>
            </w:pPr>
          </w:p>
        </w:tc>
        <w:tc>
          <w:tcPr>
            <w:tcW w:w="1764" w:type="dxa"/>
            <w:tcBorders>
              <w:tl2br w:val="nil"/>
              <w:tr2bl w:val="nil"/>
            </w:tcBorders>
          </w:tcPr>
          <w:p w14:paraId="29831E96">
            <w:pPr>
              <w:spacing w:before="212" w:line="221" w:lineRule="auto"/>
              <w:ind w:left="373"/>
              <w:rPr>
                <w:szCs w:val="21"/>
              </w:rPr>
            </w:pPr>
            <w:r>
              <w:rPr>
                <w:spacing w:val="-5"/>
                <w:szCs w:val="21"/>
              </w:rPr>
              <w:t>四至范围内</w:t>
            </w:r>
          </w:p>
        </w:tc>
        <w:tc>
          <w:tcPr>
            <w:tcW w:w="1528" w:type="dxa"/>
            <w:vMerge w:val="continue"/>
            <w:tcBorders>
              <w:tl2br w:val="nil"/>
              <w:tr2bl w:val="nil"/>
            </w:tcBorders>
          </w:tcPr>
          <w:p w14:paraId="306DAFEB">
            <w:pPr>
              <w:rPr>
                <w:szCs w:val="21"/>
              </w:rPr>
            </w:pPr>
          </w:p>
        </w:tc>
        <w:tc>
          <w:tcPr>
            <w:tcW w:w="1605" w:type="dxa"/>
            <w:tcBorders>
              <w:tl2br w:val="nil"/>
              <w:tr2bl w:val="nil"/>
            </w:tcBorders>
          </w:tcPr>
          <w:p w14:paraId="28C62BAE">
            <w:pPr>
              <w:spacing w:before="207" w:line="214" w:lineRule="auto"/>
              <w:ind w:left="539"/>
              <w:rPr>
                <w:szCs w:val="21"/>
              </w:rPr>
            </w:pPr>
            <w:r>
              <w:rPr>
                <w:spacing w:val="1"/>
                <w:szCs w:val="21"/>
              </w:rPr>
              <w:t>3</w:t>
            </w:r>
            <w:r>
              <w:rPr>
                <w:position w:val="-5"/>
                <w:szCs w:val="21"/>
              </w:rPr>
              <w:drawing>
                <wp:inline distT="0" distB="0" distL="0" distR="0">
                  <wp:extent cx="65405" cy="121285"/>
                  <wp:effectExtent l="0" t="0" r="10795" b="13335"/>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1"/>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42D5611C">
            <w:pPr>
              <w:spacing w:before="57"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38683A88">
            <w:pPr>
              <w:spacing w:before="56"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D986E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70" w:type="dxa"/>
            <w:vMerge w:val="continue"/>
            <w:tcBorders>
              <w:tl2br w:val="nil"/>
              <w:tr2bl w:val="nil"/>
            </w:tcBorders>
          </w:tcPr>
          <w:p w14:paraId="47D97B0A">
            <w:pPr>
              <w:rPr>
                <w:szCs w:val="21"/>
              </w:rPr>
            </w:pPr>
          </w:p>
        </w:tc>
        <w:tc>
          <w:tcPr>
            <w:tcW w:w="588" w:type="dxa"/>
            <w:vMerge w:val="continue"/>
            <w:tcBorders>
              <w:tl2br w:val="nil"/>
              <w:tr2bl w:val="nil"/>
            </w:tcBorders>
          </w:tcPr>
          <w:p w14:paraId="19C189EA">
            <w:pPr>
              <w:rPr>
                <w:szCs w:val="21"/>
              </w:rPr>
            </w:pPr>
          </w:p>
        </w:tc>
        <w:tc>
          <w:tcPr>
            <w:tcW w:w="1764" w:type="dxa"/>
            <w:tcBorders>
              <w:tl2br w:val="nil"/>
              <w:tr2bl w:val="nil"/>
            </w:tcBorders>
          </w:tcPr>
          <w:p w14:paraId="2337FF11">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075741D8">
            <w:pPr>
              <w:rPr>
                <w:szCs w:val="21"/>
              </w:rPr>
            </w:pPr>
          </w:p>
        </w:tc>
        <w:tc>
          <w:tcPr>
            <w:tcW w:w="1605" w:type="dxa"/>
            <w:tcBorders>
              <w:tl2br w:val="nil"/>
              <w:tr2bl w:val="nil"/>
            </w:tcBorders>
          </w:tcPr>
          <w:p w14:paraId="2A5B4D0F">
            <w:pPr>
              <w:spacing w:before="209" w:line="213" w:lineRule="auto"/>
              <w:ind w:left="550"/>
              <w:rPr>
                <w:szCs w:val="21"/>
              </w:rPr>
            </w:pPr>
            <w:r>
              <w:rPr>
                <w:spacing w:val="-2"/>
                <w:szCs w:val="21"/>
              </w:rPr>
              <w:t>1</w:t>
            </w:r>
            <w:r>
              <w:rPr>
                <w:position w:val="-5"/>
                <w:szCs w:val="21"/>
              </w:rPr>
              <w:drawing>
                <wp:inline distT="0" distB="0" distL="0" distR="0">
                  <wp:extent cx="65405" cy="121285"/>
                  <wp:effectExtent l="0" t="0" r="10795" b="13335"/>
                  <wp:docPr id="20" name="IM 7"/>
                  <wp:cNvGraphicFramePr/>
                  <a:graphic xmlns:a="http://schemas.openxmlformats.org/drawingml/2006/main">
                    <a:graphicData uri="http://schemas.openxmlformats.org/drawingml/2006/picture">
                      <pic:pic xmlns:pic="http://schemas.openxmlformats.org/drawingml/2006/picture">
                        <pic:nvPicPr>
                          <pic:cNvPr id="20" name="IM 7"/>
                          <pic:cNvPicPr/>
                        </pic:nvPicPr>
                        <pic:blipFill>
                          <a:blip r:embed="rId42"/>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231EEFF2">
            <w:pPr>
              <w:spacing w:before="58"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1E17B665">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3C06A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26D4B694">
            <w:pPr>
              <w:rPr>
                <w:szCs w:val="21"/>
              </w:rPr>
            </w:pPr>
          </w:p>
        </w:tc>
        <w:tc>
          <w:tcPr>
            <w:tcW w:w="588" w:type="dxa"/>
            <w:vMerge w:val="continue"/>
            <w:tcBorders>
              <w:tl2br w:val="nil"/>
              <w:tr2bl w:val="nil"/>
            </w:tcBorders>
          </w:tcPr>
          <w:p w14:paraId="773373E9">
            <w:pPr>
              <w:rPr>
                <w:szCs w:val="21"/>
              </w:rPr>
            </w:pPr>
          </w:p>
        </w:tc>
        <w:tc>
          <w:tcPr>
            <w:tcW w:w="1764" w:type="dxa"/>
            <w:tcBorders>
              <w:tl2br w:val="nil"/>
              <w:tr2bl w:val="nil"/>
            </w:tcBorders>
          </w:tcPr>
          <w:p w14:paraId="7A03C384">
            <w:pPr>
              <w:spacing w:before="212" w:line="221" w:lineRule="auto"/>
              <w:ind w:left="373"/>
              <w:rPr>
                <w:szCs w:val="21"/>
              </w:rPr>
            </w:pPr>
            <w:r>
              <w:rPr>
                <w:spacing w:val="-5"/>
                <w:szCs w:val="21"/>
              </w:rPr>
              <w:t>四至范围内</w:t>
            </w:r>
          </w:p>
        </w:tc>
        <w:tc>
          <w:tcPr>
            <w:tcW w:w="1528" w:type="dxa"/>
            <w:vMerge w:val="continue"/>
            <w:tcBorders>
              <w:tl2br w:val="nil"/>
              <w:tr2bl w:val="nil"/>
            </w:tcBorders>
          </w:tcPr>
          <w:p w14:paraId="7F2F0766">
            <w:pPr>
              <w:rPr>
                <w:szCs w:val="21"/>
              </w:rPr>
            </w:pPr>
          </w:p>
        </w:tc>
        <w:tc>
          <w:tcPr>
            <w:tcW w:w="1605" w:type="dxa"/>
            <w:tcBorders>
              <w:tl2br w:val="nil"/>
              <w:tr2bl w:val="nil"/>
            </w:tcBorders>
          </w:tcPr>
          <w:p w14:paraId="7955D2F6">
            <w:pPr>
              <w:spacing w:before="209" w:line="213" w:lineRule="auto"/>
              <w:ind w:left="539"/>
              <w:rPr>
                <w:szCs w:val="21"/>
              </w:rPr>
            </w:pPr>
            <w:r>
              <w:rPr>
                <w:spacing w:val="1"/>
                <w:szCs w:val="21"/>
              </w:rPr>
              <w:t>3</w:t>
            </w:r>
            <w:r>
              <w:rPr>
                <w:position w:val="-5"/>
                <w:szCs w:val="21"/>
              </w:rPr>
              <w:drawing>
                <wp:inline distT="0" distB="0" distL="0" distR="0">
                  <wp:extent cx="65405" cy="121285"/>
                  <wp:effectExtent l="0" t="0" r="10795" b="13335"/>
                  <wp:docPr id="21" name="IM 8"/>
                  <wp:cNvGraphicFramePr/>
                  <a:graphic xmlns:a="http://schemas.openxmlformats.org/drawingml/2006/main">
                    <a:graphicData uri="http://schemas.openxmlformats.org/drawingml/2006/picture">
                      <pic:pic xmlns:pic="http://schemas.openxmlformats.org/drawingml/2006/picture">
                        <pic:nvPicPr>
                          <pic:cNvPr id="21" name="IM 8"/>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67E1894F">
            <w:pPr>
              <w:spacing w:before="58"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23F274E">
            <w:pPr>
              <w:spacing w:before="56"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6F46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70" w:type="dxa"/>
            <w:vMerge w:val="restart"/>
            <w:tcBorders>
              <w:tl2br w:val="nil"/>
              <w:tr2bl w:val="nil"/>
            </w:tcBorders>
          </w:tcPr>
          <w:p w14:paraId="73F92032">
            <w:pPr>
              <w:spacing w:line="283" w:lineRule="auto"/>
              <w:rPr>
                <w:szCs w:val="21"/>
              </w:rPr>
            </w:pPr>
          </w:p>
          <w:p w14:paraId="2DAF5542">
            <w:pPr>
              <w:spacing w:line="283" w:lineRule="auto"/>
              <w:rPr>
                <w:szCs w:val="21"/>
              </w:rPr>
            </w:pPr>
          </w:p>
          <w:p w14:paraId="4703CAA6">
            <w:pPr>
              <w:spacing w:line="283" w:lineRule="auto"/>
              <w:rPr>
                <w:szCs w:val="21"/>
              </w:rPr>
            </w:pPr>
          </w:p>
          <w:p w14:paraId="5705EC5D">
            <w:pPr>
              <w:spacing w:line="284" w:lineRule="auto"/>
              <w:rPr>
                <w:szCs w:val="21"/>
              </w:rPr>
            </w:pPr>
          </w:p>
          <w:p w14:paraId="27D4ED10">
            <w:pPr>
              <w:spacing w:before="69" w:line="185" w:lineRule="auto"/>
              <w:ind w:left="188"/>
              <w:rPr>
                <w:szCs w:val="21"/>
              </w:rPr>
            </w:pPr>
            <w:r>
              <w:rPr>
                <w:szCs w:val="21"/>
              </w:rPr>
              <w:t>2</w:t>
            </w:r>
          </w:p>
        </w:tc>
        <w:tc>
          <w:tcPr>
            <w:tcW w:w="588" w:type="dxa"/>
            <w:vMerge w:val="restart"/>
            <w:tcBorders>
              <w:tl2br w:val="nil"/>
              <w:tr2bl w:val="nil"/>
            </w:tcBorders>
          </w:tcPr>
          <w:p w14:paraId="203DF082">
            <w:pPr>
              <w:spacing w:line="274" w:lineRule="auto"/>
              <w:rPr>
                <w:szCs w:val="21"/>
              </w:rPr>
            </w:pPr>
          </w:p>
          <w:p w14:paraId="6239A04E">
            <w:pPr>
              <w:spacing w:line="274" w:lineRule="auto"/>
              <w:rPr>
                <w:szCs w:val="21"/>
              </w:rPr>
            </w:pPr>
          </w:p>
          <w:p w14:paraId="75665B83">
            <w:pPr>
              <w:spacing w:line="275" w:lineRule="auto"/>
              <w:rPr>
                <w:szCs w:val="21"/>
              </w:rPr>
            </w:pPr>
          </w:p>
          <w:p w14:paraId="65029AEF">
            <w:pPr>
              <w:spacing w:line="275" w:lineRule="auto"/>
              <w:rPr>
                <w:szCs w:val="21"/>
              </w:rPr>
            </w:pPr>
          </w:p>
          <w:p w14:paraId="33EFF5A9">
            <w:pPr>
              <w:spacing w:before="69" w:line="224" w:lineRule="auto"/>
              <w:ind w:left="193"/>
              <w:rPr>
                <w:szCs w:val="21"/>
              </w:rPr>
            </w:pPr>
            <w:r>
              <w:rPr>
                <w:szCs w:val="21"/>
              </w:rPr>
              <w:t>西</w:t>
            </w:r>
          </w:p>
        </w:tc>
        <w:tc>
          <w:tcPr>
            <w:tcW w:w="1764" w:type="dxa"/>
            <w:tcBorders>
              <w:tl2br w:val="nil"/>
              <w:tr2bl w:val="nil"/>
            </w:tcBorders>
          </w:tcPr>
          <w:p w14:paraId="28A6DEB6">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65602271">
            <w:pPr>
              <w:rPr>
                <w:szCs w:val="21"/>
              </w:rPr>
            </w:pPr>
          </w:p>
        </w:tc>
        <w:tc>
          <w:tcPr>
            <w:tcW w:w="1605" w:type="dxa"/>
            <w:tcBorders>
              <w:tl2br w:val="nil"/>
              <w:tr2bl w:val="nil"/>
            </w:tcBorders>
          </w:tcPr>
          <w:p w14:paraId="2A0FA113">
            <w:pPr>
              <w:spacing w:before="211" w:line="213" w:lineRule="auto"/>
              <w:ind w:left="539"/>
              <w:rPr>
                <w:szCs w:val="21"/>
              </w:rPr>
            </w:pPr>
            <w:r>
              <w:rPr>
                <w:spacing w:val="1"/>
                <w:szCs w:val="21"/>
              </w:rPr>
              <w:t>3</w:t>
            </w:r>
            <w:r>
              <w:rPr>
                <w:position w:val="-5"/>
                <w:szCs w:val="21"/>
              </w:rPr>
              <w:drawing>
                <wp:inline distT="0" distB="0" distL="0" distR="0">
                  <wp:extent cx="65405" cy="121285"/>
                  <wp:effectExtent l="0" t="0" r="10795" b="13335"/>
                  <wp:docPr id="22" name="IM 9"/>
                  <wp:cNvGraphicFramePr/>
                  <a:graphic xmlns:a="http://schemas.openxmlformats.org/drawingml/2006/main">
                    <a:graphicData uri="http://schemas.openxmlformats.org/drawingml/2006/picture">
                      <pic:pic xmlns:pic="http://schemas.openxmlformats.org/drawingml/2006/picture">
                        <pic:nvPicPr>
                          <pic:cNvPr id="22" name="IM 9"/>
                          <pic:cNvPicPr/>
                        </pic:nvPicPr>
                        <pic:blipFill>
                          <a:blip r:embed="rId41"/>
                          <a:stretch>
                            <a:fillRect/>
                          </a:stretch>
                        </pic:blipFill>
                        <pic:spPr>
                          <a:xfrm>
                            <a:off x="0" y="0"/>
                            <a:ext cx="65968" cy="121908"/>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30116AEF">
            <w:pPr>
              <w:spacing w:before="61"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51F42C7">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F78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765CFFA8">
            <w:pPr>
              <w:rPr>
                <w:szCs w:val="21"/>
              </w:rPr>
            </w:pPr>
          </w:p>
        </w:tc>
        <w:tc>
          <w:tcPr>
            <w:tcW w:w="588" w:type="dxa"/>
            <w:vMerge w:val="continue"/>
            <w:tcBorders>
              <w:tl2br w:val="nil"/>
              <w:tr2bl w:val="nil"/>
            </w:tcBorders>
          </w:tcPr>
          <w:p w14:paraId="68CD7674">
            <w:pPr>
              <w:rPr>
                <w:szCs w:val="21"/>
              </w:rPr>
            </w:pPr>
          </w:p>
        </w:tc>
        <w:tc>
          <w:tcPr>
            <w:tcW w:w="1764" w:type="dxa"/>
            <w:tcBorders>
              <w:tl2br w:val="nil"/>
              <w:tr2bl w:val="nil"/>
            </w:tcBorders>
          </w:tcPr>
          <w:p w14:paraId="3E33318B">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30142ACE">
            <w:pPr>
              <w:rPr>
                <w:szCs w:val="21"/>
              </w:rPr>
            </w:pPr>
          </w:p>
        </w:tc>
        <w:tc>
          <w:tcPr>
            <w:tcW w:w="1605" w:type="dxa"/>
            <w:tcBorders>
              <w:tl2br w:val="nil"/>
              <w:tr2bl w:val="nil"/>
            </w:tcBorders>
          </w:tcPr>
          <w:p w14:paraId="69E1DCDE">
            <w:pPr>
              <w:spacing w:before="208" w:line="214" w:lineRule="auto"/>
              <w:ind w:left="539"/>
              <w:rPr>
                <w:szCs w:val="21"/>
              </w:rPr>
            </w:pPr>
            <w:r>
              <w:rPr>
                <w:spacing w:val="1"/>
                <w:szCs w:val="21"/>
              </w:rPr>
              <w:t>3</w:t>
            </w:r>
            <w:r>
              <w:rPr>
                <w:position w:val="-5"/>
                <w:szCs w:val="21"/>
              </w:rPr>
              <w:drawing>
                <wp:inline distT="0" distB="0" distL="0" distR="0">
                  <wp:extent cx="65405" cy="121285"/>
                  <wp:effectExtent l="0" t="0" r="10795" b="13335"/>
                  <wp:docPr id="23" name="IM 10"/>
                  <wp:cNvGraphicFramePr/>
                  <a:graphic xmlns:a="http://schemas.openxmlformats.org/drawingml/2006/main">
                    <a:graphicData uri="http://schemas.openxmlformats.org/drawingml/2006/picture">
                      <pic:pic xmlns:pic="http://schemas.openxmlformats.org/drawingml/2006/picture">
                        <pic:nvPicPr>
                          <pic:cNvPr id="23" name="IM 10"/>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1AE8643E">
            <w:pPr>
              <w:spacing w:before="58"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43A51AC7">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3F885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08F5AAEA">
            <w:pPr>
              <w:rPr>
                <w:szCs w:val="21"/>
              </w:rPr>
            </w:pPr>
          </w:p>
        </w:tc>
        <w:tc>
          <w:tcPr>
            <w:tcW w:w="588" w:type="dxa"/>
            <w:vMerge w:val="continue"/>
            <w:tcBorders>
              <w:tl2br w:val="nil"/>
              <w:tr2bl w:val="nil"/>
            </w:tcBorders>
          </w:tcPr>
          <w:p w14:paraId="24C4A29D">
            <w:pPr>
              <w:rPr>
                <w:szCs w:val="21"/>
              </w:rPr>
            </w:pPr>
          </w:p>
        </w:tc>
        <w:tc>
          <w:tcPr>
            <w:tcW w:w="1764" w:type="dxa"/>
            <w:tcBorders>
              <w:tl2br w:val="nil"/>
              <w:tr2bl w:val="nil"/>
            </w:tcBorders>
          </w:tcPr>
          <w:p w14:paraId="7C4D1705">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7B7328A2">
            <w:pPr>
              <w:rPr>
                <w:szCs w:val="21"/>
              </w:rPr>
            </w:pPr>
          </w:p>
        </w:tc>
        <w:tc>
          <w:tcPr>
            <w:tcW w:w="1605" w:type="dxa"/>
            <w:tcBorders>
              <w:tl2br w:val="nil"/>
              <w:tr2bl w:val="nil"/>
            </w:tcBorders>
          </w:tcPr>
          <w:p w14:paraId="0DED1078">
            <w:pPr>
              <w:spacing w:before="209" w:line="213" w:lineRule="auto"/>
              <w:ind w:left="550"/>
              <w:rPr>
                <w:szCs w:val="21"/>
              </w:rPr>
            </w:pPr>
            <w:r>
              <w:rPr>
                <w:spacing w:val="-2"/>
                <w:szCs w:val="21"/>
              </w:rPr>
              <w:t>1</w:t>
            </w:r>
            <w:r>
              <w:rPr>
                <w:position w:val="-5"/>
                <w:szCs w:val="21"/>
              </w:rPr>
              <w:drawing>
                <wp:inline distT="0" distB="0" distL="0" distR="0">
                  <wp:extent cx="65405" cy="121285"/>
                  <wp:effectExtent l="0" t="0" r="10795" b="13335"/>
                  <wp:docPr id="24" name="IM 11"/>
                  <wp:cNvGraphicFramePr/>
                  <a:graphic xmlns:a="http://schemas.openxmlformats.org/drawingml/2006/main">
                    <a:graphicData uri="http://schemas.openxmlformats.org/drawingml/2006/picture">
                      <pic:pic xmlns:pic="http://schemas.openxmlformats.org/drawingml/2006/picture">
                        <pic:nvPicPr>
                          <pic:cNvPr id="24" name="IM 11"/>
                          <pic:cNvPicPr/>
                        </pic:nvPicPr>
                        <pic:blipFill>
                          <a:blip r:embed="rId41"/>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72D551FD">
            <w:pPr>
              <w:spacing w:before="58"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C81AFDA">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815BD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0817E44C">
            <w:pPr>
              <w:rPr>
                <w:szCs w:val="21"/>
              </w:rPr>
            </w:pPr>
          </w:p>
        </w:tc>
        <w:tc>
          <w:tcPr>
            <w:tcW w:w="588" w:type="dxa"/>
            <w:vMerge w:val="continue"/>
            <w:tcBorders>
              <w:tl2br w:val="nil"/>
              <w:tr2bl w:val="nil"/>
            </w:tcBorders>
          </w:tcPr>
          <w:p w14:paraId="2726B31F">
            <w:pPr>
              <w:rPr>
                <w:szCs w:val="21"/>
              </w:rPr>
            </w:pPr>
          </w:p>
        </w:tc>
        <w:tc>
          <w:tcPr>
            <w:tcW w:w="1764" w:type="dxa"/>
            <w:tcBorders>
              <w:tl2br w:val="nil"/>
              <w:tr2bl w:val="nil"/>
            </w:tcBorders>
          </w:tcPr>
          <w:p w14:paraId="62AF36BE">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7B654924">
            <w:pPr>
              <w:rPr>
                <w:szCs w:val="21"/>
              </w:rPr>
            </w:pPr>
          </w:p>
        </w:tc>
        <w:tc>
          <w:tcPr>
            <w:tcW w:w="1605" w:type="dxa"/>
            <w:tcBorders>
              <w:tl2br w:val="nil"/>
              <w:tr2bl w:val="nil"/>
            </w:tcBorders>
          </w:tcPr>
          <w:p w14:paraId="2964E6A4">
            <w:pPr>
              <w:spacing w:before="210" w:line="213" w:lineRule="auto"/>
              <w:ind w:left="539"/>
              <w:rPr>
                <w:szCs w:val="21"/>
              </w:rPr>
            </w:pPr>
            <w:r>
              <w:rPr>
                <w:spacing w:val="1"/>
                <w:szCs w:val="21"/>
              </w:rPr>
              <w:t>3</w:t>
            </w:r>
            <w:r>
              <w:rPr>
                <w:position w:val="-5"/>
                <w:szCs w:val="21"/>
              </w:rPr>
              <w:drawing>
                <wp:inline distT="0" distB="0" distL="0" distR="0">
                  <wp:extent cx="65405" cy="121285"/>
                  <wp:effectExtent l="0" t="0" r="10795" b="13335"/>
                  <wp:docPr id="25" name="IM 12"/>
                  <wp:cNvGraphicFramePr/>
                  <a:graphic xmlns:a="http://schemas.openxmlformats.org/drawingml/2006/main">
                    <a:graphicData uri="http://schemas.openxmlformats.org/drawingml/2006/picture">
                      <pic:pic xmlns:pic="http://schemas.openxmlformats.org/drawingml/2006/picture">
                        <pic:nvPicPr>
                          <pic:cNvPr id="25" name="IM 12"/>
                          <pic:cNvPicPr/>
                        </pic:nvPicPr>
                        <pic:blipFill>
                          <a:blip r:embed="rId40"/>
                          <a:stretch>
                            <a:fillRect/>
                          </a:stretch>
                        </pic:blipFill>
                        <pic:spPr>
                          <a:xfrm>
                            <a:off x="0" y="0"/>
                            <a:ext cx="65968" cy="121908"/>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5A034C18">
            <w:pPr>
              <w:spacing w:before="59"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4883F523">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0F4AF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70" w:type="dxa"/>
            <w:vMerge w:val="restart"/>
            <w:tcBorders>
              <w:tl2br w:val="nil"/>
              <w:tr2bl w:val="nil"/>
            </w:tcBorders>
          </w:tcPr>
          <w:p w14:paraId="26C79CC4">
            <w:pPr>
              <w:spacing w:line="283" w:lineRule="auto"/>
              <w:rPr>
                <w:szCs w:val="21"/>
              </w:rPr>
            </w:pPr>
          </w:p>
          <w:p w14:paraId="6C315D6D">
            <w:pPr>
              <w:spacing w:line="284" w:lineRule="auto"/>
              <w:rPr>
                <w:szCs w:val="21"/>
              </w:rPr>
            </w:pPr>
          </w:p>
          <w:p w14:paraId="42E3DD82">
            <w:pPr>
              <w:spacing w:line="284" w:lineRule="auto"/>
              <w:rPr>
                <w:szCs w:val="21"/>
              </w:rPr>
            </w:pPr>
          </w:p>
          <w:p w14:paraId="5949A694">
            <w:pPr>
              <w:spacing w:line="284" w:lineRule="auto"/>
              <w:rPr>
                <w:szCs w:val="21"/>
              </w:rPr>
            </w:pPr>
          </w:p>
          <w:p w14:paraId="5A2A3AAD">
            <w:pPr>
              <w:spacing w:before="69" w:line="183" w:lineRule="auto"/>
              <w:ind w:left="189"/>
              <w:rPr>
                <w:szCs w:val="21"/>
              </w:rPr>
            </w:pPr>
            <w:r>
              <w:rPr>
                <w:szCs w:val="21"/>
              </w:rPr>
              <w:t>3</w:t>
            </w:r>
          </w:p>
        </w:tc>
        <w:tc>
          <w:tcPr>
            <w:tcW w:w="588" w:type="dxa"/>
            <w:vMerge w:val="restart"/>
            <w:tcBorders>
              <w:tl2br w:val="nil"/>
              <w:tr2bl w:val="nil"/>
            </w:tcBorders>
          </w:tcPr>
          <w:p w14:paraId="7FAD6BAF">
            <w:pPr>
              <w:spacing w:line="274" w:lineRule="auto"/>
              <w:rPr>
                <w:szCs w:val="21"/>
              </w:rPr>
            </w:pPr>
          </w:p>
          <w:p w14:paraId="63DD0EC8">
            <w:pPr>
              <w:spacing w:line="275" w:lineRule="auto"/>
              <w:rPr>
                <w:szCs w:val="21"/>
              </w:rPr>
            </w:pPr>
          </w:p>
          <w:p w14:paraId="110C48CB">
            <w:pPr>
              <w:spacing w:line="275" w:lineRule="auto"/>
              <w:rPr>
                <w:szCs w:val="21"/>
              </w:rPr>
            </w:pPr>
          </w:p>
          <w:p w14:paraId="4170D054">
            <w:pPr>
              <w:spacing w:line="275" w:lineRule="auto"/>
              <w:rPr>
                <w:szCs w:val="21"/>
              </w:rPr>
            </w:pPr>
          </w:p>
          <w:p w14:paraId="58685964">
            <w:pPr>
              <w:spacing w:before="68" w:line="221" w:lineRule="auto"/>
              <w:ind w:left="195"/>
              <w:rPr>
                <w:szCs w:val="21"/>
              </w:rPr>
            </w:pPr>
            <w:r>
              <w:rPr>
                <w:szCs w:val="21"/>
              </w:rPr>
              <w:t>东</w:t>
            </w:r>
          </w:p>
        </w:tc>
        <w:tc>
          <w:tcPr>
            <w:tcW w:w="1764" w:type="dxa"/>
            <w:tcBorders>
              <w:tl2br w:val="nil"/>
              <w:tr2bl w:val="nil"/>
            </w:tcBorders>
          </w:tcPr>
          <w:p w14:paraId="238E0FD1">
            <w:pPr>
              <w:spacing w:before="217" w:line="221" w:lineRule="auto"/>
              <w:ind w:left="373"/>
              <w:rPr>
                <w:szCs w:val="21"/>
              </w:rPr>
            </w:pPr>
            <w:r>
              <w:rPr>
                <w:spacing w:val="-5"/>
                <w:szCs w:val="21"/>
              </w:rPr>
              <w:t>四至范围内</w:t>
            </w:r>
          </w:p>
        </w:tc>
        <w:tc>
          <w:tcPr>
            <w:tcW w:w="1528" w:type="dxa"/>
            <w:vMerge w:val="continue"/>
            <w:tcBorders>
              <w:tl2br w:val="nil"/>
              <w:tr2bl w:val="nil"/>
            </w:tcBorders>
          </w:tcPr>
          <w:p w14:paraId="0DE68E37">
            <w:pPr>
              <w:rPr>
                <w:szCs w:val="21"/>
              </w:rPr>
            </w:pPr>
          </w:p>
        </w:tc>
        <w:tc>
          <w:tcPr>
            <w:tcW w:w="1605" w:type="dxa"/>
            <w:tcBorders>
              <w:tl2br w:val="nil"/>
              <w:tr2bl w:val="nil"/>
            </w:tcBorders>
          </w:tcPr>
          <w:p w14:paraId="2592B702">
            <w:pPr>
              <w:spacing w:before="213" w:line="213" w:lineRule="auto"/>
              <w:ind w:left="539"/>
              <w:rPr>
                <w:szCs w:val="21"/>
              </w:rPr>
            </w:pPr>
            <w:r>
              <w:rPr>
                <w:spacing w:val="1"/>
                <w:szCs w:val="21"/>
              </w:rPr>
              <w:t>3</w:t>
            </w:r>
            <w:r>
              <w:rPr>
                <w:position w:val="-5"/>
                <w:szCs w:val="21"/>
              </w:rPr>
              <w:drawing>
                <wp:inline distT="0" distB="0" distL="0" distR="0">
                  <wp:extent cx="65405" cy="121285"/>
                  <wp:effectExtent l="0" t="0" r="10795" b="13335"/>
                  <wp:docPr id="26" name="IM 13"/>
                  <wp:cNvGraphicFramePr/>
                  <a:graphic xmlns:a="http://schemas.openxmlformats.org/drawingml/2006/main">
                    <a:graphicData uri="http://schemas.openxmlformats.org/drawingml/2006/picture">
                      <pic:pic xmlns:pic="http://schemas.openxmlformats.org/drawingml/2006/picture">
                        <pic:nvPicPr>
                          <pic:cNvPr id="26" name="IM 13"/>
                          <pic:cNvPicPr/>
                        </pic:nvPicPr>
                        <pic:blipFill>
                          <a:blip r:embed="rId40"/>
                          <a:stretch>
                            <a:fillRect/>
                          </a:stretch>
                        </pic:blipFill>
                        <pic:spPr>
                          <a:xfrm>
                            <a:off x="0" y="0"/>
                            <a:ext cx="65968" cy="121908"/>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1F6E5887">
            <w:pPr>
              <w:spacing w:before="62"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CEDA7C2">
            <w:pPr>
              <w:spacing w:before="61"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21BCA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510B2FC2">
            <w:pPr>
              <w:rPr>
                <w:szCs w:val="21"/>
              </w:rPr>
            </w:pPr>
          </w:p>
        </w:tc>
        <w:tc>
          <w:tcPr>
            <w:tcW w:w="588" w:type="dxa"/>
            <w:vMerge w:val="continue"/>
            <w:tcBorders>
              <w:tl2br w:val="nil"/>
              <w:tr2bl w:val="nil"/>
            </w:tcBorders>
          </w:tcPr>
          <w:p w14:paraId="75927067">
            <w:pPr>
              <w:rPr>
                <w:szCs w:val="21"/>
              </w:rPr>
            </w:pPr>
          </w:p>
        </w:tc>
        <w:tc>
          <w:tcPr>
            <w:tcW w:w="1764" w:type="dxa"/>
            <w:tcBorders>
              <w:tl2br w:val="nil"/>
              <w:tr2bl w:val="nil"/>
            </w:tcBorders>
          </w:tcPr>
          <w:p w14:paraId="4035C115">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1926D9CA">
            <w:pPr>
              <w:rPr>
                <w:szCs w:val="21"/>
              </w:rPr>
            </w:pPr>
          </w:p>
        </w:tc>
        <w:tc>
          <w:tcPr>
            <w:tcW w:w="1605" w:type="dxa"/>
            <w:tcBorders>
              <w:tl2br w:val="nil"/>
              <w:tr2bl w:val="nil"/>
            </w:tcBorders>
          </w:tcPr>
          <w:p w14:paraId="591F8726">
            <w:pPr>
              <w:spacing w:before="209" w:line="214" w:lineRule="auto"/>
              <w:ind w:left="539"/>
              <w:rPr>
                <w:szCs w:val="21"/>
              </w:rPr>
            </w:pPr>
            <w:r>
              <w:rPr>
                <w:spacing w:val="1"/>
                <w:szCs w:val="21"/>
              </w:rPr>
              <w:t>3</w:t>
            </w:r>
            <w:r>
              <w:rPr>
                <w:position w:val="-5"/>
                <w:szCs w:val="21"/>
              </w:rPr>
              <w:drawing>
                <wp:inline distT="0" distB="0" distL="0" distR="0">
                  <wp:extent cx="65405" cy="121285"/>
                  <wp:effectExtent l="0" t="0" r="10795" b="13335"/>
                  <wp:docPr id="27" name="IM 14"/>
                  <wp:cNvGraphicFramePr/>
                  <a:graphic xmlns:a="http://schemas.openxmlformats.org/drawingml/2006/main">
                    <a:graphicData uri="http://schemas.openxmlformats.org/drawingml/2006/picture">
                      <pic:pic xmlns:pic="http://schemas.openxmlformats.org/drawingml/2006/picture">
                        <pic:nvPicPr>
                          <pic:cNvPr id="27" name="IM 14"/>
                          <pic:cNvPicPr/>
                        </pic:nvPicPr>
                        <pic:blipFill>
                          <a:blip r:embed="rId41"/>
                          <a:stretch>
                            <a:fillRect/>
                          </a:stretch>
                        </pic:blipFill>
                        <pic:spPr>
                          <a:xfrm>
                            <a:off x="0" y="0"/>
                            <a:ext cx="65968" cy="121908"/>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732E1E4F">
            <w:pPr>
              <w:spacing w:before="59"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9A0661C">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70E88F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0F2D1CC7">
            <w:pPr>
              <w:rPr>
                <w:szCs w:val="21"/>
              </w:rPr>
            </w:pPr>
          </w:p>
        </w:tc>
        <w:tc>
          <w:tcPr>
            <w:tcW w:w="588" w:type="dxa"/>
            <w:vMerge w:val="continue"/>
            <w:tcBorders>
              <w:tl2br w:val="nil"/>
              <w:tr2bl w:val="nil"/>
            </w:tcBorders>
          </w:tcPr>
          <w:p w14:paraId="4D0ADFDC">
            <w:pPr>
              <w:rPr>
                <w:szCs w:val="21"/>
              </w:rPr>
            </w:pPr>
          </w:p>
        </w:tc>
        <w:tc>
          <w:tcPr>
            <w:tcW w:w="1764" w:type="dxa"/>
            <w:tcBorders>
              <w:tl2br w:val="nil"/>
              <w:tr2bl w:val="nil"/>
            </w:tcBorders>
          </w:tcPr>
          <w:p w14:paraId="265F56BA">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7B09A2B8">
            <w:pPr>
              <w:rPr>
                <w:szCs w:val="21"/>
              </w:rPr>
            </w:pPr>
          </w:p>
        </w:tc>
        <w:tc>
          <w:tcPr>
            <w:tcW w:w="1605" w:type="dxa"/>
            <w:tcBorders>
              <w:tl2br w:val="nil"/>
              <w:tr2bl w:val="nil"/>
            </w:tcBorders>
          </w:tcPr>
          <w:p w14:paraId="7A267D41">
            <w:pPr>
              <w:spacing w:before="211" w:line="213" w:lineRule="auto"/>
              <w:ind w:left="550"/>
              <w:rPr>
                <w:szCs w:val="21"/>
              </w:rPr>
            </w:pPr>
            <w:r>
              <w:rPr>
                <w:spacing w:val="-2"/>
                <w:szCs w:val="21"/>
              </w:rPr>
              <w:t>1</w:t>
            </w:r>
            <w:r>
              <w:rPr>
                <w:position w:val="-5"/>
                <w:szCs w:val="21"/>
              </w:rPr>
              <w:drawing>
                <wp:inline distT="0" distB="0" distL="0" distR="0">
                  <wp:extent cx="65405" cy="121285"/>
                  <wp:effectExtent l="0" t="0" r="10795" b="13335"/>
                  <wp:docPr id="28" name="IM 15"/>
                  <wp:cNvGraphicFramePr/>
                  <a:graphic xmlns:a="http://schemas.openxmlformats.org/drawingml/2006/main">
                    <a:graphicData uri="http://schemas.openxmlformats.org/drawingml/2006/picture">
                      <pic:pic xmlns:pic="http://schemas.openxmlformats.org/drawingml/2006/picture">
                        <pic:nvPicPr>
                          <pic:cNvPr id="28" name="IM 15"/>
                          <pic:cNvPicPr/>
                        </pic:nvPicPr>
                        <pic:blipFill>
                          <a:blip r:embed="rId40"/>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0A1B5F91">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3DF0ED06">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E767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30DFF331">
            <w:pPr>
              <w:rPr>
                <w:szCs w:val="21"/>
              </w:rPr>
            </w:pPr>
          </w:p>
        </w:tc>
        <w:tc>
          <w:tcPr>
            <w:tcW w:w="588" w:type="dxa"/>
            <w:vMerge w:val="continue"/>
            <w:tcBorders>
              <w:tl2br w:val="nil"/>
              <w:tr2bl w:val="nil"/>
            </w:tcBorders>
          </w:tcPr>
          <w:p w14:paraId="1CF33592">
            <w:pPr>
              <w:rPr>
                <w:szCs w:val="21"/>
              </w:rPr>
            </w:pPr>
          </w:p>
        </w:tc>
        <w:tc>
          <w:tcPr>
            <w:tcW w:w="1764" w:type="dxa"/>
            <w:tcBorders>
              <w:tl2br w:val="nil"/>
              <w:tr2bl w:val="nil"/>
            </w:tcBorders>
          </w:tcPr>
          <w:p w14:paraId="4C169214">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110E0EE3">
            <w:pPr>
              <w:rPr>
                <w:szCs w:val="21"/>
              </w:rPr>
            </w:pPr>
          </w:p>
        </w:tc>
        <w:tc>
          <w:tcPr>
            <w:tcW w:w="1605" w:type="dxa"/>
            <w:tcBorders>
              <w:tl2br w:val="nil"/>
              <w:tr2bl w:val="nil"/>
            </w:tcBorders>
          </w:tcPr>
          <w:p w14:paraId="32C72E14">
            <w:pPr>
              <w:spacing w:before="211" w:line="213" w:lineRule="auto"/>
              <w:ind w:left="539"/>
              <w:rPr>
                <w:szCs w:val="21"/>
              </w:rPr>
            </w:pPr>
            <w:r>
              <w:rPr>
                <w:spacing w:val="1"/>
                <w:szCs w:val="21"/>
              </w:rPr>
              <w:t>3</w:t>
            </w:r>
            <w:r>
              <w:rPr>
                <w:position w:val="-5"/>
                <w:szCs w:val="21"/>
              </w:rPr>
              <w:drawing>
                <wp:inline distT="0" distB="0" distL="0" distR="0">
                  <wp:extent cx="65405" cy="121285"/>
                  <wp:effectExtent l="0" t="0" r="10795" b="13335"/>
                  <wp:docPr id="29" name="IM 16"/>
                  <wp:cNvGraphicFramePr/>
                  <a:graphic xmlns:a="http://schemas.openxmlformats.org/drawingml/2006/main">
                    <a:graphicData uri="http://schemas.openxmlformats.org/drawingml/2006/picture">
                      <pic:pic xmlns:pic="http://schemas.openxmlformats.org/drawingml/2006/picture">
                        <pic:nvPicPr>
                          <pic:cNvPr id="29" name="IM 16"/>
                          <pic:cNvPicPr/>
                        </pic:nvPicPr>
                        <pic:blipFill>
                          <a:blip r:embed="rId41"/>
                          <a:stretch>
                            <a:fillRect/>
                          </a:stretch>
                        </pic:blipFill>
                        <pic:spPr>
                          <a:xfrm>
                            <a:off x="0" y="0"/>
                            <a:ext cx="65968" cy="121908"/>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33DE6F57">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B97C8E4">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45823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70" w:type="dxa"/>
            <w:vMerge w:val="restart"/>
            <w:tcBorders>
              <w:tl2br w:val="nil"/>
              <w:tr2bl w:val="nil"/>
            </w:tcBorders>
          </w:tcPr>
          <w:p w14:paraId="50EA8448">
            <w:pPr>
              <w:spacing w:line="284" w:lineRule="auto"/>
              <w:rPr>
                <w:szCs w:val="21"/>
              </w:rPr>
            </w:pPr>
          </w:p>
          <w:p w14:paraId="5E72825E">
            <w:pPr>
              <w:spacing w:line="284" w:lineRule="auto"/>
              <w:rPr>
                <w:szCs w:val="21"/>
              </w:rPr>
            </w:pPr>
          </w:p>
          <w:p w14:paraId="6653B716">
            <w:pPr>
              <w:spacing w:line="284" w:lineRule="auto"/>
              <w:rPr>
                <w:szCs w:val="21"/>
              </w:rPr>
            </w:pPr>
          </w:p>
          <w:p w14:paraId="700E0104">
            <w:pPr>
              <w:spacing w:line="284" w:lineRule="auto"/>
              <w:rPr>
                <w:szCs w:val="21"/>
              </w:rPr>
            </w:pPr>
          </w:p>
          <w:p w14:paraId="799FF6E0">
            <w:pPr>
              <w:spacing w:before="69" w:line="185" w:lineRule="auto"/>
              <w:ind w:left="184"/>
              <w:rPr>
                <w:szCs w:val="21"/>
              </w:rPr>
            </w:pPr>
            <w:r>
              <w:rPr>
                <w:szCs w:val="21"/>
              </w:rPr>
              <w:t>4</w:t>
            </w:r>
          </w:p>
        </w:tc>
        <w:tc>
          <w:tcPr>
            <w:tcW w:w="588" w:type="dxa"/>
            <w:vMerge w:val="restart"/>
            <w:tcBorders>
              <w:tl2br w:val="nil"/>
              <w:tr2bl w:val="nil"/>
            </w:tcBorders>
          </w:tcPr>
          <w:p w14:paraId="7FDE3BB2">
            <w:pPr>
              <w:spacing w:line="275" w:lineRule="auto"/>
              <w:rPr>
                <w:szCs w:val="21"/>
              </w:rPr>
            </w:pPr>
          </w:p>
          <w:p w14:paraId="104830E0">
            <w:pPr>
              <w:spacing w:line="275" w:lineRule="auto"/>
              <w:rPr>
                <w:szCs w:val="21"/>
              </w:rPr>
            </w:pPr>
          </w:p>
          <w:p w14:paraId="0DD1020E">
            <w:pPr>
              <w:spacing w:line="275" w:lineRule="auto"/>
              <w:rPr>
                <w:szCs w:val="21"/>
              </w:rPr>
            </w:pPr>
          </w:p>
          <w:p w14:paraId="7D52A8C9">
            <w:pPr>
              <w:spacing w:line="276" w:lineRule="auto"/>
              <w:rPr>
                <w:szCs w:val="21"/>
              </w:rPr>
            </w:pPr>
          </w:p>
          <w:p w14:paraId="0A61FF56">
            <w:pPr>
              <w:spacing w:before="69" w:line="224" w:lineRule="auto"/>
              <w:ind w:left="191"/>
              <w:rPr>
                <w:szCs w:val="21"/>
              </w:rPr>
            </w:pPr>
            <w:r>
              <w:rPr>
                <w:szCs w:val="21"/>
              </w:rPr>
              <w:t>北</w:t>
            </w:r>
          </w:p>
        </w:tc>
        <w:tc>
          <w:tcPr>
            <w:tcW w:w="1764" w:type="dxa"/>
            <w:tcBorders>
              <w:tl2br w:val="nil"/>
              <w:tr2bl w:val="nil"/>
            </w:tcBorders>
          </w:tcPr>
          <w:p w14:paraId="3E4E7E2A">
            <w:pPr>
              <w:spacing w:before="218" w:line="221" w:lineRule="auto"/>
              <w:ind w:left="373"/>
              <w:rPr>
                <w:szCs w:val="21"/>
              </w:rPr>
            </w:pPr>
            <w:r>
              <w:rPr>
                <w:spacing w:val="-5"/>
                <w:szCs w:val="21"/>
              </w:rPr>
              <w:t>四至范围内</w:t>
            </w:r>
          </w:p>
        </w:tc>
        <w:tc>
          <w:tcPr>
            <w:tcW w:w="1528" w:type="dxa"/>
            <w:vMerge w:val="continue"/>
            <w:tcBorders>
              <w:tl2br w:val="nil"/>
              <w:tr2bl w:val="nil"/>
            </w:tcBorders>
          </w:tcPr>
          <w:p w14:paraId="5308CDD1">
            <w:pPr>
              <w:rPr>
                <w:szCs w:val="21"/>
              </w:rPr>
            </w:pPr>
          </w:p>
        </w:tc>
        <w:tc>
          <w:tcPr>
            <w:tcW w:w="1605" w:type="dxa"/>
            <w:tcBorders>
              <w:tl2br w:val="nil"/>
              <w:tr2bl w:val="nil"/>
            </w:tcBorders>
          </w:tcPr>
          <w:p w14:paraId="0FB00CB7">
            <w:pPr>
              <w:spacing w:before="214" w:line="213" w:lineRule="auto"/>
              <w:ind w:left="539"/>
              <w:rPr>
                <w:szCs w:val="21"/>
              </w:rPr>
            </w:pPr>
            <w:r>
              <w:rPr>
                <w:spacing w:val="1"/>
                <w:szCs w:val="21"/>
              </w:rPr>
              <w:t>3</w:t>
            </w:r>
            <w:r>
              <w:rPr>
                <w:position w:val="-5"/>
                <w:szCs w:val="21"/>
              </w:rPr>
              <w:drawing>
                <wp:inline distT="0" distB="0" distL="0" distR="0">
                  <wp:extent cx="65405" cy="121285"/>
                  <wp:effectExtent l="0" t="0" r="10795" b="13335"/>
                  <wp:docPr id="38" name="IM 17"/>
                  <wp:cNvGraphicFramePr/>
                  <a:graphic xmlns:a="http://schemas.openxmlformats.org/drawingml/2006/main">
                    <a:graphicData uri="http://schemas.openxmlformats.org/drawingml/2006/picture">
                      <pic:pic xmlns:pic="http://schemas.openxmlformats.org/drawingml/2006/picture">
                        <pic:nvPicPr>
                          <pic:cNvPr id="38" name="IM 17"/>
                          <pic:cNvPicPr/>
                        </pic:nvPicPr>
                        <pic:blipFill>
                          <a:blip r:embed="rId42"/>
                          <a:stretch>
                            <a:fillRect/>
                          </a:stretch>
                        </pic:blipFill>
                        <pic:spPr>
                          <a:xfrm>
                            <a:off x="0" y="0"/>
                            <a:ext cx="65968" cy="121907"/>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4DB88C30">
            <w:pPr>
              <w:spacing w:before="63"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6C276C0">
            <w:pPr>
              <w:spacing w:before="62"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40C5E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10715942">
            <w:pPr>
              <w:rPr>
                <w:szCs w:val="21"/>
              </w:rPr>
            </w:pPr>
          </w:p>
        </w:tc>
        <w:tc>
          <w:tcPr>
            <w:tcW w:w="588" w:type="dxa"/>
            <w:vMerge w:val="continue"/>
            <w:tcBorders>
              <w:tl2br w:val="nil"/>
              <w:tr2bl w:val="nil"/>
            </w:tcBorders>
          </w:tcPr>
          <w:p w14:paraId="79D152C0">
            <w:pPr>
              <w:rPr>
                <w:szCs w:val="21"/>
              </w:rPr>
            </w:pPr>
          </w:p>
        </w:tc>
        <w:tc>
          <w:tcPr>
            <w:tcW w:w="1764" w:type="dxa"/>
            <w:tcBorders>
              <w:tl2br w:val="nil"/>
              <w:tr2bl w:val="nil"/>
            </w:tcBorders>
          </w:tcPr>
          <w:p w14:paraId="3538B91D">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3A5C0B58">
            <w:pPr>
              <w:rPr>
                <w:szCs w:val="21"/>
              </w:rPr>
            </w:pPr>
          </w:p>
        </w:tc>
        <w:tc>
          <w:tcPr>
            <w:tcW w:w="1605" w:type="dxa"/>
            <w:tcBorders>
              <w:tl2br w:val="nil"/>
              <w:tr2bl w:val="nil"/>
            </w:tcBorders>
          </w:tcPr>
          <w:p w14:paraId="20CC3873">
            <w:pPr>
              <w:spacing w:before="210" w:line="214" w:lineRule="auto"/>
              <w:ind w:left="539"/>
              <w:rPr>
                <w:szCs w:val="21"/>
              </w:rPr>
            </w:pPr>
            <w:r>
              <w:rPr>
                <w:spacing w:val="1"/>
                <w:szCs w:val="21"/>
              </w:rPr>
              <w:t>3</w:t>
            </w:r>
            <w:r>
              <w:rPr>
                <w:position w:val="-5"/>
                <w:szCs w:val="21"/>
              </w:rPr>
              <w:drawing>
                <wp:inline distT="0" distB="0" distL="0" distR="0">
                  <wp:extent cx="65405" cy="121285"/>
                  <wp:effectExtent l="0" t="0" r="10795" b="13335"/>
                  <wp:docPr id="39" name="IM 18"/>
                  <wp:cNvGraphicFramePr/>
                  <a:graphic xmlns:a="http://schemas.openxmlformats.org/drawingml/2006/main">
                    <a:graphicData uri="http://schemas.openxmlformats.org/drawingml/2006/picture">
                      <pic:pic xmlns:pic="http://schemas.openxmlformats.org/drawingml/2006/picture">
                        <pic:nvPicPr>
                          <pic:cNvPr id="39" name="IM 18"/>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5EA34423">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AD63F5E">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4F82B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1BCB1515">
            <w:pPr>
              <w:rPr>
                <w:szCs w:val="21"/>
              </w:rPr>
            </w:pPr>
          </w:p>
        </w:tc>
        <w:tc>
          <w:tcPr>
            <w:tcW w:w="588" w:type="dxa"/>
            <w:vMerge w:val="continue"/>
            <w:tcBorders>
              <w:tl2br w:val="nil"/>
              <w:tr2bl w:val="nil"/>
            </w:tcBorders>
          </w:tcPr>
          <w:p w14:paraId="0B32E117">
            <w:pPr>
              <w:rPr>
                <w:szCs w:val="21"/>
              </w:rPr>
            </w:pPr>
          </w:p>
        </w:tc>
        <w:tc>
          <w:tcPr>
            <w:tcW w:w="1764" w:type="dxa"/>
            <w:tcBorders>
              <w:tl2br w:val="nil"/>
              <w:tr2bl w:val="nil"/>
            </w:tcBorders>
          </w:tcPr>
          <w:p w14:paraId="00D1DBBF">
            <w:pPr>
              <w:spacing w:before="216" w:line="221" w:lineRule="auto"/>
              <w:ind w:left="373"/>
              <w:rPr>
                <w:szCs w:val="21"/>
              </w:rPr>
            </w:pPr>
            <w:r>
              <w:rPr>
                <w:spacing w:val="-5"/>
                <w:szCs w:val="21"/>
              </w:rPr>
              <w:t>四至范围内</w:t>
            </w:r>
          </w:p>
        </w:tc>
        <w:tc>
          <w:tcPr>
            <w:tcW w:w="1528" w:type="dxa"/>
            <w:vMerge w:val="continue"/>
            <w:tcBorders>
              <w:tl2br w:val="nil"/>
              <w:tr2bl w:val="nil"/>
            </w:tcBorders>
          </w:tcPr>
          <w:p w14:paraId="18115FDD">
            <w:pPr>
              <w:rPr>
                <w:szCs w:val="21"/>
              </w:rPr>
            </w:pPr>
          </w:p>
        </w:tc>
        <w:tc>
          <w:tcPr>
            <w:tcW w:w="1605" w:type="dxa"/>
            <w:tcBorders>
              <w:tl2br w:val="nil"/>
              <w:tr2bl w:val="nil"/>
            </w:tcBorders>
          </w:tcPr>
          <w:p w14:paraId="44364711">
            <w:pPr>
              <w:spacing w:before="212" w:line="213" w:lineRule="auto"/>
              <w:ind w:left="550"/>
              <w:rPr>
                <w:szCs w:val="21"/>
              </w:rPr>
            </w:pPr>
            <w:r>
              <w:rPr>
                <w:spacing w:val="-2"/>
                <w:szCs w:val="21"/>
              </w:rPr>
              <w:t>1</w:t>
            </w:r>
            <w:r>
              <w:rPr>
                <w:position w:val="-5"/>
                <w:szCs w:val="21"/>
              </w:rPr>
              <w:drawing>
                <wp:inline distT="0" distB="0" distL="0" distR="0">
                  <wp:extent cx="65405" cy="121285"/>
                  <wp:effectExtent l="0" t="0" r="10795" b="13335"/>
                  <wp:docPr id="40" name="IM 19"/>
                  <wp:cNvGraphicFramePr/>
                  <a:graphic xmlns:a="http://schemas.openxmlformats.org/drawingml/2006/main">
                    <a:graphicData uri="http://schemas.openxmlformats.org/drawingml/2006/picture">
                      <pic:pic xmlns:pic="http://schemas.openxmlformats.org/drawingml/2006/picture">
                        <pic:nvPicPr>
                          <pic:cNvPr id="40" name="IM 19"/>
                          <pic:cNvPicPr/>
                        </pic:nvPicPr>
                        <pic:blipFill>
                          <a:blip r:embed="rId41"/>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353B50FA">
            <w:pPr>
              <w:spacing w:before="61"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290142C4">
            <w:pPr>
              <w:spacing w:before="60"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A1553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0582106F">
            <w:pPr>
              <w:rPr>
                <w:szCs w:val="21"/>
              </w:rPr>
            </w:pPr>
          </w:p>
        </w:tc>
        <w:tc>
          <w:tcPr>
            <w:tcW w:w="588" w:type="dxa"/>
            <w:vMerge w:val="continue"/>
            <w:tcBorders>
              <w:tl2br w:val="nil"/>
              <w:tr2bl w:val="nil"/>
            </w:tcBorders>
          </w:tcPr>
          <w:p w14:paraId="6EE6190B">
            <w:pPr>
              <w:rPr>
                <w:szCs w:val="21"/>
              </w:rPr>
            </w:pPr>
          </w:p>
        </w:tc>
        <w:tc>
          <w:tcPr>
            <w:tcW w:w="1764" w:type="dxa"/>
            <w:tcBorders>
              <w:tl2br w:val="nil"/>
              <w:tr2bl w:val="nil"/>
            </w:tcBorders>
          </w:tcPr>
          <w:p w14:paraId="4A4A09CC">
            <w:pPr>
              <w:spacing w:before="216" w:line="221" w:lineRule="auto"/>
              <w:ind w:left="373"/>
              <w:rPr>
                <w:szCs w:val="21"/>
              </w:rPr>
            </w:pPr>
            <w:r>
              <w:rPr>
                <w:spacing w:val="-5"/>
                <w:szCs w:val="21"/>
              </w:rPr>
              <w:t>四至范围内</w:t>
            </w:r>
          </w:p>
        </w:tc>
        <w:tc>
          <w:tcPr>
            <w:tcW w:w="1528" w:type="dxa"/>
            <w:vMerge w:val="continue"/>
            <w:tcBorders>
              <w:tl2br w:val="nil"/>
              <w:tr2bl w:val="nil"/>
            </w:tcBorders>
          </w:tcPr>
          <w:p w14:paraId="3EBC81FD">
            <w:pPr>
              <w:rPr>
                <w:szCs w:val="21"/>
              </w:rPr>
            </w:pPr>
          </w:p>
        </w:tc>
        <w:tc>
          <w:tcPr>
            <w:tcW w:w="1605" w:type="dxa"/>
            <w:tcBorders>
              <w:tl2br w:val="nil"/>
              <w:tr2bl w:val="nil"/>
            </w:tcBorders>
          </w:tcPr>
          <w:p w14:paraId="75500404">
            <w:pPr>
              <w:spacing w:before="213" w:line="213" w:lineRule="auto"/>
              <w:ind w:left="539"/>
              <w:rPr>
                <w:szCs w:val="21"/>
              </w:rPr>
            </w:pPr>
            <w:r>
              <w:rPr>
                <w:spacing w:val="1"/>
                <w:szCs w:val="21"/>
              </w:rPr>
              <w:t>3</w:t>
            </w:r>
            <w:r>
              <w:rPr>
                <w:position w:val="-5"/>
                <w:szCs w:val="21"/>
              </w:rPr>
              <w:drawing>
                <wp:inline distT="0" distB="0" distL="0" distR="0">
                  <wp:extent cx="65405" cy="121285"/>
                  <wp:effectExtent l="0" t="0" r="10795" b="13335"/>
                  <wp:docPr id="41" name="IM 20"/>
                  <wp:cNvGraphicFramePr/>
                  <a:graphic xmlns:a="http://schemas.openxmlformats.org/drawingml/2006/main">
                    <a:graphicData uri="http://schemas.openxmlformats.org/drawingml/2006/picture">
                      <pic:pic xmlns:pic="http://schemas.openxmlformats.org/drawingml/2006/picture">
                        <pic:nvPicPr>
                          <pic:cNvPr id="41" name="IM 20"/>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0A6DD8DE">
            <w:pPr>
              <w:spacing w:before="62"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A9DD25D">
            <w:pPr>
              <w:spacing w:before="60"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72964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9404" w:type="dxa"/>
            <w:gridSpan w:val="7"/>
            <w:tcBorders>
              <w:tl2br w:val="nil"/>
              <w:tr2bl w:val="nil"/>
            </w:tcBorders>
          </w:tcPr>
          <w:p w14:paraId="30CEE1D6">
            <w:pPr>
              <w:spacing w:before="133" w:line="221" w:lineRule="auto"/>
              <w:ind w:left="3758"/>
              <w:rPr>
                <w:szCs w:val="21"/>
              </w:rPr>
            </w:pPr>
            <w:r>
              <w:rPr>
                <w:spacing w:val="13"/>
                <w:szCs w:val="21"/>
              </w:rPr>
              <w:t>区块二</w:t>
            </w:r>
          </w:p>
        </w:tc>
      </w:tr>
      <w:tr w14:paraId="2AD1B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70" w:type="dxa"/>
            <w:tcBorders>
              <w:tl2br w:val="nil"/>
              <w:tr2bl w:val="nil"/>
            </w:tcBorders>
            <w:textDirection w:val="tbRlV"/>
          </w:tcPr>
          <w:p w14:paraId="45C76038">
            <w:pPr>
              <w:spacing w:before="126" w:line="211" w:lineRule="auto"/>
              <w:ind w:left="53"/>
              <w:rPr>
                <w:szCs w:val="21"/>
              </w:rPr>
            </w:pPr>
            <w:r>
              <w:rPr>
                <w:spacing w:val="-1"/>
                <w:szCs w:val="21"/>
              </w:rPr>
              <w:t xml:space="preserve">序 </w:t>
            </w:r>
            <w:r>
              <w:rPr>
                <w:szCs w:val="21"/>
              </w:rPr>
              <w:t>号</w:t>
            </w:r>
          </w:p>
        </w:tc>
        <w:tc>
          <w:tcPr>
            <w:tcW w:w="588" w:type="dxa"/>
            <w:tcBorders>
              <w:tl2br w:val="nil"/>
              <w:tr2bl w:val="nil"/>
            </w:tcBorders>
            <w:textDirection w:val="tbRlV"/>
          </w:tcPr>
          <w:p w14:paraId="1C3D3F29">
            <w:pPr>
              <w:spacing w:before="186" w:line="210" w:lineRule="auto"/>
              <w:ind w:left="53"/>
              <w:rPr>
                <w:szCs w:val="21"/>
              </w:rPr>
            </w:pPr>
            <w:r>
              <w:rPr>
                <w:spacing w:val="-1"/>
                <w:szCs w:val="21"/>
              </w:rPr>
              <w:t xml:space="preserve">方 </w:t>
            </w:r>
            <w:r>
              <w:rPr>
                <w:szCs w:val="21"/>
              </w:rPr>
              <w:t>位</w:t>
            </w:r>
          </w:p>
        </w:tc>
        <w:tc>
          <w:tcPr>
            <w:tcW w:w="1764" w:type="dxa"/>
            <w:tcBorders>
              <w:tl2br w:val="nil"/>
              <w:tr2bl w:val="nil"/>
            </w:tcBorders>
          </w:tcPr>
          <w:p w14:paraId="0C65C1EC">
            <w:pPr>
              <w:spacing w:before="53" w:line="248" w:lineRule="auto"/>
              <w:ind w:left="512" w:right="141" w:hanging="366"/>
              <w:rPr>
                <w:szCs w:val="21"/>
              </w:rPr>
            </w:pPr>
            <w:r>
              <w:rPr>
                <w:spacing w:val="-1"/>
                <w:szCs w:val="21"/>
              </w:rPr>
              <w:t>外部安全防</w:t>
            </w:r>
            <w:r>
              <w:rPr>
                <w:szCs w:val="21"/>
              </w:rPr>
              <w:t xml:space="preserve">护距 </w:t>
            </w:r>
            <w:r>
              <w:rPr>
                <w:spacing w:val="32"/>
                <w:szCs w:val="21"/>
              </w:rPr>
              <w:t>离(</w:t>
            </w:r>
            <w:r>
              <w:rPr>
                <w:szCs w:val="21"/>
              </w:rPr>
              <w:t>m</w:t>
            </w:r>
            <w:r>
              <w:rPr>
                <w:spacing w:val="32"/>
                <w:szCs w:val="21"/>
              </w:rPr>
              <w:t>)</w:t>
            </w:r>
          </w:p>
        </w:tc>
        <w:tc>
          <w:tcPr>
            <w:tcW w:w="1528" w:type="dxa"/>
            <w:tcBorders>
              <w:tl2br w:val="nil"/>
              <w:tr2bl w:val="nil"/>
            </w:tcBorders>
          </w:tcPr>
          <w:p w14:paraId="2BDE44BC">
            <w:pPr>
              <w:spacing w:before="209" w:line="220" w:lineRule="auto"/>
              <w:ind w:left="552"/>
              <w:rPr>
                <w:szCs w:val="21"/>
              </w:rPr>
            </w:pPr>
            <w:r>
              <w:rPr>
                <w:spacing w:val="-2"/>
                <w:szCs w:val="21"/>
              </w:rPr>
              <w:t>依据</w:t>
            </w:r>
          </w:p>
        </w:tc>
        <w:tc>
          <w:tcPr>
            <w:tcW w:w="1605" w:type="dxa"/>
            <w:tcBorders>
              <w:tl2br w:val="nil"/>
              <w:tr2bl w:val="nil"/>
            </w:tcBorders>
          </w:tcPr>
          <w:p w14:paraId="59773C01">
            <w:pPr>
              <w:spacing w:before="210" w:line="221" w:lineRule="auto"/>
              <w:ind w:left="280"/>
              <w:rPr>
                <w:szCs w:val="21"/>
              </w:rPr>
            </w:pPr>
            <w:r>
              <w:rPr>
                <w:spacing w:val="-1"/>
                <w:szCs w:val="21"/>
              </w:rPr>
              <w:t>可容许风</w:t>
            </w:r>
            <w:r>
              <w:rPr>
                <w:szCs w:val="21"/>
              </w:rPr>
              <w:t>险</w:t>
            </w:r>
          </w:p>
        </w:tc>
        <w:tc>
          <w:tcPr>
            <w:tcW w:w="1955" w:type="dxa"/>
            <w:tcBorders>
              <w:tl2br w:val="nil"/>
              <w:tr2bl w:val="nil"/>
            </w:tcBorders>
          </w:tcPr>
          <w:p w14:paraId="3BEBC973">
            <w:pPr>
              <w:spacing w:before="209" w:line="221" w:lineRule="auto"/>
              <w:ind w:left="560"/>
              <w:rPr>
                <w:szCs w:val="21"/>
              </w:rPr>
            </w:pPr>
            <w:r>
              <w:rPr>
                <w:spacing w:val="-1"/>
                <w:szCs w:val="21"/>
              </w:rPr>
              <w:t>检查结</w:t>
            </w:r>
            <w:r>
              <w:rPr>
                <w:szCs w:val="21"/>
              </w:rPr>
              <w:t>果</w:t>
            </w:r>
          </w:p>
        </w:tc>
        <w:tc>
          <w:tcPr>
            <w:tcW w:w="1494" w:type="dxa"/>
            <w:tcBorders>
              <w:tl2br w:val="nil"/>
              <w:tr2bl w:val="nil"/>
            </w:tcBorders>
          </w:tcPr>
          <w:p w14:paraId="4E17498F">
            <w:pPr>
              <w:spacing w:before="209" w:line="222" w:lineRule="auto"/>
              <w:ind w:left="540"/>
              <w:rPr>
                <w:szCs w:val="21"/>
              </w:rPr>
            </w:pPr>
            <w:r>
              <w:rPr>
                <w:spacing w:val="-3"/>
                <w:szCs w:val="21"/>
              </w:rPr>
              <w:t>备</w:t>
            </w:r>
            <w:r>
              <w:rPr>
                <w:spacing w:val="-2"/>
                <w:szCs w:val="21"/>
              </w:rPr>
              <w:t>注</w:t>
            </w:r>
          </w:p>
        </w:tc>
      </w:tr>
      <w:tr w14:paraId="5C3EC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restart"/>
            <w:tcBorders>
              <w:tl2br w:val="nil"/>
              <w:tr2bl w:val="nil"/>
            </w:tcBorders>
          </w:tcPr>
          <w:p w14:paraId="305097EF">
            <w:pPr>
              <w:spacing w:line="282" w:lineRule="auto"/>
              <w:rPr>
                <w:szCs w:val="21"/>
              </w:rPr>
            </w:pPr>
          </w:p>
          <w:p w14:paraId="7E50851E">
            <w:pPr>
              <w:spacing w:line="283" w:lineRule="auto"/>
              <w:rPr>
                <w:szCs w:val="21"/>
              </w:rPr>
            </w:pPr>
          </w:p>
          <w:p w14:paraId="63B51400">
            <w:pPr>
              <w:spacing w:line="283" w:lineRule="auto"/>
              <w:rPr>
                <w:szCs w:val="21"/>
              </w:rPr>
            </w:pPr>
          </w:p>
          <w:p w14:paraId="0881FF08">
            <w:pPr>
              <w:spacing w:line="283" w:lineRule="auto"/>
              <w:rPr>
                <w:szCs w:val="21"/>
              </w:rPr>
            </w:pPr>
          </w:p>
          <w:p w14:paraId="27E00ADC">
            <w:pPr>
              <w:spacing w:before="68" w:line="186" w:lineRule="auto"/>
              <w:ind w:left="201"/>
              <w:rPr>
                <w:szCs w:val="21"/>
              </w:rPr>
            </w:pPr>
            <w:r>
              <w:rPr>
                <w:szCs w:val="21"/>
              </w:rPr>
              <w:t>1</w:t>
            </w:r>
          </w:p>
        </w:tc>
        <w:tc>
          <w:tcPr>
            <w:tcW w:w="588" w:type="dxa"/>
            <w:vMerge w:val="restart"/>
            <w:tcBorders>
              <w:tl2br w:val="nil"/>
              <w:tr2bl w:val="nil"/>
            </w:tcBorders>
          </w:tcPr>
          <w:p w14:paraId="38FC7EAE">
            <w:pPr>
              <w:spacing w:line="274" w:lineRule="auto"/>
              <w:rPr>
                <w:szCs w:val="21"/>
              </w:rPr>
            </w:pPr>
          </w:p>
          <w:p w14:paraId="125339ED">
            <w:pPr>
              <w:spacing w:line="274" w:lineRule="auto"/>
              <w:rPr>
                <w:szCs w:val="21"/>
              </w:rPr>
            </w:pPr>
          </w:p>
          <w:p w14:paraId="7EA57922">
            <w:pPr>
              <w:spacing w:line="274" w:lineRule="auto"/>
              <w:rPr>
                <w:szCs w:val="21"/>
              </w:rPr>
            </w:pPr>
          </w:p>
          <w:p w14:paraId="4CFA958A">
            <w:pPr>
              <w:spacing w:line="275" w:lineRule="auto"/>
              <w:rPr>
                <w:szCs w:val="21"/>
              </w:rPr>
            </w:pPr>
          </w:p>
          <w:p w14:paraId="2AD7E746">
            <w:pPr>
              <w:spacing w:before="68" w:line="223" w:lineRule="auto"/>
              <w:ind w:left="190"/>
              <w:rPr>
                <w:szCs w:val="21"/>
              </w:rPr>
            </w:pPr>
            <w:r>
              <w:rPr>
                <w:szCs w:val="21"/>
              </w:rPr>
              <w:t>南</w:t>
            </w:r>
          </w:p>
        </w:tc>
        <w:tc>
          <w:tcPr>
            <w:tcW w:w="1764" w:type="dxa"/>
            <w:tcBorders>
              <w:tl2br w:val="nil"/>
              <w:tr2bl w:val="nil"/>
            </w:tcBorders>
          </w:tcPr>
          <w:p w14:paraId="6E653DA7">
            <w:pPr>
              <w:spacing w:before="211" w:line="221" w:lineRule="auto"/>
              <w:ind w:left="373"/>
              <w:rPr>
                <w:szCs w:val="21"/>
              </w:rPr>
            </w:pPr>
            <w:r>
              <w:rPr>
                <w:spacing w:val="-5"/>
                <w:szCs w:val="21"/>
              </w:rPr>
              <w:t>四至范围内</w:t>
            </w:r>
          </w:p>
        </w:tc>
        <w:tc>
          <w:tcPr>
            <w:tcW w:w="1528" w:type="dxa"/>
            <w:vMerge w:val="restart"/>
            <w:tcBorders>
              <w:tl2br w:val="nil"/>
              <w:tr2bl w:val="nil"/>
            </w:tcBorders>
          </w:tcPr>
          <w:p w14:paraId="50EBBD45">
            <w:pPr>
              <w:spacing w:line="243" w:lineRule="auto"/>
              <w:rPr>
                <w:szCs w:val="21"/>
              </w:rPr>
            </w:pPr>
          </w:p>
          <w:p w14:paraId="7F2F865E">
            <w:pPr>
              <w:spacing w:line="243" w:lineRule="auto"/>
              <w:rPr>
                <w:szCs w:val="21"/>
              </w:rPr>
            </w:pPr>
          </w:p>
          <w:p w14:paraId="57DA91BF">
            <w:pPr>
              <w:spacing w:line="243" w:lineRule="auto"/>
              <w:rPr>
                <w:szCs w:val="21"/>
              </w:rPr>
            </w:pPr>
          </w:p>
          <w:p w14:paraId="3FED32A6">
            <w:pPr>
              <w:spacing w:line="243" w:lineRule="auto"/>
              <w:rPr>
                <w:szCs w:val="21"/>
              </w:rPr>
            </w:pPr>
          </w:p>
          <w:p w14:paraId="790E96D1">
            <w:pPr>
              <w:spacing w:line="243" w:lineRule="auto"/>
              <w:rPr>
                <w:szCs w:val="21"/>
              </w:rPr>
            </w:pPr>
          </w:p>
          <w:p w14:paraId="6B3426E6">
            <w:pPr>
              <w:spacing w:line="243" w:lineRule="auto"/>
              <w:rPr>
                <w:szCs w:val="21"/>
              </w:rPr>
            </w:pPr>
          </w:p>
          <w:p w14:paraId="1B70B6DC">
            <w:pPr>
              <w:spacing w:line="243" w:lineRule="auto"/>
              <w:rPr>
                <w:szCs w:val="21"/>
              </w:rPr>
            </w:pPr>
          </w:p>
          <w:p w14:paraId="49BBE471">
            <w:pPr>
              <w:spacing w:line="243" w:lineRule="auto"/>
              <w:rPr>
                <w:szCs w:val="21"/>
              </w:rPr>
            </w:pPr>
          </w:p>
          <w:p w14:paraId="4ABB800A">
            <w:pPr>
              <w:spacing w:line="243" w:lineRule="auto"/>
              <w:rPr>
                <w:szCs w:val="21"/>
              </w:rPr>
            </w:pPr>
          </w:p>
          <w:p w14:paraId="4FE262A1">
            <w:pPr>
              <w:spacing w:line="243" w:lineRule="auto"/>
              <w:rPr>
                <w:szCs w:val="21"/>
              </w:rPr>
            </w:pPr>
          </w:p>
          <w:p w14:paraId="75B175E9">
            <w:pPr>
              <w:spacing w:line="243" w:lineRule="auto"/>
              <w:rPr>
                <w:szCs w:val="21"/>
              </w:rPr>
            </w:pPr>
          </w:p>
          <w:p w14:paraId="368772DC">
            <w:pPr>
              <w:spacing w:line="243" w:lineRule="auto"/>
              <w:rPr>
                <w:szCs w:val="21"/>
              </w:rPr>
            </w:pPr>
          </w:p>
          <w:p w14:paraId="787668EA">
            <w:pPr>
              <w:spacing w:line="243" w:lineRule="auto"/>
              <w:rPr>
                <w:szCs w:val="21"/>
              </w:rPr>
            </w:pPr>
          </w:p>
          <w:p w14:paraId="51DA2188">
            <w:pPr>
              <w:spacing w:line="243" w:lineRule="auto"/>
              <w:rPr>
                <w:szCs w:val="21"/>
              </w:rPr>
            </w:pPr>
          </w:p>
          <w:p w14:paraId="0ADF0747">
            <w:pPr>
              <w:spacing w:line="243" w:lineRule="auto"/>
              <w:rPr>
                <w:szCs w:val="21"/>
              </w:rPr>
            </w:pPr>
          </w:p>
          <w:p w14:paraId="1A86C2DC">
            <w:pPr>
              <w:spacing w:line="243" w:lineRule="auto"/>
              <w:rPr>
                <w:szCs w:val="21"/>
              </w:rPr>
            </w:pPr>
          </w:p>
          <w:p w14:paraId="52DF22D3">
            <w:pPr>
              <w:spacing w:line="244" w:lineRule="auto"/>
              <w:rPr>
                <w:szCs w:val="21"/>
              </w:rPr>
            </w:pPr>
          </w:p>
          <w:p w14:paraId="166B3CB0">
            <w:pPr>
              <w:spacing w:before="69" w:line="279" w:lineRule="auto"/>
              <w:ind w:left="132" w:right="130" w:firstLine="2"/>
              <w:rPr>
                <w:szCs w:val="21"/>
              </w:rPr>
            </w:pPr>
            <w:r>
              <w:rPr>
                <w:spacing w:val="-2"/>
                <w:szCs w:val="21"/>
              </w:rPr>
              <w:t>《危</w:t>
            </w:r>
            <w:r>
              <w:rPr>
                <w:spacing w:val="-1"/>
                <w:szCs w:val="21"/>
              </w:rPr>
              <w:t>险化学品生产装置和</w:t>
            </w:r>
            <w:r>
              <w:rPr>
                <w:szCs w:val="21"/>
              </w:rPr>
              <w:t xml:space="preserve">储 </w:t>
            </w:r>
            <w:r>
              <w:rPr>
                <w:spacing w:val="-1"/>
                <w:szCs w:val="21"/>
              </w:rPr>
              <w:t>存设施外部</w:t>
            </w:r>
            <w:r>
              <w:rPr>
                <w:szCs w:val="21"/>
              </w:rPr>
              <w:t xml:space="preserve">安 </w:t>
            </w:r>
            <w:r>
              <w:rPr>
                <w:spacing w:val="-1"/>
                <w:szCs w:val="21"/>
              </w:rPr>
              <w:t>全防护距离</w:t>
            </w:r>
            <w:r>
              <w:rPr>
                <w:szCs w:val="21"/>
              </w:rPr>
              <w:t xml:space="preserve">确 </w:t>
            </w:r>
            <w:r>
              <w:rPr>
                <w:spacing w:val="-1"/>
                <w:szCs w:val="21"/>
              </w:rPr>
              <w:t>定方法》(GBT</w:t>
            </w:r>
            <w:r>
              <w:rPr>
                <w:spacing w:val="-2"/>
                <w:szCs w:val="21"/>
              </w:rPr>
              <w:t>37243-201</w:t>
            </w:r>
            <w:r>
              <w:rPr>
                <w:spacing w:val="-1"/>
                <w:szCs w:val="21"/>
              </w:rPr>
              <w:t>9)</w:t>
            </w:r>
          </w:p>
        </w:tc>
        <w:tc>
          <w:tcPr>
            <w:tcW w:w="1605" w:type="dxa"/>
            <w:tcBorders>
              <w:tl2br w:val="nil"/>
              <w:tr2bl w:val="nil"/>
            </w:tcBorders>
          </w:tcPr>
          <w:p w14:paraId="2BD76C8C">
            <w:pPr>
              <w:spacing w:before="208" w:line="213" w:lineRule="auto"/>
              <w:ind w:left="539"/>
              <w:rPr>
                <w:szCs w:val="21"/>
              </w:rPr>
            </w:pPr>
            <w:r>
              <w:rPr>
                <w:spacing w:val="1"/>
                <w:szCs w:val="21"/>
              </w:rPr>
              <w:t>3</w:t>
            </w:r>
            <w:r>
              <w:rPr>
                <w:position w:val="-5"/>
                <w:szCs w:val="21"/>
              </w:rPr>
              <w:drawing>
                <wp:inline distT="0" distB="0" distL="0" distR="0">
                  <wp:extent cx="65405" cy="121285"/>
                  <wp:effectExtent l="0" t="0" r="10795" b="13335"/>
                  <wp:docPr id="42" name="IM 21"/>
                  <wp:cNvGraphicFramePr/>
                  <a:graphic xmlns:a="http://schemas.openxmlformats.org/drawingml/2006/main">
                    <a:graphicData uri="http://schemas.openxmlformats.org/drawingml/2006/picture">
                      <pic:pic xmlns:pic="http://schemas.openxmlformats.org/drawingml/2006/picture">
                        <pic:nvPicPr>
                          <pic:cNvPr id="42" name="IM 21"/>
                          <pic:cNvPicPr/>
                        </pic:nvPicPr>
                        <pic:blipFill>
                          <a:blip r:embed="rId42"/>
                          <a:stretch>
                            <a:fillRect/>
                          </a:stretch>
                        </pic:blipFill>
                        <pic:spPr>
                          <a:xfrm>
                            <a:off x="0" y="0"/>
                            <a:ext cx="65968" cy="121907"/>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2A6E5B23">
            <w:pPr>
              <w:spacing w:before="57"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9E90062">
            <w:pPr>
              <w:spacing w:before="55"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0EF01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3A2E846D">
            <w:pPr>
              <w:rPr>
                <w:szCs w:val="21"/>
              </w:rPr>
            </w:pPr>
          </w:p>
        </w:tc>
        <w:tc>
          <w:tcPr>
            <w:tcW w:w="588" w:type="dxa"/>
            <w:vMerge w:val="continue"/>
            <w:tcBorders>
              <w:tl2br w:val="nil"/>
              <w:tr2bl w:val="nil"/>
            </w:tcBorders>
          </w:tcPr>
          <w:p w14:paraId="1D4EABE6">
            <w:pPr>
              <w:rPr>
                <w:szCs w:val="21"/>
              </w:rPr>
            </w:pPr>
          </w:p>
        </w:tc>
        <w:tc>
          <w:tcPr>
            <w:tcW w:w="1764" w:type="dxa"/>
            <w:tcBorders>
              <w:tl2br w:val="nil"/>
              <w:tr2bl w:val="nil"/>
            </w:tcBorders>
          </w:tcPr>
          <w:p w14:paraId="61E6F712">
            <w:pPr>
              <w:spacing w:before="212" w:line="221" w:lineRule="auto"/>
              <w:ind w:left="373"/>
              <w:rPr>
                <w:szCs w:val="21"/>
              </w:rPr>
            </w:pPr>
            <w:r>
              <w:rPr>
                <w:spacing w:val="-5"/>
                <w:szCs w:val="21"/>
              </w:rPr>
              <w:t>四至范围内</w:t>
            </w:r>
          </w:p>
        </w:tc>
        <w:tc>
          <w:tcPr>
            <w:tcW w:w="1528" w:type="dxa"/>
            <w:vMerge w:val="continue"/>
            <w:tcBorders>
              <w:tl2br w:val="nil"/>
              <w:tr2bl w:val="nil"/>
            </w:tcBorders>
          </w:tcPr>
          <w:p w14:paraId="736C4397">
            <w:pPr>
              <w:rPr>
                <w:szCs w:val="21"/>
              </w:rPr>
            </w:pPr>
          </w:p>
        </w:tc>
        <w:tc>
          <w:tcPr>
            <w:tcW w:w="1605" w:type="dxa"/>
            <w:tcBorders>
              <w:tl2br w:val="nil"/>
              <w:tr2bl w:val="nil"/>
            </w:tcBorders>
          </w:tcPr>
          <w:p w14:paraId="67DE5FDF">
            <w:pPr>
              <w:spacing w:before="207" w:line="214" w:lineRule="auto"/>
              <w:ind w:left="539"/>
              <w:rPr>
                <w:szCs w:val="21"/>
              </w:rPr>
            </w:pPr>
            <w:r>
              <w:rPr>
                <w:spacing w:val="1"/>
                <w:szCs w:val="21"/>
              </w:rPr>
              <w:t>3</w:t>
            </w:r>
            <w:r>
              <w:rPr>
                <w:position w:val="-5"/>
                <w:szCs w:val="21"/>
              </w:rPr>
              <w:drawing>
                <wp:inline distT="0" distB="0" distL="0" distR="0">
                  <wp:extent cx="65405" cy="121285"/>
                  <wp:effectExtent l="0" t="0" r="10795" b="13335"/>
                  <wp:docPr id="43" name="IM 22"/>
                  <wp:cNvGraphicFramePr/>
                  <a:graphic xmlns:a="http://schemas.openxmlformats.org/drawingml/2006/main">
                    <a:graphicData uri="http://schemas.openxmlformats.org/drawingml/2006/picture">
                      <pic:pic xmlns:pic="http://schemas.openxmlformats.org/drawingml/2006/picture">
                        <pic:nvPicPr>
                          <pic:cNvPr id="43" name="IM 22"/>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201745F8">
            <w:pPr>
              <w:spacing w:before="57"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1CCCE35B">
            <w:pPr>
              <w:spacing w:before="56"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6D377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70" w:type="dxa"/>
            <w:vMerge w:val="continue"/>
            <w:tcBorders>
              <w:tl2br w:val="nil"/>
              <w:tr2bl w:val="nil"/>
            </w:tcBorders>
          </w:tcPr>
          <w:p w14:paraId="4A75CA6F">
            <w:pPr>
              <w:rPr>
                <w:szCs w:val="21"/>
              </w:rPr>
            </w:pPr>
          </w:p>
        </w:tc>
        <w:tc>
          <w:tcPr>
            <w:tcW w:w="588" w:type="dxa"/>
            <w:vMerge w:val="continue"/>
            <w:tcBorders>
              <w:tl2br w:val="nil"/>
              <w:tr2bl w:val="nil"/>
            </w:tcBorders>
          </w:tcPr>
          <w:p w14:paraId="30C25683">
            <w:pPr>
              <w:rPr>
                <w:szCs w:val="21"/>
              </w:rPr>
            </w:pPr>
          </w:p>
        </w:tc>
        <w:tc>
          <w:tcPr>
            <w:tcW w:w="1764" w:type="dxa"/>
            <w:tcBorders>
              <w:tl2br w:val="nil"/>
              <w:tr2bl w:val="nil"/>
            </w:tcBorders>
          </w:tcPr>
          <w:p w14:paraId="6E23B2F9">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6FC68DC6">
            <w:pPr>
              <w:rPr>
                <w:szCs w:val="21"/>
              </w:rPr>
            </w:pPr>
          </w:p>
        </w:tc>
        <w:tc>
          <w:tcPr>
            <w:tcW w:w="1605" w:type="dxa"/>
            <w:tcBorders>
              <w:tl2br w:val="nil"/>
              <w:tr2bl w:val="nil"/>
            </w:tcBorders>
          </w:tcPr>
          <w:p w14:paraId="6401AAE1">
            <w:pPr>
              <w:spacing w:before="211" w:line="213" w:lineRule="auto"/>
              <w:ind w:left="550"/>
              <w:rPr>
                <w:szCs w:val="21"/>
              </w:rPr>
            </w:pPr>
            <w:r>
              <w:rPr>
                <w:spacing w:val="-2"/>
                <w:szCs w:val="21"/>
              </w:rPr>
              <w:t>1</w:t>
            </w:r>
            <w:r>
              <w:rPr>
                <w:position w:val="-5"/>
                <w:szCs w:val="21"/>
              </w:rPr>
              <w:drawing>
                <wp:inline distT="0" distB="0" distL="0" distR="0">
                  <wp:extent cx="65405" cy="121285"/>
                  <wp:effectExtent l="0" t="0" r="10795" b="13335"/>
                  <wp:docPr id="44" name="IM 23"/>
                  <wp:cNvGraphicFramePr/>
                  <a:graphic xmlns:a="http://schemas.openxmlformats.org/drawingml/2006/main">
                    <a:graphicData uri="http://schemas.openxmlformats.org/drawingml/2006/picture">
                      <pic:pic xmlns:pic="http://schemas.openxmlformats.org/drawingml/2006/picture">
                        <pic:nvPicPr>
                          <pic:cNvPr id="44" name="IM 23"/>
                          <pic:cNvPicPr/>
                        </pic:nvPicPr>
                        <pic:blipFill>
                          <a:blip r:embed="rId41"/>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3FFB1D60">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2A51A2F3">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8887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4CF34FCC">
            <w:pPr>
              <w:rPr>
                <w:szCs w:val="21"/>
              </w:rPr>
            </w:pPr>
          </w:p>
        </w:tc>
        <w:tc>
          <w:tcPr>
            <w:tcW w:w="588" w:type="dxa"/>
            <w:vMerge w:val="continue"/>
            <w:tcBorders>
              <w:tl2br w:val="nil"/>
              <w:tr2bl w:val="nil"/>
            </w:tcBorders>
          </w:tcPr>
          <w:p w14:paraId="6419C5BA">
            <w:pPr>
              <w:rPr>
                <w:szCs w:val="21"/>
              </w:rPr>
            </w:pPr>
          </w:p>
        </w:tc>
        <w:tc>
          <w:tcPr>
            <w:tcW w:w="1764" w:type="dxa"/>
            <w:tcBorders>
              <w:tl2br w:val="nil"/>
              <w:tr2bl w:val="nil"/>
            </w:tcBorders>
          </w:tcPr>
          <w:p w14:paraId="49DA7ADD">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181CDEB0">
            <w:pPr>
              <w:rPr>
                <w:szCs w:val="21"/>
              </w:rPr>
            </w:pPr>
          </w:p>
        </w:tc>
        <w:tc>
          <w:tcPr>
            <w:tcW w:w="1605" w:type="dxa"/>
            <w:tcBorders>
              <w:tl2br w:val="nil"/>
              <w:tr2bl w:val="nil"/>
            </w:tcBorders>
          </w:tcPr>
          <w:p w14:paraId="09C93B48">
            <w:pPr>
              <w:spacing w:before="209" w:line="213" w:lineRule="auto"/>
              <w:ind w:left="539"/>
              <w:rPr>
                <w:szCs w:val="21"/>
              </w:rPr>
            </w:pPr>
            <w:r>
              <w:rPr>
                <w:spacing w:val="1"/>
                <w:szCs w:val="21"/>
              </w:rPr>
              <w:t>3</w:t>
            </w:r>
            <w:r>
              <w:rPr>
                <w:position w:val="-5"/>
                <w:szCs w:val="21"/>
              </w:rPr>
              <w:drawing>
                <wp:inline distT="0" distB="0" distL="0" distR="0">
                  <wp:extent cx="65405" cy="121285"/>
                  <wp:effectExtent l="0" t="0" r="10795" b="13335"/>
                  <wp:docPr id="45" name="IM 24"/>
                  <wp:cNvGraphicFramePr/>
                  <a:graphic xmlns:a="http://schemas.openxmlformats.org/drawingml/2006/main">
                    <a:graphicData uri="http://schemas.openxmlformats.org/drawingml/2006/picture">
                      <pic:pic xmlns:pic="http://schemas.openxmlformats.org/drawingml/2006/picture">
                        <pic:nvPicPr>
                          <pic:cNvPr id="45" name="IM 24"/>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66BFD936">
            <w:pPr>
              <w:spacing w:before="58"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DF1CC35">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16F72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restart"/>
            <w:tcBorders>
              <w:tl2br w:val="nil"/>
              <w:tr2bl w:val="nil"/>
            </w:tcBorders>
          </w:tcPr>
          <w:p w14:paraId="606CC8DD">
            <w:pPr>
              <w:spacing w:line="283" w:lineRule="auto"/>
              <w:rPr>
                <w:szCs w:val="21"/>
              </w:rPr>
            </w:pPr>
          </w:p>
          <w:p w14:paraId="3398F32A">
            <w:pPr>
              <w:spacing w:line="284" w:lineRule="auto"/>
              <w:rPr>
                <w:szCs w:val="21"/>
              </w:rPr>
            </w:pPr>
          </w:p>
          <w:p w14:paraId="07372F73">
            <w:pPr>
              <w:spacing w:line="284" w:lineRule="auto"/>
              <w:rPr>
                <w:szCs w:val="21"/>
              </w:rPr>
            </w:pPr>
          </w:p>
          <w:p w14:paraId="0994941E">
            <w:pPr>
              <w:spacing w:line="284" w:lineRule="auto"/>
              <w:rPr>
                <w:szCs w:val="21"/>
              </w:rPr>
            </w:pPr>
          </w:p>
          <w:p w14:paraId="41FBAE46">
            <w:pPr>
              <w:spacing w:before="68" w:line="185" w:lineRule="auto"/>
              <w:ind w:left="188"/>
              <w:rPr>
                <w:szCs w:val="21"/>
              </w:rPr>
            </w:pPr>
            <w:r>
              <w:rPr>
                <w:szCs w:val="21"/>
              </w:rPr>
              <w:t>2</w:t>
            </w:r>
          </w:p>
        </w:tc>
        <w:tc>
          <w:tcPr>
            <w:tcW w:w="588" w:type="dxa"/>
            <w:vMerge w:val="restart"/>
            <w:tcBorders>
              <w:tl2br w:val="nil"/>
              <w:tr2bl w:val="nil"/>
            </w:tcBorders>
          </w:tcPr>
          <w:p w14:paraId="208EA842">
            <w:pPr>
              <w:spacing w:line="275" w:lineRule="auto"/>
              <w:rPr>
                <w:szCs w:val="21"/>
              </w:rPr>
            </w:pPr>
          </w:p>
          <w:p w14:paraId="737BB20D">
            <w:pPr>
              <w:spacing w:line="275" w:lineRule="auto"/>
              <w:rPr>
                <w:szCs w:val="21"/>
              </w:rPr>
            </w:pPr>
          </w:p>
          <w:p w14:paraId="404337A0">
            <w:pPr>
              <w:spacing w:line="275" w:lineRule="auto"/>
              <w:rPr>
                <w:szCs w:val="21"/>
              </w:rPr>
            </w:pPr>
          </w:p>
          <w:p w14:paraId="793F1768">
            <w:pPr>
              <w:spacing w:line="275" w:lineRule="auto"/>
              <w:rPr>
                <w:szCs w:val="21"/>
              </w:rPr>
            </w:pPr>
          </w:p>
          <w:p w14:paraId="5C984225">
            <w:pPr>
              <w:spacing w:before="68" w:line="224" w:lineRule="auto"/>
              <w:ind w:left="193"/>
              <w:rPr>
                <w:szCs w:val="21"/>
              </w:rPr>
            </w:pPr>
            <w:r>
              <w:rPr>
                <w:szCs w:val="21"/>
              </w:rPr>
              <w:t>西</w:t>
            </w:r>
          </w:p>
        </w:tc>
        <w:tc>
          <w:tcPr>
            <w:tcW w:w="1764" w:type="dxa"/>
            <w:tcBorders>
              <w:tl2br w:val="nil"/>
              <w:tr2bl w:val="nil"/>
            </w:tcBorders>
          </w:tcPr>
          <w:p w14:paraId="136FC585">
            <w:pPr>
              <w:spacing w:before="213" w:line="221" w:lineRule="auto"/>
              <w:ind w:left="373"/>
              <w:rPr>
                <w:szCs w:val="21"/>
              </w:rPr>
            </w:pPr>
            <w:r>
              <w:rPr>
                <w:spacing w:val="-5"/>
                <w:szCs w:val="21"/>
              </w:rPr>
              <w:t>四至范围内</w:t>
            </w:r>
          </w:p>
        </w:tc>
        <w:tc>
          <w:tcPr>
            <w:tcW w:w="1528" w:type="dxa"/>
            <w:vMerge w:val="continue"/>
            <w:tcBorders>
              <w:tl2br w:val="nil"/>
              <w:tr2bl w:val="nil"/>
            </w:tcBorders>
          </w:tcPr>
          <w:p w14:paraId="75D73CC5">
            <w:pPr>
              <w:rPr>
                <w:szCs w:val="21"/>
              </w:rPr>
            </w:pPr>
          </w:p>
        </w:tc>
        <w:tc>
          <w:tcPr>
            <w:tcW w:w="1605" w:type="dxa"/>
            <w:tcBorders>
              <w:tl2br w:val="nil"/>
              <w:tr2bl w:val="nil"/>
            </w:tcBorders>
          </w:tcPr>
          <w:p w14:paraId="4CDE84E3">
            <w:pPr>
              <w:spacing w:before="210" w:line="213" w:lineRule="auto"/>
              <w:ind w:left="539"/>
              <w:rPr>
                <w:szCs w:val="21"/>
              </w:rPr>
            </w:pPr>
            <w:r>
              <w:rPr>
                <w:spacing w:val="1"/>
                <w:szCs w:val="21"/>
              </w:rPr>
              <w:t>3</w:t>
            </w:r>
            <w:r>
              <w:rPr>
                <w:position w:val="-5"/>
                <w:szCs w:val="21"/>
              </w:rPr>
              <w:drawing>
                <wp:inline distT="0" distB="0" distL="0" distR="0">
                  <wp:extent cx="65405" cy="121285"/>
                  <wp:effectExtent l="0" t="0" r="10795" b="13335"/>
                  <wp:docPr id="46" name="IM 25"/>
                  <wp:cNvGraphicFramePr/>
                  <a:graphic xmlns:a="http://schemas.openxmlformats.org/drawingml/2006/main">
                    <a:graphicData uri="http://schemas.openxmlformats.org/drawingml/2006/picture">
                      <pic:pic xmlns:pic="http://schemas.openxmlformats.org/drawingml/2006/picture">
                        <pic:nvPicPr>
                          <pic:cNvPr id="46" name="IM 25"/>
                          <pic:cNvPicPr/>
                        </pic:nvPicPr>
                        <pic:blipFill>
                          <a:blip r:embed="rId41"/>
                          <a:stretch>
                            <a:fillRect/>
                          </a:stretch>
                        </pic:blipFill>
                        <pic:spPr>
                          <a:xfrm>
                            <a:off x="0" y="0"/>
                            <a:ext cx="65968" cy="121907"/>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6ABAF487">
            <w:pPr>
              <w:spacing w:before="59"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332D7659">
            <w:pPr>
              <w:spacing w:before="57"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3DED1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70" w:type="dxa"/>
            <w:vMerge w:val="continue"/>
            <w:tcBorders>
              <w:tl2br w:val="nil"/>
              <w:tr2bl w:val="nil"/>
            </w:tcBorders>
          </w:tcPr>
          <w:p w14:paraId="1011E2AF">
            <w:pPr>
              <w:rPr>
                <w:szCs w:val="21"/>
              </w:rPr>
            </w:pPr>
          </w:p>
        </w:tc>
        <w:tc>
          <w:tcPr>
            <w:tcW w:w="588" w:type="dxa"/>
            <w:vMerge w:val="continue"/>
            <w:tcBorders>
              <w:tl2br w:val="nil"/>
              <w:tr2bl w:val="nil"/>
            </w:tcBorders>
          </w:tcPr>
          <w:p w14:paraId="11E839F1">
            <w:pPr>
              <w:rPr>
                <w:szCs w:val="21"/>
              </w:rPr>
            </w:pPr>
          </w:p>
        </w:tc>
        <w:tc>
          <w:tcPr>
            <w:tcW w:w="1764" w:type="dxa"/>
            <w:tcBorders>
              <w:tl2br w:val="nil"/>
              <w:tr2bl w:val="nil"/>
            </w:tcBorders>
          </w:tcPr>
          <w:p w14:paraId="5B637083">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7833DCCC">
            <w:pPr>
              <w:rPr>
                <w:szCs w:val="21"/>
              </w:rPr>
            </w:pPr>
          </w:p>
        </w:tc>
        <w:tc>
          <w:tcPr>
            <w:tcW w:w="1605" w:type="dxa"/>
            <w:tcBorders>
              <w:tl2br w:val="nil"/>
              <w:tr2bl w:val="nil"/>
            </w:tcBorders>
          </w:tcPr>
          <w:p w14:paraId="3501CF03">
            <w:pPr>
              <w:spacing w:before="210" w:line="214" w:lineRule="auto"/>
              <w:ind w:left="539"/>
              <w:rPr>
                <w:szCs w:val="21"/>
              </w:rPr>
            </w:pPr>
            <w:r>
              <w:rPr>
                <w:spacing w:val="1"/>
                <w:szCs w:val="21"/>
              </w:rPr>
              <w:t>3</w:t>
            </w:r>
            <w:r>
              <w:rPr>
                <w:position w:val="-5"/>
                <w:szCs w:val="21"/>
              </w:rPr>
              <w:drawing>
                <wp:inline distT="0" distB="0" distL="0" distR="0">
                  <wp:extent cx="65405" cy="121285"/>
                  <wp:effectExtent l="0" t="0" r="10795" b="13335"/>
                  <wp:docPr id="47" name="IM 26"/>
                  <wp:cNvGraphicFramePr/>
                  <a:graphic xmlns:a="http://schemas.openxmlformats.org/drawingml/2006/main">
                    <a:graphicData uri="http://schemas.openxmlformats.org/drawingml/2006/picture">
                      <pic:pic xmlns:pic="http://schemas.openxmlformats.org/drawingml/2006/picture">
                        <pic:nvPicPr>
                          <pic:cNvPr id="47" name="IM 26"/>
                          <pic:cNvPicPr/>
                        </pic:nvPicPr>
                        <pic:blipFill>
                          <a:blip r:embed="rId42"/>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70DCFD65">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DA853F4">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75B27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70" w:type="dxa"/>
            <w:vMerge w:val="continue"/>
            <w:tcBorders>
              <w:tl2br w:val="nil"/>
              <w:tr2bl w:val="nil"/>
            </w:tcBorders>
          </w:tcPr>
          <w:p w14:paraId="449283A1">
            <w:pPr>
              <w:rPr>
                <w:szCs w:val="21"/>
              </w:rPr>
            </w:pPr>
          </w:p>
        </w:tc>
        <w:tc>
          <w:tcPr>
            <w:tcW w:w="588" w:type="dxa"/>
            <w:vMerge w:val="continue"/>
            <w:tcBorders>
              <w:tl2br w:val="nil"/>
              <w:tr2bl w:val="nil"/>
            </w:tcBorders>
          </w:tcPr>
          <w:p w14:paraId="1DC7A27C">
            <w:pPr>
              <w:rPr>
                <w:szCs w:val="21"/>
              </w:rPr>
            </w:pPr>
          </w:p>
        </w:tc>
        <w:tc>
          <w:tcPr>
            <w:tcW w:w="1764" w:type="dxa"/>
            <w:tcBorders>
              <w:tl2br w:val="nil"/>
              <w:tr2bl w:val="nil"/>
            </w:tcBorders>
          </w:tcPr>
          <w:p w14:paraId="3D52025F">
            <w:pPr>
              <w:spacing w:before="216" w:line="221" w:lineRule="auto"/>
              <w:ind w:left="373"/>
              <w:rPr>
                <w:szCs w:val="21"/>
              </w:rPr>
            </w:pPr>
            <w:r>
              <w:rPr>
                <w:spacing w:val="-5"/>
                <w:szCs w:val="21"/>
              </w:rPr>
              <w:t>四至范围内</w:t>
            </w:r>
          </w:p>
        </w:tc>
        <w:tc>
          <w:tcPr>
            <w:tcW w:w="1528" w:type="dxa"/>
            <w:vMerge w:val="continue"/>
            <w:tcBorders>
              <w:tl2br w:val="nil"/>
              <w:tr2bl w:val="nil"/>
            </w:tcBorders>
          </w:tcPr>
          <w:p w14:paraId="35372D75">
            <w:pPr>
              <w:rPr>
                <w:szCs w:val="21"/>
              </w:rPr>
            </w:pPr>
          </w:p>
        </w:tc>
        <w:tc>
          <w:tcPr>
            <w:tcW w:w="1605" w:type="dxa"/>
            <w:tcBorders>
              <w:tl2br w:val="nil"/>
              <w:tr2bl w:val="nil"/>
            </w:tcBorders>
          </w:tcPr>
          <w:p w14:paraId="0C36E3CE">
            <w:pPr>
              <w:spacing w:before="212" w:line="213" w:lineRule="auto"/>
              <w:ind w:left="550"/>
              <w:rPr>
                <w:szCs w:val="21"/>
              </w:rPr>
            </w:pPr>
            <w:r>
              <w:rPr>
                <w:spacing w:val="-2"/>
                <w:szCs w:val="21"/>
              </w:rPr>
              <w:t>1</w:t>
            </w:r>
            <w:r>
              <w:rPr>
                <w:position w:val="-5"/>
                <w:szCs w:val="21"/>
              </w:rPr>
              <w:drawing>
                <wp:inline distT="0" distB="0" distL="0" distR="0">
                  <wp:extent cx="65405" cy="121285"/>
                  <wp:effectExtent l="0" t="0" r="10795" b="13335"/>
                  <wp:docPr id="49" name="IM 27"/>
                  <wp:cNvGraphicFramePr/>
                  <a:graphic xmlns:a="http://schemas.openxmlformats.org/drawingml/2006/main">
                    <a:graphicData uri="http://schemas.openxmlformats.org/drawingml/2006/picture">
                      <pic:pic xmlns:pic="http://schemas.openxmlformats.org/drawingml/2006/picture">
                        <pic:nvPicPr>
                          <pic:cNvPr id="49" name="IM 27"/>
                          <pic:cNvPicPr/>
                        </pic:nvPicPr>
                        <pic:blipFill>
                          <a:blip r:embed="rId40"/>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0B8D4BAC">
            <w:pPr>
              <w:spacing w:before="62"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25776BF3">
            <w:pPr>
              <w:spacing w:before="60"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5A530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2DD257CA">
            <w:pPr>
              <w:rPr>
                <w:szCs w:val="21"/>
              </w:rPr>
            </w:pPr>
          </w:p>
        </w:tc>
        <w:tc>
          <w:tcPr>
            <w:tcW w:w="588" w:type="dxa"/>
            <w:vMerge w:val="continue"/>
            <w:tcBorders>
              <w:tl2br w:val="nil"/>
              <w:tr2bl w:val="nil"/>
            </w:tcBorders>
          </w:tcPr>
          <w:p w14:paraId="29A86AE4">
            <w:pPr>
              <w:rPr>
                <w:szCs w:val="21"/>
              </w:rPr>
            </w:pPr>
          </w:p>
        </w:tc>
        <w:tc>
          <w:tcPr>
            <w:tcW w:w="1764" w:type="dxa"/>
            <w:tcBorders>
              <w:tl2br w:val="nil"/>
              <w:tr2bl w:val="nil"/>
            </w:tcBorders>
          </w:tcPr>
          <w:p w14:paraId="37BF6F7E">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56148FAE">
            <w:pPr>
              <w:rPr>
                <w:szCs w:val="21"/>
              </w:rPr>
            </w:pPr>
          </w:p>
        </w:tc>
        <w:tc>
          <w:tcPr>
            <w:tcW w:w="1605" w:type="dxa"/>
            <w:tcBorders>
              <w:tl2br w:val="nil"/>
              <w:tr2bl w:val="nil"/>
            </w:tcBorders>
          </w:tcPr>
          <w:p w14:paraId="52813966">
            <w:pPr>
              <w:spacing w:before="210" w:line="213" w:lineRule="auto"/>
              <w:ind w:left="539"/>
              <w:rPr>
                <w:szCs w:val="21"/>
              </w:rPr>
            </w:pPr>
            <w:r>
              <w:rPr>
                <w:spacing w:val="1"/>
                <w:szCs w:val="21"/>
              </w:rPr>
              <w:t>3</w:t>
            </w:r>
            <w:r>
              <w:rPr>
                <w:position w:val="-5"/>
                <w:szCs w:val="21"/>
              </w:rPr>
              <w:drawing>
                <wp:inline distT="0" distB="0" distL="0" distR="0">
                  <wp:extent cx="65405" cy="121285"/>
                  <wp:effectExtent l="0" t="0" r="10795" b="13335"/>
                  <wp:docPr id="50" name="IM 28"/>
                  <wp:cNvGraphicFramePr/>
                  <a:graphic xmlns:a="http://schemas.openxmlformats.org/drawingml/2006/main">
                    <a:graphicData uri="http://schemas.openxmlformats.org/drawingml/2006/picture">
                      <pic:pic xmlns:pic="http://schemas.openxmlformats.org/drawingml/2006/picture">
                        <pic:nvPicPr>
                          <pic:cNvPr id="50" name="IM 28"/>
                          <pic:cNvPicPr/>
                        </pic:nvPicPr>
                        <pic:blipFill>
                          <a:blip r:embed="rId41"/>
                          <a:stretch>
                            <a:fillRect/>
                          </a:stretch>
                        </pic:blipFill>
                        <pic:spPr>
                          <a:xfrm>
                            <a:off x="0" y="0"/>
                            <a:ext cx="65968" cy="121908"/>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655AD399">
            <w:pPr>
              <w:spacing w:before="59"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7E9ABC28">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0B9CA1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restart"/>
            <w:tcBorders>
              <w:tl2br w:val="nil"/>
              <w:tr2bl w:val="nil"/>
            </w:tcBorders>
          </w:tcPr>
          <w:p w14:paraId="51CAEA03">
            <w:pPr>
              <w:spacing w:line="283" w:lineRule="auto"/>
              <w:rPr>
                <w:szCs w:val="21"/>
              </w:rPr>
            </w:pPr>
          </w:p>
          <w:p w14:paraId="57427C21">
            <w:pPr>
              <w:spacing w:line="284" w:lineRule="auto"/>
              <w:rPr>
                <w:szCs w:val="21"/>
              </w:rPr>
            </w:pPr>
          </w:p>
          <w:p w14:paraId="0DDD1678">
            <w:pPr>
              <w:spacing w:line="284" w:lineRule="auto"/>
              <w:rPr>
                <w:szCs w:val="21"/>
              </w:rPr>
            </w:pPr>
          </w:p>
          <w:p w14:paraId="4077F072">
            <w:pPr>
              <w:spacing w:line="284" w:lineRule="auto"/>
              <w:rPr>
                <w:szCs w:val="21"/>
              </w:rPr>
            </w:pPr>
          </w:p>
          <w:p w14:paraId="694EFF39">
            <w:pPr>
              <w:spacing w:before="68" w:line="183" w:lineRule="auto"/>
              <w:ind w:left="189"/>
              <w:rPr>
                <w:szCs w:val="21"/>
              </w:rPr>
            </w:pPr>
            <w:r>
              <w:rPr>
                <w:szCs w:val="21"/>
              </w:rPr>
              <w:t>3</w:t>
            </w:r>
          </w:p>
        </w:tc>
        <w:tc>
          <w:tcPr>
            <w:tcW w:w="588" w:type="dxa"/>
            <w:vMerge w:val="restart"/>
            <w:tcBorders>
              <w:tl2br w:val="nil"/>
              <w:tr2bl w:val="nil"/>
            </w:tcBorders>
          </w:tcPr>
          <w:p w14:paraId="438A0173">
            <w:pPr>
              <w:spacing w:line="274" w:lineRule="auto"/>
              <w:rPr>
                <w:szCs w:val="21"/>
              </w:rPr>
            </w:pPr>
          </w:p>
          <w:p w14:paraId="3E0FF9AF">
            <w:pPr>
              <w:spacing w:line="275" w:lineRule="auto"/>
              <w:rPr>
                <w:szCs w:val="21"/>
              </w:rPr>
            </w:pPr>
          </w:p>
          <w:p w14:paraId="6F2279A4">
            <w:pPr>
              <w:spacing w:line="275" w:lineRule="auto"/>
              <w:rPr>
                <w:szCs w:val="21"/>
              </w:rPr>
            </w:pPr>
          </w:p>
          <w:p w14:paraId="208CDBFB">
            <w:pPr>
              <w:spacing w:line="275" w:lineRule="auto"/>
              <w:rPr>
                <w:szCs w:val="21"/>
              </w:rPr>
            </w:pPr>
          </w:p>
          <w:p w14:paraId="5DD91D0D">
            <w:pPr>
              <w:spacing w:before="68" w:line="221" w:lineRule="auto"/>
              <w:ind w:left="195"/>
              <w:rPr>
                <w:szCs w:val="21"/>
              </w:rPr>
            </w:pPr>
            <w:r>
              <w:rPr>
                <w:szCs w:val="21"/>
              </w:rPr>
              <w:t>东</w:t>
            </w:r>
          </w:p>
        </w:tc>
        <w:tc>
          <w:tcPr>
            <w:tcW w:w="1764" w:type="dxa"/>
            <w:tcBorders>
              <w:tl2br w:val="nil"/>
              <w:tr2bl w:val="nil"/>
            </w:tcBorders>
          </w:tcPr>
          <w:p w14:paraId="6C6EDCFB">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48D60026">
            <w:pPr>
              <w:rPr>
                <w:szCs w:val="21"/>
              </w:rPr>
            </w:pPr>
          </w:p>
        </w:tc>
        <w:tc>
          <w:tcPr>
            <w:tcW w:w="1605" w:type="dxa"/>
            <w:tcBorders>
              <w:tl2br w:val="nil"/>
              <w:tr2bl w:val="nil"/>
            </w:tcBorders>
          </w:tcPr>
          <w:p w14:paraId="6795BF42">
            <w:pPr>
              <w:spacing w:before="210" w:line="213" w:lineRule="auto"/>
              <w:ind w:left="539"/>
              <w:rPr>
                <w:szCs w:val="21"/>
              </w:rPr>
            </w:pPr>
            <w:r>
              <w:rPr>
                <w:spacing w:val="1"/>
                <w:szCs w:val="21"/>
              </w:rPr>
              <w:t>3</w:t>
            </w:r>
            <w:r>
              <w:rPr>
                <w:position w:val="-5"/>
                <w:szCs w:val="21"/>
              </w:rPr>
              <w:drawing>
                <wp:inline distT="0" distB="0" distL="0" distR="0">
                  <wp:extent cx="65405" cy="121285"/>
                  <wp:effectExtent l="0" t="0" r="10795" b="13335"/>
                  <wp:docPr id="51" name="IM 29"/>
                  <wp:cNvGraphicFramePr/>
                  <a:graphic xmlns:a="http://schemas.openxmlformats.org/drawingml/2006/main">
                    <a:graphicData uri="http://schemas.openxmlformats.org/drawingml/2006/picture">
                      <pic:pic xmlns:pic="http://schemas.openxmlformats.org/drawingml/2006/picture">
                        <pic:nvPicPr>
                          <pic:cNvPr id="51" name="IM 29"/>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517A2CAE">
            <w:pPr>
              <w:spacing w:before="59"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3296692">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6FD5B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61575456">
            <w:pPr>
              <w:rPr>
                <w:szCs w:val="21"/>
              </w:rPr>
            </w:pPr>
          </w:p>
        </w:tc>
        <w:tc>
          <w:tcPr>
            <w:tcW w:w="588" w:type="dxa"/>
            <w:vMerge w:val="continue"/>
            <w:tcBorders>
              <w:tl2br w:val="nil"/>
              <w:tr2bl w:val="nil"/>
            </w:tcBorders>
          </w:tcPr>
          <w:p w14:paraId="76D4425F">
            <w:pPr>
              <w:rPr>
                <w:szCs w:val="21"/>
              </w:rPr>
            </w:pPr>
          </w:p>
        </w:tc>
        <w:tc>
          <w:tcPr>
            <w:tcW w:w="1764" w:type="dxa"/>
            <w:tcBorders>
              <w:tl2br w:val="nil"/>
              <w:tr2bl w:val="nil"/>
            </w:tcBorders>
          </w:tcPr>
          <w:p w14:paraId="6D45AF8E">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149E2927">
            <w:pPr>
              <w:rPr>
                <w:szCs w:val="21"/>
              </w:rPr>
            </w:pPr>
          </w:p>
        </w:tc>
        <w:tc>
          <w:tcPr>
            <w:tcW w:w="1605" w:type="dxa"/>
            <w:tcBorders>
              <w:tl2br w:val="nil"/>
              <w:tr2bl w:val="nil"/>
            </w:tcBorders>
          </w:tcPr>
          <w:p w14:paraId="2961F12E">
            <w:pPr>
              <w:spacing w:before="210" w:line="214" w:lineRule="auto"/>
              <w:ind w:left="539"/>
              <w:rPr>
                <w:szCs w:val="21"/>
              </w:rPr>
            </w:pPr>
            <w:r>
              <w:rPr>
                <w:spacing w:val="1"/>
                <w:szCs w:val="21"/>
              </w:rPr>
              <w:t>3</w:t>
            </w:r>
            <w:r>
              <w:rPr>
                <w:position w:val="-5"/>
                <w:szCs w:val="21"/>
              </w:rPr>
              <w:drawing>
                <wp:inline distT="0" distB="0" distL="0" distR="0">
                  <wp:extent cx="65405" cy="121285"/>
                  <wp:effectExtent l="0" t="0" r="10795" b="13335"/>
                  <wp:docPr id="52" name="IM 30"/>
                  <wp:cNvGraphicFramePr/>
                  <a:graphic xmlns:a="http://schemas.openxmlformats.org/drawingml/2006/main">
                    <a:graphicData uri="http://schemas.openxmlformats.org/drawingml/2006/picture">
                      <pic:pic xmlns:pic="http://schemas.openxmlformats.org/drawingml/2006/picture">
                        <pic:nvPicPr>
                          <pic:cNvPr id="52" name="IM 30"/>
                          <pic:cNvPicPr/>
                        </pic:nvPicPr>
                        <pic:blipFill>
                          <a:blip r:embed="rId41"/>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46A7AD9B">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33AB3BB">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21DD0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470" w:type="dxa"/>
            <w:vMerge w:val="continue"/>
            <w:tcBorders>
              <w:tl2br w:val="nil"/>
              <w:tr2bl w:val="nil"/>
            </w:tcBorders>
          </w:tcPr>
          <w:p w14:paraId="49C1CE2C">
            <w:pPr>
              <w:rPr>
                <w:szCs w:val="21"/>
              </w:rPr>
            </w:pPr>
          </w:p>
        </w:tc>
        <w:tc>
          <w:tcPr>
            <w:tcW w:w="588" w:type="dxa"/>
            <w:vMerge w:val="continue"/>
            <w:tcBorders>
              <w:tl2br w:val="nil"/>
              <w:tr2bl w:val="nil"/>
            </w:tcBorders>
          </w:tcPr>
          <w:p w14:paraId="1328A613">
            <w:pPr>
              <w:rPr>
                <w:szCs w:val="21"/>
              </w:rPr>
            </w:pPr>
          </w:p>
        </w:tc>
        <w:tc>
          <w:tcPr>
            <w:tcW w:w="1764" w:type="dxa"/>
            <w:tcBorders>
              <w:tl2br w:val="nil"/>
              <w:tr2bl w:val="nil"/>
            </w:tcBorders>
          </w:tcPr>
          <w:p w14:paraId="4EB9D30F">
            <w:pPr>
              <w:spacing w:before="217" w:line="221" w:lineRule="auto"/>
              <w:ind w:left="373"/>
              <w:rPr>
                <w:szCs w:val="21"/>
              </w:rPr>
            </w:pPr>
            <w:r>
              <w:rPr>
                <w:spacing w:val="-5"/>
                <w:szCs w:val="21"/>
              </w:rPr>
              <w:t>四至范围内</w:t>
            </w:r>
          </w:p>
        </w:tc>
        <w:tc>
          <w:tcPr>
            <w:tcW w:w="1528" w:type="dxa"/>
            <w:vMerge w:val="continue"/>
            <w:tcBorders>
              <w:tl2br w:val="nil"/>
              <w:tr2bl w:val="nil"/>
            </w:tcBorders>
          </w:tcPr>
          <w:p w14:paraId="6764B3A3">
            <w:pPr>
              <w:rPr>
                <w:szCs w:val="21"/>
              </w:rPr>
            </w:pPr>
          </w:p>
        </w:tc>
        <w:tc>
          <w:tcPr>
            <w:tcW w:w="1605" w:type="dxa"/>
            <w:tcBorders>
              <w:tl2br w:val="nil"/>
              <w:tr2bl w:val="nil"/>
            </w:tcBorders>
          </w:tcPr>
          <w:p w14:paraId="09D7B230">
            <w:pPr>
              <w:spacing w:before="213" w:line="213" w:lineRule="auto"/>
              <w:ind w:left="550"/>
              <w:rPr>
                <w:szCs w:val="21"/>
              </w:rPr>
            </w:pPr>
            <w:r>
              <w:rPr>
                <w:spacing w:val="-2"/>
                <w:szCs w:val="21"/>
              </w:rPr>
              <w:t>1</w:t>
            </w:r>
            <w:r>
              <w:rPr>
                <w:position w:val="-5"/>
                <w:szCs w:val="21"/>
              </w:rPr>
              <w:drawing>
                <wp:inline distT="0" distB="0" distL="0" distR="0">
                  <wp:extent cx="65405" cy="121285"/>
                  <wp:effectExtent l="0" t="0" r="10795" b="13335"/>
                  <wp:docPr id="53" name="IM 31"/>
                  <wp:cNvGraphicFramePr/>
                  <a:graphic xmlns:a="http://schemas.openxmlformats.org/drawingml/2006/main">
                    <a:graphicData uri="http://schemas.openxmlformats.org/drawingml/2006/picture">
                      <pic:pic xmlns:pic="http://schemas.openxmlformats.org/drawingml/2006/picture">
                        <pic:nvPicPr>
                          <pic:cNvPr id="53" name="IM 31"/>
                          <pic:cNvPicPr/>
                        </pic:nvPicPr>
                        <pic:blipFill>
                          <a:blip r:embed="rId42"/>
                          <a:stretch>
                            <a:fillRect/>
                          </a:stretch>
                        </pic:blipFill>
                        <pic:spPr>
                          <a:xfrm>
                            <a:off x="0" y="0"/>
                            <a:ext cx="65968" cy="121908"/>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27BD1C00">
            <w:pPr>
              <w:spacing w:before="63"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5A4C3C7">
            <w:pPr>
              <w:spacing w:before="61"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38CD0C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470" w:type="dxa"/>
            <w:vMerge w:val="continue"/>
            <w:tcBorders>
              <w:tl2br w:val="nil"/>
              <w:tr2bl w:val="nil"/>
            </w:tcBorders>
          </w:tcPr>
          <w:p w14:paraId="521F8B09">
            <w:pPr>
              <w:rPr>
                <w:szCs w:val="21"/>
              </w:rPr>
            </w:pPr>
          </w:p>
        </w:tc>
        <w:tc>
          <w:tcPr>
            <w:tcW w:w="588" w:type="dxa"/>
            <w:vMerge w:val="continue"/>
            <w:tcBorders>
              <w:tl2br w:val="nil"/>
              <w:tr2bl w:val="nil"/>
            </w:tcBorders>
          </w:tcPr>
          <w:p w14:paraId="415325F6">
            <w:pPr>
              <w:rPr>
                <w:szCs w:val="21"/>
              </w:rPr>
            </w:pPr>
          </w:p>
        </w:tc>
        <w:tc>
          <w:tcPr>
            <w:tcW w:w="1764" w:type="dxa"/>
            <w:tcBorders>
              <w:tl2br w:val="nil"/>
              <w:tr2bl w:val="nil"/>
            </w:tcBorders>
          </w:tcPr>
          <w:p w14:paraId="0400F5D1">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0B2D993D">
            <w:pPr>
              <w:rPr>
                <w:szCs w:val="21"/>
              </w:rPr>
            </w:pPr>
          </w:p>
        </w:tc>
        <w:tc>
          <w:tcPr>
            <w:tcW w:w="1605" w:type="dxa"/>
            <w:tcBorders>
              <w:tl2br w:val="nil"/>
              <w:tr2bl w:val="nil"/>
            </w:tcBorders>
          </w:tcPr>
          <w:p w14:paraId="1FC34100">
            <w:pPr>
              <w:spacing w:before="211" w:line="213" w:lineRule="auto"/>
              <w:ind w:left="539"/>
              <w:rPr>
                <w:szCs w:val="21"/>
              </w:rPr>
            </w:pPr>
            <w:r>
              <w:rPr>
                <w:spacing w:val="1"/>
                <w:szCs w:val="21"/>
              </w:rPr>
              <w:t>3</w:t>
            </w:r>
            <w:r>
              <w:rPr>
                <w:position w:val="-5"/>
                <w:szCs w:val="21"/>
              </w:rPr>
              <w:drawing>
                <wp:inline distT="0" distB="0" distL="0" distR="0">
                  <wp:extent cx="65405" cy="121285"/>
                  <wp:effectExtent l="0" t="0" r="10795" b="13335"/>
                  <wp:docPr id="54" name="IM 32"/>
                  <wp:cNvGraphicFramePr/>
                  <a:graphic xmlns:a="http://schemas.openxmlformats.org/drawingml/2006/main">
                    <a:graphicData uri="http://schemas.openxmlformats.org/drawingml/2006/picture">
                      <pic:pic xmlns:pic="http://schemas.openxmlformats.org/drawingml/2006/picture">
                        <pic:nvPicPr>
                          <pic:cNvPr id="54" name="IM 32"/>
                          <pic:cNvPicPr/>
                        </pic:nvPicPr>
                        <pic:blipFill>
                          <a:blip r:embed="rId40"/>
                          <a:stretch>
                            <a:fillRect/>
                          </a:stretch>
                        </pic:blipFill>
                        <pic:spPr>
                          <a:xfrm>
                            <a:off x="0" y="0"/>
                            <a:ext cx="65968" cy="121908"/>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00718C49">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3E3984C3">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6FDB5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restart"/>
            <w:tcBorders>
              <w:tl2br w:val="nil"/>
              <w:tr2bl w:val="nil"/>
            </w:tcBorders>
          </w:tcPr>
          <w:p w14:paraId="09139FFB">
            <w:pPr>
              <w:spacing w:line="283" w:lineRule="auto"/>
              <w:rPr>
                <w:szCs w:val="21"/>
              </w:rPr>
            </w:pPr>
          </w:p>
          <w:p w14:paraId="20D9247D">
            <w:pPr>
              <w:spacing w:line="284" w:lineRule="auto"/>
              <w:rPr>
                <w:szCs w:val="21"/>
              </w:rPr>
            </w:pPr>
          </w:p>
          <w:p w14:paraId="1D28E3F6">
            <w:pPr>
              <w:spacing w:line="284" w:lineRule="auto"/>
              <w:rPr>
                <w:szCs w:val="21"/>
              </w:rPr>
            </w:pPr>
          </w:p>
          <w:p w14:paraId="4FAD303B">
            <w:pPr>
              <w:spacing w:line="284" w:lineRule="auto"/>
              <w:rPr>
                <w:szCs w:val="21"/>
              </w:rPr>
            </w:pPr>
          </w:p>
          <w:p w14:paraId="21ED1845">
            <w:pPr>
              <w:spacing w:before="68" w:line="185" w:lineRule="auto"/>
              <w:ind w:left="184"/>
              <w:rPr>
                <w:szCs w:val="21"/>
              </w:rPr>
            </w:pPr>
            <w:r>
              <w:rPr>
                <w:szCs w:val="21"/>
              </w:rPr>
              <w:t>4</w:t>
            </w:r>
          </w:p>
        </w:tc>
        <w:tc>
          <w:tcPr>
            <w:tcW w:w="588" w:type="dxa"/>
            <w:vMerge w:val="restart"/>
            <w:tcBorders>
              <w:tl2br w:val="nil"/>
              <w:tr2bl w:val="nil"/>
            </w:tcBorders>
          </w:tcPr>
          <w:p w14:paraId="5D467A70">
            <w:pPr>
              <w:spacing w:line="275" w:lineRule="auto"/>
              <w:rPr>
                <w:szCs w:val="21"/>
              </w:rPr>
            </w:pPr>
          </w:p>
          <w:p w14:paraId="5214BB15">
            <w:pPr>
              <w:spacing w:line="275" w:lineRule="auto"/>
              <w:rPr>
                <w:szCs w:val="21"/>
              </w:rPr>
            </w:pPr>
          </w:p>
          <w:p w14:paraId="7061F265">
            <w:pPr>
              <w:spacing w:line="275" w:lineRule="auto"/>
              <w:rPr>
                <w:szCs w:val="21"/>
              </w:rPr>
            </w:pPr>
          </w:p>
          <w:p w14:paraId="456CD038">
            <w:pPr>
              <w:spacing w:line="275" w:lineRule="auto"/>
              <w:rPr>
                <w:szCs w:val="21"/>
              </w:rPr>
            </w:pPr>
          </w:p>
          <w:p w14:paraId="78989B16">
            <w:pPr>
              <w:spacing w:before="68" w:line="224" w:lineRule="auto"/>
              <w:ind w:left="191"/>
              <w:rPr>
                <w:szCs w:val="21"/>
              </w:rPr>
            </w:pPr>
            <w:r>
              <w:rPr>
                <w:szCs w:val="21"/>
              </w:rPr>
              <w:t>北</w:t>
            </w:r>
          </w:p>
        </w:tc>
        <w:tc>
          <w:tcPr>
            <w:tcW w:w="1764" w:type="dxa"/>
            <w:tcBorders>
              <w:tl2br w:val="nil"/>
              <w:tr2bl w:val="nil"/>
            </w:tcBorders>
          </w:tcPr>
          <w:p w14:paraId="6577AAE4">
            <w:pPr>
              <w:spacing w:before="214" w:line="221" w:lineRule="auto"/>
              <w:ind w:left="373"/>
              <w:rPr>
                <w:szCs w:val="21"/>
              </w:rPr>
            </w:pPr>
            <w:r>
              <w:rPr>
                <w:spacing w:val="-5"/>
                <w:szCs w:val="21"/>
              </w:rPr>
              <w:t>四至范围内</w:t>
            </w:r>
          </w:p>
        </w:tc>
        <w:tc>
          <w:tcPr>
            <w:tcW w:w="1528" w:type="dxa"/>
            <w:vMerge w:val="continue"/>
            <w:tcBorders>
              <w:tl2br w:val="nil"/>
              <w:tr2bl w:val="nil"/>
            </w:tcBorders>
          </w:tcPr>
          <w:p w14:paraId="5910984C">
            <w:pPr>
              <w:rPr>
                <w:szCs w:val="21"/>
              </w:rPr>
            </w:pPr>
          </w:p>
        </w:tc>
        <w:tc>
          <w:tcPr>
            <w:tcW w:w="1605" w:type="dxa"/>
            <w:tcBorders>
              <w:tl2br w:val="nil"/>
              <w:tr2bl w:val="nil"/>
            </w:tcBorders>
          </w:tcPr>
          <w:p w14:paraId="08820163">
            <w:pPr>
              <w:spacing w:before="211" w:line="213" w:lineRule="auto"/>
              <w:ind w:left="539"/>
              <w:rPr>
                <w:szCs w:val="21"/>
              </w:rPr>
            </w:pPr>
            <w:r>
              <w:rPr>
                <w:spacing w:val="1"/>
                <w:szCs w:val="21"/>
              </w:rPr>
              <w:t>3</w:t>
            </w:r>
            <w:r>
              <w:rPr>
                <w:position w:val="-5"/>
                <w:szCs w:val="21"/>
              </w:rPr>
              <w:drawing>
                <wp:inline distT="0" distB="0" distL="0" distR="0">
                  <wp:extent cx="65405" cy="121285"/>
                  <wp:effectExtent l="0" t="0" r="10795" b="13335"/>
                  <wp:docPr id="55" name="IM 33"/>
                  <wp:cNvGraphicFramePr/>
                  <a:graphic xmlns:a="http://schemas.openxmlformats.org/drawingml/2006/main">
                    <a:graphicData uri="http://schemas.openxmlformats.org/drawingml/2006/picture">
                      <pic:pic xmlns:pic="http://schemas.openxmlformats.org/drawingml/2006/picture">
                        <pic:nvPicPr>
                          <pic:cNvPr id="55" name="IM 33"/>
                          <pic:cNvPicPr/>
                        </pic:nvPicPr>
                        <pic:blipFill>
                          <a:blip r:embed="rId41"/>
                          <a:stretch>
                            <a:fillRect/>
                          </a:stretch>
                        </pic:blipFill>
                        <pic:spPr>
                          <a:xfrm>
                            <a:off x="0" y="0"/>
                            <a:ext cx="65968" cy="121908"/>
                          </a:xfrm>
                          <a:prstGeom prst="rect">
                            <a:avLst/>
                          </a:prstGeom>
                        </pic:spPr>
                      </pic:pic>
                    </a:graphicData>
                  </a:graphic>
                </wp:inline>
              </w:drawing>
            </w:r>
            <w:r>
              <w:rPr>
                <w:szCs w:val="21"/>
              </w:rPr>
              <w:t>10</w:t>
            </w:r>
            <w:r>
              <w:rPr>
                <w:position w:val="10"/>
                <w:szCs w:val="21"/>
              </w:rPr>
              <w:t>-7</w:t>
            </w:r>
          </w:p>
        </w:tc>
        <w:tc>
          <w:tcPr>
            <w:tcW w:w="1955" w:type="dxa"/>
            <w:tcBorders>
              <w:tl2br w:val="nil"/>
              <w:tr2bl w:val="nil"/>
            </w:tcBorders>
          </w:tcPr>
          <w:p w14:paraId="4C060DE6">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FA55827">
            <w:pPr>
              <w:spacing w:before="58"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46703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470" w:type="dxa"/>
            <w:vMerge w:val="continue"/>
            <w:tcBorders>
              <w:tl2br w:val="nil"/>
              <w:tr2bl w:val="nil"/>
            </w:tcBorders>
          </w:tcPr>
          <w:p w14:paraId="7DFF56BF">
            <w:pPr>
              <w:rPr>
                <w:szCs w:val="21"/>
              </w:rPr>
            </w:pPr>
          </w:p>
        </w:tc>
        <w:tc>
          <w:tcPr>
            <w:tcW w:w="588" w:type="dxa"/>
            <w:vMerge w:val="continue"/>
            <w:tcBorders>
              <w:tl2br w:val="nil"/>
              <w:tr2bl w:val="nil"/>
            </w:tcBorders>
          </w:tcPr>
          <w:p w14:paraId="3D993DFF">
            <w:pPr>
              <w:rPr>
                <w:szCs w:val="21"/>
              </w:rPr>
            </w:pPr>
          </w:p>
        </w:tc>
        <w:tc>
          <w:tcPr>
            <w:tcW w:w="1764" w:type="dxa"/>
            <w:tcBorders>
              <w:tl2br w:val="nil"/>
              <w:tr2bl w:val="nil"/>
            </w:tcBorders>
          </w:tcPr>
          <w:p w14:paraId="270D5298">
            <w:pPr>
              <w:spacing w:before="215" w:line="221" w:lineRule="auto"/>
              <w:ind w:left="373"/>
              <w:rPr>
                <w:szCs w:val="21"/>
              </w:rPr>
            </w:pPr>
            <w:r>
              <w:rPr>
                <w:spacing w:val="-5"/>
                <w:szCs w:val="21"/>
              </w:rPr>
              <w:t>四至范围内</w:t>
            </w:r>
          </w:p>
        </w:tc>
        <w:tc>
          <w:tcPr>
            <w:tcW w:w="1528" w:type="dxa"/>
            <w:vMerge w:val="continue"/>
            <w:tcBorders>
              <w:tl2br w:val="nil"/>
              <w:tr2bl w:val="nil"/>
            </w:tcBorders>
          </w:tcPr>
          <w:p w14:paraId="3445F33C">
            <w:pPr>
              <w:rPr>
                <w:szCs w:val="21"/>
              </w:rPr>
            </w:pPr>
          </w:p>
        </w:tc>
        <w:tc>
          <w:tcPr>
            <w:tcW w:w="1605" w:type="dxa"/>
            <w:tcBorders>
              <w:tl2br w:val="nil"/>
              <w:tr2bl w:val="nil"/>
            </w:tcBorders>
          </w:tcPr>
          <w:p w14:paraId="017EE87D">
            <w:pPr>
              <w:spacing w:before="210" w:line="214" w:lineRule="auto"/>
              <w:ind w:left="539"/>
              <w:rPr>
                <w:szCs w:val="21"/>
              </w:rPr>
            </w:pPr>
            <w:r>
              <w:rPr>
                <w:spacing w:val="1"/>
                <w:szCs w:val="21"/>
              </w:rPr>
              <w:t>3</w:t>
            </w:r>
            <w:r>
              <w:rPr>
                <w:position w:val="-5"/>
                <w:szCs w:val="21"/>
              </w:rPr>
              <w:drawing>
                <wp:inline distT="0" distB="0" distL="0" distR="0">
                  <wp:extent cx="65405" cy="121285"/>
                  <wp:effectExtent l="0" t="0" r="10795" b="13335"/>
                  <wp:docPr id="56" name="IM 34"/>
                  <wp:cNvGraphicFramePr/>
                  <a:graphic xmlns:a="http://schemas.openxmlformats.org/drawingml/2006/main">
                    <a:graphicData uri="http://schemas.openxmlformats.org/drawingml/2006/picture">
                      <pic:pic xmlns:pic="http://schemas.openxmlformats.org/drawingml/2006/picture">
                        <pic:nvPicPr>
                          <pic:cNvPr id="56" name="IM 34"/>
                          <pic:cNvPicPr/>
                        </pic:nvPicPr>
                        <pic:blipFill>
                          <a:blip r:embed="rId40"/>
                          <a:stretch>
                            <a:fillRect/>
                          </a:stretch>
                        </pic:blipFill>
                        <pic:spPr>
                          <a:xfrm>
                            <a:off x="0" y="0"/>
                            <a:ext cx="65968" cy="121907"/>
                          </a:xfrm>
                          <a:prstGeom prst="rect">
                            <a:avLst/>
                          </a:prstGeom>
                        </pic:spPr>
                      </pic:pic>
                    </a:graphicData>
                  </a:graphic>
                </wp:inline>
              </w:drawing>
            </w:r>
            <w:r>
              <w:rPr>
                <w:szCs w:val="21"/>
              </w:rPr>
              <w:t>10</w:t>
            </w:r>
            <w:r>
              <w:rPr>
                <w:position w:val="10"/>
                <w:szCs w:val="21"/>
              </w:rPr>
              <w:t>-6</w:t>
            </w:r>
          </w:p>
        </w:tc>
        <w:tc>
          <w:tcPr>
            <w:tcW w:w="1955" w:type="dxa"/>
            <w:tcBorders>
              <w:tl2br w:val="nil"/>
              <w:tr2bl w:val="nil"/>
            </w:tcBorders>
          </w:tcPr>
          <w:p w14:paraId="2B5C2849">
            <w:pPr>
              <w:spacing w:before="60"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09A1BF73">
            <w:pPr>
              <w:spacing w:before="59"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29081E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470" w:type="dxa"/>
            <w:vMerge w:val="continue"/>
            <w:tcBorders>
              <w:tl2br w:val="nil"/>
              <w:tr2bl w:val="nil"/>
            </w:tcBorders>
          </w:tcPr>
          <w:p w14:paraId="650500EC">
            <w:pPr>
              <w:rPr>
                <w:szCs w:val="21"/>
              </w:rPr>
            </w:pPr>
          </w:p>
        </w:tc>
        <w:tc>
          <w:tcPr>
            <w:tcW w:w="588" w:type="dxa"/>
            <w:vMerge w:val="continue"/>
            <w:tcBorders>
              <w:tl2br w:val="nil"/>
              <w:tr2bl w:val="nil"/>
            </w:tcBorders>
          </w:tcPr>
          <w:p w14:paraId="54827F58">
            <w:pPr>
              <w:rPr>
                <w:szCs w:val="21"/>
              </w:rPr>
            </w:pPr>
          </w:p>
        </w:tc>
        <w:tc>
          <w:tcPr>
            <w:tcW w:w="1764" w:type="dxa"/>
            <w:tcBorders>
              <w:tl2br w:val="nil"/>
              <w:tr2bl w:val="nil"/>
            </w:tcBorders>
          </w:tcPr>
          <w:p w14:paraId="6CDCF71B">
            <w:pPr>
              <w:spacing w:before="218" w:line="221" w:lineRule="auto"/>
              <w:ind w:left="373"/>
              <w:rPr>
                <w:szCs w:val="21"/>
              </w:rPr>
            </w:pPr>
            <w:r>
              <w:rPr>
                <w:spacing w:val="-5"/>
                <w:szCs w:val="21"/>
              </w:rPr>
              <w:t>四至范围内</w:t>
            </w:r>
          </w:p>
        </w:tc>
        <w:tc>
          <w:tcPr>
            <w:tcW w:w="1528" w:type="dxa"/>
            <w:vMerge w:val="continue"/>
            <w:tcBorders>
              <w:tl2br w:val="nil"/>
              <w:tr2bl w:val="nil"/>
            </w:tcBorders>
          </w:tcPr>
          <w:p w14:paraId="0CE740A9">
            <w:pPr>
              <w:rPr>
                <w:szCs w:val="21"/>
              </w:rPr>
            </w:pPr>
          </w:p>
        </w:tc>
        <w:tc>
          <w:tcPr>
            <w:tcW w:w="1605" w:type="dxa"/>
            <w:tcBorders>
              <w:tl2br w:val="nil"/>
              <w:tr2bl w:val="nil"/>
            </w:tcBorders>
          </w:tcPr>
          <w:p w14:paraId="6E3F70A9">
            <w:pPr>
              <w:spacing w:before="214" w:line="213" w:lineRule="auto"/>
              <w:ind w:left="550"/>
              <w:rPr>
                <w:szCs w:val="21"/>
              </w:rPr>
            </w:pPr>
            <w:r>
              <w:rPr>
                <w:spacing w:val="-2"/>
                <w:szCs w:val="21"/>
              </w:rPr>
              <w:t>1</w:t>
            </w:r>
            <w:r>
              <w:rPr>
                <w:position w:val="-5"/>
                <w:szCs w:val="21"/>
              </w:rPr>
              <w:drawing>
                <wp:inline distT="0" distB="0" distL="0" distR="0">
                  <wp:extent cx="65405" cy="121285"/>
                  <wp:effectExtent l="0" t="0" r="10795" b="13335"/>
                  <wp:docPr id="57" name="IM 35"/>
                  <wp:cNvGraphicFramePr/>
                  <a:graphic xmlns:a="http://schemas.openxmlformats.org/drawingml/2006/main">
                    <a:graphicData uri="http://schemas.openxmlformats.org/drawingml/2006/picture">
                      <pic:pic xmlns:pic="http://schemas.openxmlformats.org/drawingml/2006/picture">
                        <pic:nvPicPr>
                          <pic:cNvPr id="57" name="IM 35"/>
                          <pic:cNvPicPr/>
                        </pic:nvPicPr>
                        <pic:blipFill>
                          <a:blip r:embed="rId40"/>
                          <a:stretch>
                            <a:fillRect/>
                          </a:stretch>
                        </pic:blipFill>
                        <pic:spPr>
                          <a:xfrm>
                            <a:off x="0" y="0"/>
                            <a:ext cx="65968" cy="121907"/>
                          </a:xfrm>
                          <a:prstGeom prst="rect">
                            <a:avLst/>
                          </a:prstGeom>
                        </pic:spPr>
                      </pic:pic>
                    </a:graphicData>
                  </a:graphic>
                </wp:inline>
              </w:drawing>
            </w:r>
            <w:r>
              <w:rPr>
                <w:spacing w:val="-2"/>
                <w:szCs w:val="21"/>
              </w:rPr>
              <w:t>10</w:t>
            </w:r>
            <w:r>
              <w:rPr>
                <w:spacing w:val="-2"/>
                <w:position w:val="10"/>
                <w:szCs w:val="21"/>
              </w:rPr>
              <w:t>-5</w:t>
            </w:r>
          </w:p>
        </w:tc>
        <w:tc>
          <w:tcPr>
            <w:tcW w:w="1955" w:type="dxa"/>
            <w:tcBorders>
              <w:tl2br w:val="nil"/>
              <w:tr2bl w:val="nil"/>
            </w:tcBorders>
          </w:tcPr>
          <w:p w14:paraId="353875FA">
            <w:pPr>
              <w:spacing w:before="63"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697203E">
            <w:pPr>
              <w:spacing w:before="62"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r w14:paraId="70B96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470" w:type="dxa"/>
            <w:vMerge w:val="continue"/>
            <w:tcBorders>
              <w:tl2br w:val="nil"/>
              <w:tr2bl w:val="nil"/>
            </w:tcBorders>
          </w:tcPr>
          <w:p w14:paraId="2F2D56D2">
            <w:pPr>
              <w:rPr>
                <w:szCs w:val="21"/>
              </w:rPr>
            </w:pPr>
          </w:p>
        </w:tc>
        <w:tc>
          <w:tcPr>
            <w:tcW w:w="588" w:type="dxa"/>
            <w:vMerge w:val="continue"/>
            <w:tcBorders>
              <w:tl2br w:val="nil"/>
              <w:tr2bl w:val="nil"/>
            </w:tcBorders>
          </w:tcPr>
          <w:p w14:paraId="3AA0F0E0">
            <w:pPr>
              <w:rPr>
                <w:szCs w:val="21"/>
              </w:rPr>
            </w:pPr>
          </w:p>
        </w:tc>
        <w:tc>
          <w:tcPr>
            <w:tcW w:w="1764" w:type="dxa"/>
            <w:tcBorders>
              <w:tl2br w:val="nil"/>
              <w:tr2bl w:val="nil"/>
            </w:tcBorders>
          </w:tcPr>
          <w:p w14:paraId="2B097CBB">
            <w:pPr>
              <w:spacing w:before="216" w:line="221" w:lineRule="auto"/>
              <w:ind w:left="373"/>
              <w:rPr>
                <w:szCs w:val="21"/>
              </w:rPr>
            </w:pPr>
            <w:r>
              <w:rPr>
                <w:spacing w:val="-5"/>
                <w:szCs w:val="21"/>
              </w:rPr>
              <w:t>四至范围内</w:t>
            </w:r>
          </w:p>
        </w:tc>
        <w:tc>
          <w:tcPr>
            <w:tcW w:w="1528" w:type="dxa"/>
            <w:vMerge w:val="continue"/>
            <w:tcBorders>
              <w:tl2br w:val="nil"/>
              <w:tr2bl w:val="nil"/>
            </w:tcBorders>
          </w:tcPr>
          <w:p w14:paraId="15B811AE">
            <w:pPr>
              <w:rPr>
                <w:szCs w:val="21"/>
              </w:rPr>
            </w:pPr>
          </w:p>
        </w:tc>
        <w:tc>
          <w:tcPr>
            <w:tcW w:w="1605" w:type="dxa"/>
            <w:tcBorders>
              <w:tl2br w:val="nil"/>
              <w:tr2bl w:val="nil"/>
            </w:tcBorders>
          </w:tcPr>
          <w:p w14:paraId="54124967">
            <w:pPr>
              <w:spacing w:before="212" w:line="213" w:lineRule="auto"/>
              <w:ind w:left="539"/>
              <w:rPr>
                <w:szCs w:val="21"/>
              </w:rPr>
            </w:pPr>
            <w:r>
              <w:rPr>
                <w:spacing w:val="1"/>
                <w:szCs w:val="21"/>
              </w:rPr>
              <w:t>3</w:t>
            </w:r>
            <w:r>
              <w:rPr>
                <w:position w:val="-5"/>
                <w:szCs w:val="21"/>
              </w:rPr>
              <w:drawing>
                <wp:inline distT="0" distB="0" distL="0" distR="0">
                  <wp:extent cx="65405" cy="121285"/>
                  <wp:effectExtent l="0" t="0" r="10795" b="13335"/>
                  <wp:docPr id="58" name="IM 36"/>
                  <wp:cNvGraphicFramePr/>
                  <a:graphic xmlns:a="http://schemas.openxmlformats.org/drawingml/2006/main">
                    <a:graphicData uri="http://schemas.openxmlformats.org/drawingml/2006/picture">
                      <pic:pic xmlns:pic="http://schemas.openxmlformats.org/drawingml/2006/picture">
                        <pic:nvPicPr>
                          <pic:cNvPr id="58" name="IM 36"/>
                          <pic:cNvPicPr/>
                        </pic:nvPicPr>
                        <pic:blipFill>
                          <a:blip r:embed="rId42"/>
                          <a:stretch>
                            <a:fillRect/>
                          </a:stretch>
                        </pic:blipFill>
                        <pic:spPr>
                          <a:xfrm>
                            <a:off x="0" y="0"/>
                            <a:ext cx="65968" cy="121907"/>
                          </a:xfrm>
                          <a:prstGeom prst="rect">
                            <a:avLst/>
                          </a:prstGeom>
                        </pic:spPr>
                      </pic:pic>
                    </a:graphicData>
                  </a:graphic>
                </wp:inline>
              </w:drawing>
            </w:r>
            <w:r>
              <w:rPr>
                <w:szCs w:val="21"/>
              </w:rPr>
              <w:t>10</w:t>
            </w:r>
            <w:r>
              <w:rPr>
                <w:position w:val="10"/>
                <w:szCs w:val="21"/>
              </w:rPr>
              <w:t>-5</w:t>
            </w:r>
          </w:p>
        </w:tc>
        <w:tc>
          <w:tcPr>
            <w:tcW w:w="1955" w:type="dxa"/>
            <w:tcBorders>
              <w:tl2br w:val="nil"/>
              <w:tr2bl w:val="nil"/>
            </w:tcBorders>
          </w:tcPr>
          <w:p w14:paraId="2C2E3940">
            <w:pPr>
              <w:spacing w:before="61" w:line="247" w:lineRule="auto"/>
              <w:ind w:left="258" w:right="130" w:hanging="105"/>
              <w:rPr>
                <w:szCs w:val="21"/>
              </w:rPr>
            </w:pPr>
            <w:r>
              <w:rPr>
                <w:spacing w:val="-4"/>
                <w:szCs w:val="21"/>
              </w:rPr>
              <w:t>防</w:t>
            </w:r>
            <w:r>
              <w:rPr>
                <w:spacing w:val="-3"/>
                <w:szCs w:val="21"/>
              </w:rPr>
              <w:t>护</w:t>
            </w:r>
            <w:r>
              <w:rPr>
                <w:spacing w:val="-2"/>
                <w:szCs w:val="21"/>
              </w:rPr>
              <w:t>距离内无安全</w:t>
            </w:r>
            <w:r>
              <w:rPr>
                <w:spacing w:val="-15"/>
                <w:szCs w:val="21"/>
              </w:rPr>
              <w:t>防护目标，符合</w:t>
            </w:r>
          </w:p>
        </w:tc>
        <w:tc>
          <w:tcPr>
            <w:tcW w:w="1494" w:type="dxa"/>
            <w:tcBorders>
              <w:tl2br w:val="nil"/>
              <w:tr2bl w:val="nil"/>
            </w:tcBorders>
          </w:tcPr>
          <w:p w14:paraId="6893779A">
            <w:pPr>
              <w:spacing w:before="60" w:line="248" w:lineRule="auto"/>
              <w:ind w:left="125" w:right="111" w:firstLine="18"/>
              <w:rPr>
                <w:szCs w:val="21"/>
              </w:rPr>
            </w:pPr>
            <w:r>
              <w:rPr>
                <w:spacing w:val="-5"/>
                <w:szCs w:val="21"/>
              </w:rPr>
              <w:t>以四至范围边</w:t>
            </w:r>
            <w:r>
              <w:rPr>
                <w:spacing w:val="-2"/>
                <w:szCs w:val="21"/>
              </w:rPr>
              <w:t>界向外测距</w:t>
            </w:r>
            <w:r>
              <w:rPr>
                <w:spacing w:val="-1"/>
                <w:szCs w:val="21"/>
              </w:rPr>
              <w:t>离</w:t>
            </w:r>
          </w:p>
        </w:tc>
      </w:tr>
    </w:tbl>
    <w:p w14:paraId="0C89C82F">
      <w:pPr>
        <w:spacing w:before="238" w:line="396" w:lineRule="auto"/>
        <w:ind w:left="122" w:right="112" w:firstLine="561"/>
        <w:rPr>
          <w:spacing w:val="-3"/>
          <w:szCs w:val="21"/>
        </w:rPr>
      </w:pPr>
      <w:r>
        <w:rPr>
          <w:spacing w:val="2"/>
          <w:sz w:val="24"/>
          <w:szCs w:val="24"/>
        </w:rPr>
        <w:t>综上分析，现在区块一和区块二整体外部防</w:t>
      </w:r>
      <w:bookmarkStart w:id="289" w:name="_bookmark10"/>
      <w:bookmarkEnd w:id="289"/>
      <w:r>
        <w:rPr>
          <w:spacing w:val="2"/>
          <w:sz w:val="24"/>
          <w:szCs w:val="24"/>
        </w:rPr>
        <w:t>护距离均符合要求。</w:t>
      </w:r>
    </w:p>
    <w:p w14:paraId="4049DE1C">
      <w:pPr>
        <w:pStyle w:val="12"/>
        <w:spacing w:beforeLines="50" w:afterLines="50" w:line="360" w:lineRule="auto"/>
        <w:ind w:firstLine="0"/>
        <w:jc w:val="left"/>
        <w:outlineLvl w:val="1"/>
        <w:rPr>
          <w:b/>
          <w:szCs w:val="28"/>
        </w:rPr>
      </w:pPr>
      <w:bookmarkStart w:id="290" w:name="_Toc23983"/>
      <w:r>
        <w:rPr>
          <w:b/>
          <w:szCs w:val="28"/>
        </w:rPr>
        <w:t>9.5化工园区消防安全布局</w:t>
      </w:r>
      <w:bookmarkEnd w:id="281"/>
      <w:bookmarkEnd w:id="282"/>
      <w:bookmarkEnd w:id="283"/>
      <w:bookmarkEnd w:id="284"/>
      <w:bookmarkEnd w:id="285"/>
      <w:bookmarkEnd w:id="286"/>
      <w:bookmarkEnd w:id="290"/>
    </w:p>
    <w:p w14:paraId="69E5B6DE">
      <w:pPr>
        <w:pStyle w:val="12"/>
        <w:spacing w:beforeLines="50" w:afterLines="50" w:line="360" w:lineRule="auto"/>
        <w:ind w:firstLine="0"/>
        <w:jc w:val="left"/>
        <w:outlineLvl w:val="2"/>
        <w:rPr>
          <w:b/>
          <w:sz w:val="24"/>
          <w:szCs w:val="24"/>
        </w:rPr>
      </w:pPr>
      <w:r>
        <w:rPr>
          <w:b/>
          <w:sz w:val="24"/>
          <w:szCs w:val="24"/>
        </w:rPr>
        <w:t>9.5.1工业区安全布局</w:t>
      </w:r>
    </w:p>
    <w:p w14:paraId="4121B35E">
      <w:pPr>
        <w:tabs>
          <w:tab w:val="left" w:pos="3315"/>
        </w:tabs>
        <w:adjustRightInd w:val="0"/>
        <w:spacing w:line="360" w:lineRule="auto"/>
        <w:ind w:firstLine="480" w:firstLineChars="200"/>
        <w:rPr>
          <w:sz w:val="24"/>
          <w:szCs w:val="24"/>
        </w:rPr>
      </w:pPr>
      <w:r>
        <w:rPr>
          <w:sz w:val="24"/>
          <w:szCs w:val="24"/>
        </w:rPr>
        <w:t>化工园区按照“统一规划、合理布局、严格准入、一体化管理”的原则，做好园区的规划选址和企业布局。园区规划布局不当可导致下列风险：</w:t>
      </w:r>
    </w:p>
    <w:p w14:paraId="479E4D05">
      <w:pPr>
        <w:tabs>
          <w:tab w:val="left" w:pos="3315"/>
        </w:tabs>
        <w:adjustRightInd w:val="0"/>
        <w:spacing w:line="360" w:lineRule="auto"/>
        <w:ind w:firstLine="480" w:firstLineChars="200"/>
        <w:rPr>
          <w:sz w:val="24"/>
          <w:szCs w:val="24"/>
        </w:rPr>
      </w:pPr>
      <w:r>
        <w:rPr>
          <w:sz w:val="24"/>
          <w:szCs w:val="24"/>
        </w:rPr>
        <w:t>（1）化工园区地域大，企业多，风险集中，需做好园区的规划选址和企业布局工作。如园区未经统一规划、功能分区及企业布局不合理，园区将面临较高的系统安全风险，一旦发生事故，易造成人员和财产的重大损失。</w:t>
      </w:r>
    </w:p>
    <w:p w14:paraId="30151977">
      <w:pPr>
        <w:tabs>
          <w:tab w:val="left" w:pos="3315"/>
        </w:tabs>
        <w:adjustRightInd w:val="0"/>
        <w:spacing w:line="360" w:lineRule="auto"/>
        <w:ind w:firstLine="480" w:firstLineChars="200"/>
        <w:rPr>
          <w:sz w:val="24"/>
          <w:szCs w:val="24"/>
        </w:rPr>
      </w:pPr>
      <w:r>
        <w:rPr>
          <w:sz w:val="24"/>
          <w:szCs w:val="24"/>
        </w:rPr>
        <w:t>（2）园区选址应把安全放在首位，如园区与城市建成区、人口密集区、重要设施、敏感目标之间未留有足够的安全防护距离，则园区安全与周边公共安全的相互影响将难以避免，园区企业一旦发生较大安全事故，可能会波及周边敏感场所或目标，造成群死群伤事故。</w:t>
      </w:r>
    </w:p>
    <w:p w14:paraId="63ED5A29">
      <w:pPr>
        <w:tabs>
          <w:tab w:val="left" w:pos="3315"/>
        </w:tabs>
        <w:adjustRightInd w:val="0"/>
        <w:spacing w:line="360" w:lineRule="auto"/>
        <w:ind w:firstLine="480" w:firstLineChars="200"/>
        <w:rPr>
          <w:sz w:val="24"/>
          <w:szCs w:val="24"/>
        </w:rPr>
      </w:pPr>
      <w:r>
        <w:rPr>
          <w:sz w:val="24"/>
          <w:szCs w:val="24"/>
        </w:rPr>
        <w:t>（3）园区内各企业选址布局应满足安全防护距离要求，如园区内各企业选址布局未能充分考虑主导风向、地势高低落差、企业装置之间的相互影响因素，或者将劳动力密集型的非化工企业与化工企业混建在同一园区内，不能合理布置功能分区。一旦发生事故，易造成企业之间的相互影响，导致事故范围及危害扩大。</w:t>
      </w:r>
    </w:p>
    <w:p w14:paraId="3A9BE161">
      <w:pPr>
        <w:tabs>
          <w:tab w:val="left" w:pos="3315"/>
        </w:tabs>
        <w:adjustRightInd w:val="0"/>
        <w:spacing w:line="360" w:lineRule="auto"/>
        <w:ind w:firstLine="480" w:firstLineChars="200"/>
        <w:rPr>
          <w:sz w:val="24"/>
          <w:szCs w:val="24"/>
        </w:rPr>
      </w:pPr>
      <w:r>
        <w:rPr>
          <w:sz w:val="24"/>
          <w:szCs w:val="24"/>
        </w:rPr>
        <w:t>（4）入园项目建设规划要符合国家和安徽省产业政策，如园区引进不符合产业政策的落后淘汰项目，采用安全风险较高的落后淘汰工艺及设备，会增加园区的安全风险。</w:t>
      </w:r>
    </w:p>
    <w:p w14:paraId="54F74549">
      <w:pPr>
        <w:tabs>
          <w:tab w:val="left" w:pos="3315"/>
        </w:tabs>
        <w:adjustRightInd w:val="0"/>
        <w:spacing w:line="360" w:lineRule="auto"/>
        <w:ind w:firstLine="480" w:firstLineChars="200"/>
        <w:rPr>
          <w:sz w:val="24"/>
          <w:szCs w:val="24"/>
        </w:rPr>
      </w:pPr>
      <w:r>
        <w:rPr>
          <w:sz w:val="24"/>
          <w:szCs w:val="24"/>
        </w:rPr>
        <w:t>（5）园区应建设有利于生产安全的园区公用配套工程和安全保障设施，若园区供水、供配电、污水处理、公用</w:t>
      </w:r>
      <w:r>
        <w:rPr>
          <w:rFonts w:hint="eastAsia"/>
          <w:sz w:val="24"/>
          <w:szCs w:val="24"/>
        </w:rPr>
        <w:t>（公用工程）</w:t>
      </w:r>
      <w:r>
        <w:rPr>
          <w:sz w:val="24"/>
          <w:szCs w:val="24"/>
        </w:rPr>
        <w:t>管廊、道路交通、应急救援设施等不完善，会增加园区的安全风险。</w:t>
      </w:r>
    </w:p>
    <w:p w14:paraId="183B298B">
      <w:pPr>
        <w:spacing w:line="360" w:lineRule="auto"/>
        <w:ind w:firstLine="480" w:firstLineChars="200"/>
      </w:pPr>
      <w:r>
        <w:rPr>
          <w:sz w:val="24"/>
          <w:szCs w:val="24"/>
        </w:rPr>
        <w:t>（6）园区南面为山坡，山上植被较密，秋冬季容易引发火灾，若与园区内易燃易爆危险化学品装置未保持足够的间距，森林火灾可能会对临近企业产生影响，引发重大安全事故；此外，由于园区地势总体上南高北低，夏季强降雨还可能引起滑坡、泥石流等自然灾害，对临近山坡的企业构成威胁。</w:t>
      </w:r>
    </w:p>
    <w:p w14:paraId="3584E32F">
      <w:pPr>
        <w:pStyle w:val="12"/>
        <w:spacing w:beforeLines="50" w:afterLines="50" w:line="360" w:lineRule="auto"/>
        <w:ind w:firstLine="0"/>
        <w:jc w:val="left"/>
        <w:outlineLvl w:val="2"/>
        <w:rPr>
          <w:b/>
          <w:sz w:val="24"/>
          <w:szCs w:val="24"/>
        </w:rPr>
      </w:pPr>
      <w:r>
        <w:rPr>
          <w:b/>
          <w:sz w:val="24"/>
          <w:szCs w:val="24"/>
        </w:rPr>
        <w:t>9.5.2仓储区安全风险容量</w:t>
      </w:r>
    </w:p>
    <w:p w14:paraId="1FA7B109">
      <w:pPr>
        <w:spacing w:line="360" w:lineRule="auto"/>
        <w:rPr>
          <w:b/>
          <w:sz w:val="24"/>
          <w:szCs w:val="24"/>
        </w:rPr>
      </w:pPr>
      <w:r>
        <w:rPr>
          <w:b/>
          <w:sz w:val="24"/>
          <w:szCs w:val="24"/>
        </w:rPr>
        <w:t>（1）、安全容量计算模型</w:t>
      </w:r>
    </w:p>
    <w:p w14:paraId="1F9D6C11">
      <w:pPr>
        <w:spacing w:line="360" w:lineRule="auto"/>
        <w:ind w:firstLine="480" w:firstLineChars="200"/>
        <w:rPr>
          <w:sz w:val="24"/>
          <w:szCs w:val="24"/>
        </w:rPr>
      </w:pPr>
      <w:r>
        <w:rPr>
          <w:sz w:val="24"/>
          <w:szCs w:val="24"/>
        </w:rPr>
        <w:t>研究园区安全容量的主要目的是控制园区内危险物质的总量，使其处于安全可控的范围内。但是由于危险物质种类非常多，而且具有不同的物理、化学特性，因此很难直接用危险物质的质量来计算园区安全容量。风险作为一种评价化工园区安全状况的重要指标，同时具有被普遍认可的可接受标准，可以用来作为计算化工园区安全容量的基础。</w:t>
      </w:r>
    </w:p>
    <w:p w14:paraId="6DA0C1E3">
      <w:pPr>
        <w:spacing w:line="360" w:lineRule="auto"/>
        <w:ind w:firstLine="480" w:firstLineChars="200"/>
        <w:rPr>
          <w:sz w:val="24"/>
          <w:szCs w:val="24"/>
        </w:rPr>
      </w:pPr>
      <w:r>
        <w:rPr>
          <w:sz w:val="24"/>
          <w:szCs w:val="24"/>
        </w:rPr>
        <w:t>风险是描述危险程度的客观量。按照风险的经典定义，风险计算公式为：</w:t>
      </w:r>
    </w:p>
    <w:p w14:paraId="6F8D7842">
      <w:pPr>
        <w:spacing w:line="360" w:lineRule="auto"/>
        <w:ind w:firstLine="480" w:firstLineChars="200"/>
        <w:rPr>
          <w:sz w:val="24"/>
          <w:szCs w:val="24"/>
        </w:rPr>
      </w:pPr>
      <w:r>
        <w:rPr>
          <w:rFonts w:eastAsia="Times New Roman"/>
          <w:i/>
          <w:iCs/>
          <w:sz w:val="24"/>
          <w:szCs w:val="24"/>
        </w:rPr>
        <w:t>R</w:t>
      </w:r>
      <w:r>
        <w:rPr>
          <w:rFonts w:eastAsia="Symbol"/>
          <w:sz w:val="24"/>
          <w:szCs w:val="24"/>
        </w:rPr>
        <w:t>=</w:t>
      </w:r>
      <w:r>
        <w:rPr>
          <w:rFonts w:eastAsia="Times New Roman"/>
          <w:i/>
          <w:iCs/>
          <w:sz w:val="24"/>
          <w:szCs w:val="24"/>
        </w:rPr>
        <w:t>f</w:t>
      </w:r>
      <w:r>
        <w:rPr>
          <w:rFonts w:eastAsia="Symbol"/>
          <w:sz w:val="24"/>
          <w:szCs w:val="24"/>
        </w:rPr>
        <w:t>(</w:t>
      </w:r>
      <w:r>
        <w:rPr>
          <w:rFonts w:eastAsia="Times New Roman"/>
          <w:i/>
          <w:iCs/>
          <w:sz w:val="24"/>
          <w:szCs w:val="24"/>
        </w:rPr>
        <w:t>F</w:t>
      </w:r>
      <w:r>
        <w:rPr>
          <w:rFonts w:eastAsia="Symbol"/>
          <w:sz w:val="24"/>
          <w:szCs w:val="24"/>
        </w:rPr>
        <w:t>).</w:t>
      </w:r>
      <w:r>
        <w:rPr>
          <w:rFonts w:eastAsia="Times New Roman"/>
          <w:i/>
          <w:iCs/>
          <w:sz w:val="24"/>
          <w:szCs w:val="24"/>
        </w:rPr>
        <w:t>f</w:t>
      </w:r>
      <w:r>
        <w:rPr>
          <w:rFonts w:eastAsia="Symbol"/>
          <w:sz w:val="24"/>
          <w:szCs w:val="24"/>
        </w:rPr>
        <w:t>(</w:t>
      </w:r>
      <w:r>
        <w:rPr>
          <w:rFonts w:eastAsia="Times New Roman"/>
          <w:i/>
          <w:iCs/>
          <w:sz w:val="24"/>
          <w:szCs w:val="24"/>
        </w:rPr>
        <w:t>D</w:t>
      </w:r>
      <w:r>
        <w:rPr>
          <w:rFonts w:eastAsia="Symbol"/>
          <w:sz w:val="24"/>
          <w:szCs w:val="24"/>
        </w:rPr>
        <w:t>)</w:t>
      </w:r>
    </w:p>
    <w:p w14:paraId="6309E33A">
      <w:pPr>
        <w:spacing w:line="360" w:lineRule="auto"/>
        <w:ind w:firstLine="480" w:firstLineChars="200"/>
        <w:rPr>
          <w:sz w:val="24"/>
          <w:szCs w:val="24"/>
        </w:rPr>
      </w:pPr>
      <w:r>
        <w:rPr>
          <w:sz w:val="24"/>
          <w:szCs w:val="24"/>
        </w:rPr>
        <w:t>式中，</w:t>
      </w:r>
      <w:r>
        <w:rPr>
          <w:rFonts w:eastAsia="Times New Roman"/>
          <w:i/>
          <w:iCs/>
          <w:sz w:val="24"/>
          <w:szCs w:val="24"/>
        </w:rPr>
        <w:t>R</w:t>
      </w:r>
      <w:r>
        <w:rPr>
          <w:rFonts w:eastAsia="Times New Roman"/>
          <w:sz w:val="24"/>
          <w:szCs w:val="24"/>
        </w:rPr>
        <w:t>——</w:t>
      </w:r>
      <w:r>
        <w:rPr>
          <w:sz w:val="24"/>
          <w:szCs w:val="24"/>
        </w:rPr>
        <w:t>事故风险；</w:t>
      </w:r>
    </w:p>
    <w:p w14:paraId="425D9581">
      <w:pPr>
        <w:spacing w:line="360" w:lineRule="auto"/>
        <w:ind w:firstLine="480" w:firstLineChars="200"/>
        <w:rPr>
          <w:sz w:val="24"/>
          <w:szCs w:val="24"/>
        </w:rPr>
      </w:pPr>
      <w:r>
        <w:rPr>
          <w:rFonts w:eastAsia="Times New Roman"/>
          <w:i/>
          <w:iCs/>
          <w:sz w:val="24"/>
          <w:szCs w:val="24"/>
        </w:rPr>
        <w:t>f</w:t>
      </w:r>
      <w:r>
        <w:rPr>
          <w:rFonts w:eastAsia="Symbol"/>
          <w:sz w:val="24"/>
          <w:szCs w:val="24"/>
        </w:rPr>
        <w:t>(</w:t>
      </w:r>
      <w:r>
        <w:rPr>
          <w:rFonts w:eastAsia="Times New Roman"/>
          <w:i/>
          <w:iCs/>
          <w:sz w:val="24"/>
          <w:szCs w:val="24"/>
        </w:rPr>
        <w:t>F</w:t>
      </w:r>
      <w:r>
        <w:rPr>
          <w:rFonts w:eastAsia="Symbol"/>
          <w:sz w:val="24"/>
          <w:szCs w:val="24"/>
        </w:rPr>
        <w:t xml:space="preserve">) </w:t>
      </w:r>
      <w:r>
        <w:rPr>
          <w:rFonts w:eastAsia="Times New Roman"/>
          <w:sz w:val="24"/>
          <w:szCs w:val="24"/>
        </w:rPr>
        <w:t>——</w:t>
      </w:r>
      <w:r>
        <w:rPr>
          <w:sz w:val="24"/>
          <w:szCs w:val="24"/>
        </w:rPr>
        <w:t>事故发生可能性；</w:t>
      </w:r>
    </w:p>
    <w:p w14:paraId="4A966CDD">
      <w:pPr>
        <w:spacing w:line="360" w:lineRule="auto"/>
        <w:ind w:firstLine="480" w:firstLineChars="200"/>
        <w:rPr>
          <w:sz w:val="24"/>
          <w:szCs w:val="24"/>
        </w:rPr>
      </w:pPr>
      <w:r>
        <w:rPr>
          <w:rFonts w:eastAsia="Times New Roman"/>
          <w:i/>
          <w:iCs/>
          <w:sz w:val="24"/>
          <w:szCs w:val="24"/>
        </w:rPr>
        <w:t>f</w:t>
      </w:r>
      <w:r>
        <w:rPr>
          <w:rFonts w:eastAsia="Symbol"/>
          <w:sz w:val="24"/>
          <w:szCs w:val="24"/>
        </w:rPr>
        <w:t>(</w:t>
      </w:r>
      <w:r>
        <w:rPr>
          <w:rFonts w:eastAsia="Times New Roman"/>
          <w:i/>
          <w:iCs/>
          <w:sz w:val="24"/>
          <w:szCs w:val="24"/>
        </w:rPr>
        <w:t>D</w:t>
      </w:r>
      <w:r>
        <w:rPr>
          <w:rFonts w:eastAsia="Symbol"/>
          <w:sz w:val="24"/>
          <w:szCs w:val="24"/>
        </w:rPr>
        <w:t xml:space="preserve">) </w:t>
      </w:r>
      <w:r>
        <w:rPr>
          <w:rFonts w:eastAsia="Times New Roman"/>
          <w:sz w:val="24"/>
          <w:szCs w:val="24"/>
        </w:rPr>
        <w:t>——</w:t>
      </w:r>
      <w:r>
        <w:rPr>
          <w:sz w:val="24"/>
          <w:szCs w:val="24"/>
        </w:rPr>
        <w:t>事故的严重程度。</w:t>
      </w:r>
    </w:p>
    <w:p w14:paraId="6CC14EAD">
      <w:pPr>
        <w:spacing w:line="360" w:lineRule="auto"/>
        <w:ind w:firstLine="480" w:firstLineChars="200"/>
        <w:rPr>
          <w:sz w:val="24"/>
          <w:szCs w:val="24"/>
        </w:rPr>
      </w:pPr>
      <w:r>
        <w:rPr>
          <w:sz w:val="24"/>
          <w:szCs w:val="24"/>
        </w:rPr>
        <w:t>园区安全容量是结合入园企业的性质、综合分析园区企业各种危险品属性和特点，运输特点及园区风险管理现状，评估园区在安全风险容量容许值范围内，园区企业危险品的最大安全库存量。其中安全库存量是指不引起风险超标情况下园区所有企业所能容纳的危险品总量。</w:t>
      </w:r>
    </w:p>
    <w:p w14:paraId="0A81D33A">
      <w:pPr>
        <w:spacing w:line="360" w:lineRule="auto"/>
        <w:ind w:firstLine="480" w:firstLineChars="200"/>
        <w:rPr>
          <w:sz w:val="24"/>
          <w:szCs w:val="24"/>
        </w:rPr>
      </w:pPr>
      <w:r>
        <w:rPr>
          <w:sz w:val="24"/>
          <w:szCs w:val="24"/>
        </w:rPr>
        <w:t>园区风险容量是指：区域中所有危险源发生火灾、爆炸、中毒等意外事故，造成园区在单位时间内潜在生命损失值，即为区域所有危险源所造成的潜在生命损失值之和。潜在生命损失值既考虑了个人死亡风险又考虑了人口总数，是社会风险的简单表征。</w:t>
      </w:r>
    </w:p>
    <w:p w14:paraId="0EF161D8">
      <w:pPr>
        <w:spacing w:line="360" w:lineRule="auto"/>
        <w:ind w:firstLine="480" w:firstLineChars="200"/>
        <w:rPr>
          <w:sz w:val="24"/>
          <w:szCs w:val="24"/>
        </w:rPr>
      </w:pPr>
      <w:r>
        <w:rPr>
          <w:sz w:val="24"/>
          <w:szCs w:val="24"/>
        </w:rPr>
        <w:t>园区安全风险容量是指：园区所有危险源发生事故所造成的最大允许风险容量。安全风险容量不仅与危险品的性质、危险品设施工艺条件、危险设施周边人员分布、土地利用情况还与企业危险源控制情况有关系。</w:t>
      </w:r>
    </w:p>
    <w:p w14:paraId="68AE25BD">
      <w:pPr>
        <w:spacing w:line="360" w:lineRule="auto"/>
        <w:ind w:firstLine="480" w:firstLineChars="200"/>
        <w:rPr>
          <w:sz w:val="24"/>
          <w:szCs w:val="24"/>
        </w:rPr>
      </w:pPr>
      <w:r>
        <w:rPr>
          <w:sz w:val="24"/>
          <w:szCs w:val="24"/>
        </w:rPr>
        <w:t>当园区内企业危险品所造成的风险容量能满足安全风险容量时，危险品的库存量在安全上是可以接受的。对于仓储面积还未确定的新建(规划)企业，其仓储面积可按已建企</w:t>
      </w:r>
      <w:bookmarkStart w:id="291" w:name="_bookmark100"/>
      <w:bookmarkEnd w:id="291"/>
      <w:r>
        <w:rPr>
          <w:sz w:val="24"/>
          <w:szCs w:val="24"/>
        </w:rPr>
        <w:t>业仓储面积与总面积的比例来推算。</w:t>
      </w:r>
    </w:p>
    <w:p w14:paraId="51651AE5">
      <w:pPr>
        <w:spacing w:line="360" w:lineRule="auto"/>
        <w:ind w:firstLine="480" w:firstLineChars="200"/>
        <w:rPr>
          <w:sz w:val="24"/>
          <w:szCs w:val="24"/>
        </w:rPr>
      </w:pPr>
      <w:r>
        <w:rPr>
          <w:sz w:val="24"/>
          <w:szCs w:val="24"/>
        </w:rPr>
        <w:t>具体计算过程见安徽祥源科技股份有限公司2020年9月编制的《淮南经济技术开发区化工集中区整体性安全风险评估报告》。</w:t>
      </w:r>
    </w:p>
    <w:p w14:paraId="4AB11A02">
      <w:pPr>
        <w:spacing w:line="360" w:lineRule="auto"/>
        <w:ind w:firstLine="480" w:firstLineChars="200"/>
        <w:rPr>
          <w:rFonts w:eastAsia="黑体"/>
          <w:sz w:val="24"/>
          <w:szCs w:val="24"/>
        </w:rPr>
      </w:pPr>
      <w:r>
        <w:rPr>
          <w:rFonts w:eastAsia="黑体"/>
          <w:sz w:val="24"/>
          <w:szCs w:val="24"/>
        </w:rPr>
        <w:t>（2）、安全容量贡献率计算</w:t>
      </w:r>
    </w:p>
    <w:p w14:paraId="24ED5096">
      <w:pPr>
        <w:spacing w:line="360" w:lineRule="auto"/>
        <w:ind w:firstLine="480" w:firstLineChars="200"/>
        <w:rPr>
          <w:sz w:val="24"/>
          <w:szCs w:val="24"/>
        </w:rPr>
      </w:pPr>
      <w:r>
        <w:rPr>
          <w:sz w:val="24"/>
          <w:szCs w:val="24"/>
        </w:rPr>
        <w:t>园区危险品云集，一般非常注重风险规避的管理问题。园区风险规避的目的是最大限度规避风险，如果每项措施对风险控制作用总绩效值为</w:t>
      </w:r>
      <w:r>
        <w:rPr>
          <w:rFonts w:eastAsia="Times New Roman"/>
          <w:sz w:val="24"/>
          <w:szCs w:val="24"/>
        </w:rPr>
        <w:t>100</w:t>
      </w:r>
      <w:r>
        <w:rPr>
          <w:sz w:val="24"/>
          <w:szCs w:val="24"/>
        </w:rPr>
        <w:t>分，那么</w:t>
      </w:r>
      <w:r>
        <w:rPr>
          <w:rFonts w:eastAsia="Times New Roman"/>
          <w:sz w:val="24"/>
          <w:szCs w:val="24"/>
        </w:rPr>
        <w:t>100</w:t>
      </w:r>
      <w:r>
        <w:rPr>
          <w:sz w:val="24"/>
          <w:szCs w:val="24"/>
        </w:rPr>
        <w:t>分是该措施对风险控制的理想最高值。而实际上，管理作为一种措施，并不能完全规避危险品本身之外的不利因素。来自于危险品之外的不利条件对危险品安全库存量及安全运输量都会增加额外的风险。根据相关文献内容，将风险规避管理措施所能达到的水平与理想水平之间的比值定义为对安全容量的贡献率。当规避措施无限趋于理想状态时，贡献率将无限趋于</w:t>
      </w:r>
      <w:r>
        <w:rPr>
          <w:rFonts w:eastAsia="Times New Roman"/>
          <w:sz w:val="24"/>
          <w:szCs w:val="24"/>
        </w:rPr>
        <w:t>1</w:t>
      </w:r>
      <w:r>
        <w:rPr>
          <w:sz w:val="24"/>
          <w:szCs w:val="24"/>
        </w:rPr>
        <w:t>。如果贡献率为一个小于</w:t>
      </w:r>
      <w:r>
        <w:rPr>
          <w:rFonts w:eastAsia="Times New Roman"/>
          <w:sz w:val="24"/>
          <w:szCs w:val="24"/>
        </w:rPr>
        <w:t>1</w:t>
      </w:r>
      <w:r>
        <w:rPr>
          <w:sz w:val="24"/>
          <w:szCs w:val="24"/>
        </w:rPr>
        <w:t>百分数，例如</w:t>
      </w:r>
      <w:r>
        <w:rPr>
          <w:rFonts w:eastAsia="Times New Roman"/>
          <w:sz w:val="24"/>
          <w:szCs w:val="24"/>
        </w:rPr>
        <w:t>80%</w:t>
      </w:r>
      <w:r>
        <w:rPr>
          <w:sz w:val="24"/>
          <w:szCs w:val="24"/>
        </w:rPr>
        <w:t>，那么对应的安全容量实际值只能达到理想安全容量值的</w:t>
      </w:r>
      <w:r>
        <w:rPr>
          <w:rFonts w:eastAsia="Times New Roman"/>
          <w:sz w:val="24"/>
          <w:szCs w:val="24"/>
        </w:rPr>
        <w:t>80%</w:t>
      </w:r>
      <w:r>
        <w:rPr>
          <w:sz w:val="24"/>
          <w:szCs w:val="24"/>
        </w:rPr>
        <w:t>，如果贡献率为</w:t>
      </w:r>
      <w:r>
        <w:rPr>
          <w:rFonts w:eastAsia="Times New Roman"/>
          <w:sz w:val="24"/>
          <w:szCs w:val="24"/>
        </w:rPr>
        <w:t>0</w:t>
      </w:r>
      <w:r>
        <w:rPr>
          <w:sz w:val="24"/>
          <w:szCs w:val="24"/>
        </w:rPr>
        <w:t>，即园区没有任何风险规避管理措施时，园区还不能进入运作状态，即实际安全容量只能为</w:t>
      </w:r>
      <w:r>
        <w:rPr>
          <w:rFonts w:eastAsia="Times New Roman"/>
          <w:sz w:val="24"/>
          <w:szCs w:val="24"/>
        </w:rPr>
        <w:t>0</w:t>
      </w:r>
      <w:r>
        <w:rPr>
          <w:sz w:val="24"/>
          <w:szCs w:val="24"/>
        </w:rPr>
        <w:t>。因此安全容量贡献率是指园区影响安全状况的风险规避因素对园区安全容量的影响程度。当所有因素达到最理想化状态时，贡献率为</w:t>
      </w:r>
      <w:r>
        <w:rPr>
          <w:rFonts w:eastAsia="Times New Roman"/>
          <w:sz w:val="24"/>
          <w:szCs w:val="24"/>
        </w:rPr>
        <w:t>1</w:t>
      </w:r>
      <w:r>
        <w:rPr>
          <w:sz w:val="24"/>
          <w:szCs w:val="24"/>
        </w:rPr>
        <w:t>。</w:t>
      </w:r>
    </w:p>
    <w:p w14:paraId="744429C0">
      <w:pPr>
        <w:spacing w:line="360" w:lineRule="auto"/>
        <w:ind w:firstLine="480" w:firstLineChars="200"/>
        <w:rPr>
          <w:sz w:val="24"/>
          <w:szCs w:val="24"/>
        </w:rPr>
      </w:pPr>
      <w:r>
        <w:rPr>
          <w:sz w:val="24"/>
          <w:szCs w:val="24"/>
        </w:rPr>
        <w:t>园区安全容量贡献率是指区域整体规划、区域应急管理、区域应急资源、区域安全管理及区域社会经济状况等对安全容量的影响程度。各指标最高分值设置为</w:t>
      </w:r>
      <w:r>
        <w:rPr>
          <w:rFonts w:eastAsia="Times New Roman"/>
          <w:sz w:val="24"/>
          <w:szCs w:val="24"/>
        </w:rPr>
        <w:t>100</w:t>
      </w:r>
      <w:r>
        <w:rPr>
          <w:sz w:val="24"/>
          <w:szCs w:val="24"/>
        </w:rPr>
        <w:t>分，规定当准则层所有因素达到理想状态时，准则层及其对应的下级指标为</w:t>
      </w:r>
      <w:r>
        <w:rPr>
          <w:rFonts w:eastAsia="Times New Roman"/>
          <w:sz w:val="24"/>
          <w:szCs w:val="24"/>
        </w:rPr>
        <w:t>100</w:t>
      </w:r>
      <w:r>
        <w:rPr>
          <w:sz w:val="24"/>
          <w:szCs w:val="24"/>
        </w:rPr>
        <w:t>分，此时安全容量影响因素对园区安全容量的贡献率为</w:t>
      </w:r>
      <w:r>
        <w:rPr>
          <w:rFonts w:eastAsia="Times New Roman"/>
          <w:sz w:val="24"/>
          <w:szCs w:val="24"/>
        </w:rPr>
        <w:t>100/100=1</w:t>
      </w:r>
      <w:r>
        <w:rPr>
          <w:sz w:val="24"/>
          <w:szCs w:val="24"/>
        </w:rPr>
        <w:t>。</w:t>
      </w:r>
    </w:p>
    <w:p w14:paraId="54512BA5">
      <w:pPr>
        <w:spacing w:line="360" w:lineRule="auto"/>
        <w:ind w:firstLine="480" w:firstLineChars="200"/>
        <w:rPr>
          <w:sz w:val="24"/>
          <w:szCs w:val="24"/>
        </w:rPr>
      </w:pPr>
      <w:r>
        <w:rPr>
          <w:sz w:val="24"/>
          <w:szCs w:val="24"/>
        </w:rPr>
        <w:t>对园区的配套设施进行的评分，评分依据及结果如下：</w:t>
      </w:r>
    </w:p>
    <w:p w14:paraId="1B13F60A">
      <w:pPr>
        <w:spacing w:line="360" w:lineRule="auto"/>
        <w:ind w:firstLine="480" w:firstLineChars="200"/>
        <w:rPr>
          <w:sz w:val="24"/>
          <w:szCs w:val="24"/>
        </w:rPr>
      </w:pPr>
      <w:r>
        <w:rPr>
          <w:sz w:val="24"/>
          <w:szCs w:val="24"/>
        </w:rPr>
        <w:t>影响因素贡献率要根据准则层因素的赋值确定。各等级对应的分值见下表。</w:t>
      </w:r>
    </w:p>
    <w:p w14:paraId="03D3D65E">
      <w:pPr>
        <w:spacing w:before="59" w:line="214" w:lineRule="auto"/>
        <w:ind w:left="2456"/>
        <w:rPr>
          <w:sz w:val="24"/>
          <w:szCs w:val="24"/>
        </w:rPr>
      </w:pPr>
      <w:r>
        <w:rPr>
          <w:spacing w:val="-7"/>
          <w:sz w:val="24"/>
          <w:szCs w:val="24"/>
        </w:rPr>
        <w:t>表9.5-1</w:t>
      </w:r>
      <w:r>
        <w:rPr>
          <w:spacing w:val="-5"/>
          <w:sz w:val="24"/>
          <w:szCs w:val="24"/>
        </w:rPr>
        <w:t>园区安全容量影响指标分级准则</w:t>
      </w:r>
    </w:p>
    <w:tbl>
      <w:tblPr>
        <w:tblStyle w:val="58"/>
        <w:tblW w:w="9294" w:type="dxa"/>
        <w:tblInd w:w="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1"/>
        <w:gridCol w:w="1857"/>
        <w:gridCol w:w="1857"/>
        <w:gridCol w:w="1857"/>
        <w:gridCol w:w="1862"/>
      </w:tblGrid>
      <w:tr w14:paraId="5C54A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861" w:type="dxa"/>
          </w:tcPr>
          <w:p w14:paraId="19A1A275">
            <w:pPr>
              <w:spacing w:before="94" w:line="221" w:lineRule="auto"/>
              <w:ind w:left="728"/>
              <w:rPr>
                <w:szCs w:val="21"/>
              </w:rPr>
            </w:pPr>
            <w:r>
              <w:rPr>
                <w:spacing w:val="-3"/>
                <w:szCs w:val="21"/>
              </w:rPr>
              <w:t>分</w:t>
            </w:r>
            <w:r>
              <w:rPr>
                <w:spacing w:val="-2"/>
                <w:szCs w:val="21"/>
              </w:rPr>
              <w:t>级</w:t>
            </w:r>
          </w:p>
        </w:tc>
        <w:tc>
          <w:tcPr>
            <w:tcW w:w="1857" w:type="dxa"/>
          </w:tcPr>
          <w:p w14:paraId="75AD740D">
            <w:pPr>
              <w:spacing w:before="93" w:line="229" w:lineRule="auto"/>
              <w:ind w:left="725"/>
              <w:rPr>
                <w:szCs w:val="21"/>
              </w:rPr>
            </w:pPr>
            <w:r>
              <w:rPr>
                <w:spacing w:val="-3"/>
                <w:szCs w:val="21"/>
              </w:rPr>
              <w:t>理</w:t>
            </w:r>
            <w:r>
              <w:rPr>
                <w:spacing w:val="-2"/>
                <w:szCs w:val="21"/>
              </w:rPr>
              <w:t>想</w:t>
            </w:r>
          </w:p>
        </w:tc>
        <w:tc>
          <w:tcPr>
            <w:tcW w:w="1857" w:type="dxa"/>
          </w:tcPr>
          <w:p w14:paraId="65B3BF39">
            <w:pPr>
              <w:spacing w:before="94" w:line="223" w:lineRule="auto"/>
              <w:ind w:left="615"/>
              <w:rPr>
                <w:szCs w:val="21"/>
              </w:rPr>
            </w:pPr>
            <w:r>
              <w:rPr>
                <w:spacing w:val="-2"/>
                <w:szCs w:val="21"/>
              </w:rPr>
              <w:t>较</w:t>
            </w:r>
            <w:r>
              <w:rPr>
                <w:spacing w:val="-1"/>
                <w:szCs w:val="21"/>
              </w:rPr>
              <w:t>理想</w:t>
            </w:r>
          </w:p>
        </w:tc>
        <w:tc>
          <w:tcPr>
            <w:tcW w:w="1857" w:type="dxa"/>
          </w:tcPr>
          <w:p w14:paraId="74F1B352">
            <w:pPr>
              <w:spacing w:before="94" w:line="222" w:lineRule="auto"/>
              <w:ind w:left="727"/>
              <w:rPr>
                <w:szCs w:val="21"/>
              </w:rPr>
            </w:pPr>
            <w:r>
              <w:rPr>
                <w:spacing w:val="-3"/>
                <w:szCs w:val="21"/>
              </w:rPr>
              <w:t>一</w:t>
            </w:r>
            <w:r>
              <w:rPr>
                <w:spacing w:val="-2"/>
                <w:szCs w:val="21"/>
              </w:rPr>
              <w:t>般</w:t>
            </w:r>
          </w:p>
        </w:tc>
        <w:tc>
          <w:tcPr>
            <w:tcW w:w="1862" w:type="dxa"/>
          </w:tcPr>
          <w:p w14:paraId="640E58A9">
            <w:pPr>
              <w:spacing w:before="94" w:line="228" w:lineRule="auto"/>
              <w:ind w:left="833"/>
              <w:rPr>
                <w:szCs w:val="21"/>
              </w:rPr>
            </w:pPr>
            <w:r>
              <w:rPr>
                <w:szCs w:val="21"/>
              </w:rPr>
              <w:t>差</w:t>
            </w:r>
          </w:p>
        </w:tc>
      </w:tr>
      <w:tr w14:paraId="7631D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1861" w:type="dxa"/>
          </w:tcPr>
          <w:p w14:paraId="595DE768">
            <w:pPr>
              <w:spacing w:before="94" w:line="221" w:lineRule="auto"/>
              <w:ind w:left="519"/>
              <w:rPr>
                <w:szCs w:val="21"/>
              </w:rPr>
            </w:pPr>
            <w:r>
              <w:rPr>
                <w:spacing w:val="-2"/>
                <w:szCs w:val="21"/>
              </w:rPr>
              <w:t>分值区间</w:t>
            </w:r>
          </w:p>
        </w:tc>
        <w:tc>
          <w:tcPr>
            <w:tcW w:w="1857" w:type="dxa"/>
          </w:tcPr>
          <w:p w14:paraId="7AF7FC03">
            <w:pPr>
              <w:spacing w:before="94" w:line="217" w:lineRule="auto"/>
              <w:ind w:left="501"/>
              <w:rPr>
                <w:rFonts w:eastAsia="Times New Roman"/>
                <w:szCs w:val="21"/>
              </w:rPr>
            </w:pPr>
            <w:r>
              <w:rPr>
                <w:spacing w:val="5"/>
                <w:szCs w:val="21"/>
              </w:rPr>
              <w:t>(</w:t>
            </w:r>
            <w:r>
              <w:rPr>
                <w:rFonts w:eastAsia="Times New Roman"/>
                <w:spacing w:val="5"/>
                <w:szCs w:val="21"/>
              </w:rPr>
              <w:t>80-100</w:t>
            </w:r>
            <w:r>
              <w:rPr>
                <w:rFonts w:eastAsia="Times New Roman"/>
                <w:spacing w:val="3"/>
                <w:szCs w:val="21"/>
              </w:rPr>
              <w:t>]</w:t>
            </w:r>
          </w:p>
        </w:tc>
        <w:tc>
          <w:tcPr>
            <w:tcW w:w="1857" w:type="dxa"/>
          </w:tcPr>
          <w:p w14:paraId="75D2D0C5">
            <w:pPr>
              <w:spacing w:before="94" w:line="217" w:lineRule="auto"/>
              <w:ind w:left="552"/>
              <w:rPr>
                <w:rFonts w:eastAsia="Times New Roman"/>
                <w:szCs w:val="21"/>
              </w:rPr>
            </w:pPr>
            <w:r>
              <w:rPr>
                <w:spacing w:val="14"/>
                <w:szCs w:val="21"/>
              </w:rPr>
              <w:t>(</w:t>
            </w:r>
            <w:r>
              <w:rPr>
                <w:rFonts w:eastAsia="Times New Roman"/>
                <w:spacing w:val="13"/>
                <w:szCs w:val="21"/>
              </w:rPr>
              <w:t>60-80]</w:t>
            </w:r>
          </w:p>
        </w:tc>
        <w:tc>
          <w:tcPr>
            <w:tcW w:w="1857" w:type="dxa"/>
          </w:tcPr>
          <w:p w14:paraId="682CF217">
            <w:pPr>
              <w:spacing w:before="94" w:line="217" w:lineRule="auto"/>
              <w:ind w:left="555"/>
              <w:rPr>
                <w:rFonts w:eastAsia="Times New Roman"/>
                <w:szCs w:val="21"/>
              </w:rPr>
            </w:pPr>
            <w:r>
              <w:rPr>
                <w:spacing w:val="14"/>
                <w:szCs w:val="21"/>
              </w:rPr>
              <w:t>(</w:t>
            </w:r>
            <w:r>
              <w:rPr>
                <w:rFonts w:eastAsia="Times New Roman"/>
                <w:spacing w:val="13"/>
                <w:szCs w:val="21"/>
              </w:rPr>
              <w:t>30-60]</w:t>
            </w:r>
          </w:p>
        </w:tc>
        <w:tc>
          <w:tcPr>
            <w:tcW w:w="1862" w:type="dxa"/>
          </w:tcPr>
          <w:p w14:paraId="503A38A1">
            <w:pPr>
              <w:spacing w:before="94" w:line="217" w:lineRule="auto"/>
              <w:ind w:left="609"/>
              <w:rPr>
                <w:rFonts w:eastAsia="Times New Roman"/>
                <w:szCs w:val="21"/>
              </w:rPr>
            </w:pPr>
            <w:r>
              <w:rPr>
                <w:spacing w:val="16"/>
                <w:szCs w:val="21"/>
              </w:rPr>
              <w:t>(</w:t>
            </w:r>
            <w:r>
              <w:rPr>
                <w:rFonts w:eastAsia="Times New Roman"/>
                <w:spacing w:val="15"/>
                <w:szCs w:val="21"/>
              </w:rPr>
              <w:t>0-30]</w:t>
            </w:r>
          </w:p>
        </w:tc>
      </w:tr>
    </w:tbl>
    <w:p w14:paraId="3243E910">
      <w:pPr>
        <w:spacing w:line="360" w:lineRule="auto"/>
        <w:ind w:firstLine="456" w:firstLineChars="200"/>
        <w:rPr>
          <w:sz w:val="24"/>
          <w:szCs w:val="24"/>
        </w:rPr>
      </w:pPr>
      <w:r>
        <w:rPr>
          <w:spacing w:val="-6"/>
          <w:sz w:val="24"/>
          <w:szCs w:val="24"/>
        </w:rPr>
        <w:t>通过各准则层的内容通过检查表法，对各准则层打分，各项检查内</w:t>
      </w:r>
      <w:r>
        <w:rPr>
          <w:spacing w:val="-5"/>
          <w:sz w:val="24"/>
          <w:szCs w:val="24"/>
        </w:rPr>
        <w:t>容</w:t>
      </w:r>
      <w:r>
        <w:rPr>
          <w:spacing w:val="22"/>
          <w:sz w:val="24"/>
          <w:szCs w:val="24"/>
        </w:rPr>
        <w:t>的</w:t>
      </w:r>
      <w:r>
        <w:rPr>
          <w:spacing w:val="17"/>
          <w:sz w:val="24"/>
          <w:szCs w:val="24"/>
        </w:rPr>
        <w:t>分</w:t>
      </w:r>
      <w:r>
        <w:rPr>
          <w:spacing w:val="11"/>
          <w:sz w:val="24"/>
          <w:szCs w:val="24"/>
        </w:rPr>
        <w:t>值按照实际情况打分(采用专家打分，取平均值法)，其每层各项分</w:t>
      </w:r>
      <w:r>
        <w:rPr>
          <w:spacing w:val="4"/>
          <w:sz w:val="24"/>
          <w:szCs w:val="24"/>
        </w:rPr>
        <w:t>值进行平均，得出各层的分</w:t>
      </w:r>
      <w:r>
        <w:rPr>
          <w:spacing w:val="3"/>
          <w:sz w:val="24"/>
          <w:szCs w:val="24"/>
        </w:rPr>
        <w:t>值</w:t>
      </w:r>
      <w:r>
        <w:rPr>
          <w:spacing w:val="2"/>
          <w:sz w:val="24"/>
          <w:szCs w:val="24"/>
        </w:rPr>
        <w:t>，各层的分值通过权重得出安全容量影响指</w:t>
      </w:r>
      <w:r>
        <w:rPr>
          <w:spacing w:val="-1"/>
          <w:sz w:val="24"/>
          <w:szCs w:val="24"/>
        </w:rPr>
        <w:t>标。准则层的内容的检查</w:t>
      </w:r>
      <w:r>
        <w:rPr>
          <w:sz w:val="24"/>
          <w:szCs w:val="24"/>
        </w:rPr>
        <w:t>表法见下表。</w:t>
      </w:r>
    </w:p>
    <w:p w14:paraId="2F6A4D6A">
      <w:pPr>
        <w:spacing w:before="1" w:line="213" w:lineRule="auto"/>
        <w:ind w:left="3032"/>
        <w:rPr>
          <w:spacing w:val="-3"/>
          <w:szCs w:val="21"/>
        </w:rPr>
      </w:pPr>
      <w:r>
        <w:rPr>
          <w:spacing w:val="-3"/>
          <w:szCs w:val="21"/>
        </w:rPr>
        <w:t>表9.5-2、化工园区安全状况检查</w:t>
      </w:r>
    </w:p>
    <w:p w14:paraId="24ADDBB4">
      <w:pPr>
        <w:pStyle w:val="12"/>
      </w:pPr>
    </w:p>
    <w:tbl>
      <w:tblPr>
        <w:tblStyle w:val="58"/>
        <w:tblW w:w="940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3404"/>
        <w:gridCol w:w="1840"/>
        <w:gridCol w:w="2843"/>
        <w:gridCol w:w="640"/>
      </w:tblGrid>
      <w:tr w14:paraId="06F49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679" w:type="dxa"/>
          </w:tcPr>
          <w:p w14:paraId="460ED8C0">
            <w:pPr>
              <w:spacing w:before="33" w:line="228" w:lineRule="auto"/>
              <w:ind w:left="132" w:right="126"/>
              <w:rPr>
                <w:szCs w:val="21"/>
              </w:rPr>
            </w:pPr>
            <w:r>
              <w:rPr>
                <w:spacing w:val="-3"/>
                <w:szCs w:val="21"/>
              </w:rPr>
              <w:t>检查类别</w:t>
            </w:r>
          </w:p>
        </w:tc>
        <w:tc>
          <w:tcPr>
            <w:tcW w:w="3404" w:type="dxa"/>
          </w:tcPr>
          <w:p w14:paraId="25CB3A86">
            <w:pPr>
              <w:spacing w:before="170" w:line="221" w:lineRule="auto"/>
              <w:ind w:left="1282"/>
              <w:rPr>
                <w:szCs w:val="21"/>
              </w:rPr>
            </w:pPr>
            <w:r>
              <w:rPr>
                <w:spacing w:val="-1"/>
                <w:szCs w:val="21"/>
              </w:rPr>
              <w:t>检查项</w:t>
            </w:r>
            <w:r>
              <w:rPr>
                <w:szCs w:val="21"/>
              </w:rPr>
              <w:t>目</w:t>
            </w:r>
          </w:p>
        </w:tc>
        <w:tc>
          <w:tcPr>
            <w:tcW w:w="1840" w:type="dxa"/>
          </w:tcPr>
          <w:p w14:paraId="3AFE0D3C">
            <w:pPr>
              <w:spacing w:before="171" w:line="220" w:lineRule="auto"/>
              <w:ind w:left="502"/>
              <w:rPr>
                <w:szCs w:val="21"/>
              </w:rPr>
            </w:pPr>
            <w:r>
              <w:rPr>
                <w:spacing w:val="-1"/>
                <w:szCs w:val="21"/>
              </w:rPr>
              <w:t>检查依</w:t>
            </w:r>
            <w:r>
              <w:rPr>
                <w:szCs w:val="21"/>
              </w:rPr>
              <w:t>据</w:t>
            </w:r>
          </w:p>
        </w:tc>
        <w:tc>
          <w:tcPr>
            <w:tcW w:w="2843" w:type="dxa"/>
          </w:tcPr>
          <w:p w14:paraId="3338F904">
            <w:pPr>
              <w:spacing w:before="171" w:line="217" w:lineRule="auto"/>
              <w:ind w:left="1010"/>
              <w:rPr>
                <w:szCs w:val="21"/>
              </w:rPr>
            </w:pPr>
            <w:r>
              <w:rPr>
                <w:spacing w:val="-2"/>
                <w:szCs w:val="21"/>
              </w:rPr>
              <w:t>实际情</w:t>
            </w:r>
            <w:r>
              <w:rPr>
                <w:spacing w:val="-1"/>
                <w:szCs w:val="21"/>
              </w:rPr>
              <w:t>况</w:t>
            </w:r>
          </w:p>
        </w:tc>
        <w:tc>
          <w:tcPr>
            <w:tcW w:w="640" w:type="dxa"/>
            <w:textDirection w:val="tbRlV"/>
          </w:tcPr>
          <w:p w14:paraId="5411D51E">
            <w:pPr>
              <w:spacing w:before="214" w:line="209" w:lineRule="auto"/>
              <w:ind w:left="34"/>
              <w:rPr>
                <w:szCs w:val="21"/>
              </w:rPr>
            </w:pPr>
            <w:r>
              <w:rPr>
                <w:spacing w:val="-15"/>
                <w:szCs w:val="21"/>
              </w:rPr>
              <w:t>分</w:t>
            </w:r>
            <w:r>
              <w:rPr>
                <w:spacing w:val="-14"/>
                <w:szCs w:val="21"/>
              </w:rPr>
              <w:t xml:space="preserve"> 值</w:t>
            </w:r>
          </w:p>
        </w:tc>
      </w:tr>
      <w:tr w14:paraId="46F63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6" w:hRule="atLeast"/>
        </w:trPr>
        <w:tc>
          <w:tcPr>
            <w:tcW w:w="679" w:type="dxa"/>
            <w:vMerge w:val="restart"/>
          </w:tcPr>
          <w:p w14:paraId="52B0B33F">
            <w:pPr>
              <w:spacing w:before="32" w:line="232" w:lineRule="auto"/>
              <w:ind w:left="136" w:right="124" w:firstLine="14"/>
              <w:rPr>
                <w:szCs w:val="21"/>
              </w:rPr>
            </w:pPr>
            <w:r>
              <w:rPr>
                <w:spacing w:val="-12"/>
                <w:szCs w:val="21"/>
              </w:rPr>
              <w:t>区</w:t>
            </w:r>
            <w:r>
              <w:rPr>
                <w:spacing w:val="-10"/>
                <w:szCs w:val="21"/>
              </w:rPr>
              <w:t>域</w:t>
            </w:r>
            <w:r>
              <w:rPr>
                <w:spacing w:val="-4"/>
                <w:szCs w:val="21"/>
              </w:rPr>
              <w:t>整</w:t>
            </w:r>
            <w:r>
              <w:rPr>
                <w:spacing w:val="-3"/>
                <w:szCs w:val="21"/>
              </w:rPr>
              <w:t>体</w:t>
            </w:r>
            <w:r>
              <w:rPr>
                <w:spacing w:val="-4"/>
                <w:szCs w:val="21"/>
              </w:rPr>
              <w:t>规</w:t>
            </w:r>
            <w:r>
              <w:rPr>
                <w:spacing w:val="-3"/>
                <w:szCs w:val="21"/>
              </w:rPr>
              <w:t>划</w:t>
            </w:r>
          </w:p>
        </w:tc>
        <w:tc>
          <w:tcPr>
            <w:tcW w:w="3404" w:type="dxa"/>
          </w:tcPr>
          <w:p w14:paraId="4846CA5D">
            <w:pPr>
              <w:spacing w:before="32" w:line="232" w:lineRule="auto"/>
              <w:ind w:left="109" w:right="109" w:firstLine="4"/>
              <w:rPr>
                <w:szCs w:val="21"/>
              </w:rPr>
            </w:pPr>
            <w:r>
              <w:rPr>
                <w:spacing w:val="2"/>
                <w:szCs w:val="21"/>
              </w:rPr>
              <w:t>统筹规划。各地区要结</w:t>
            </w:r>
            <w:r>
              <w:rPr>
                <w:spacing w:val="1"/>
                <w:szCs w:val="21"/>
              </w:rPr>
              <w:t>合本地区经</w:t>
            </w:r>
            <w:r>
              <w:rPr>
                <w:spacing w:val="-1"/>
                <w:szCs w:val="21"/>
              </w:rPr>
              <w:t>济社</w:t>
            </w:r>
            <w:r>
              <w:rPr>
                <w:szCs w:val="21"/>
              </w:rPr>
              <w:t>会发展规划、产业结构特点、</w:t>
            </w:r>
            <w:r>
              <w:rPr>
                <w:spacing w:val="2"/>
                <w:szCs w:val="21"/>
              </w:rPr>
              <w:t>化工产业资源、自然环境条件、安</w:t>
            </w:r>
            <w:r>
              <w:rPr>
                <w:spacing w:val="3"/>
                <w:szCs w:val="21"/>
              </w:rPr>
              <w:t>全</w:t>
            </w:r>
            <w:r>
              <w:rPr>
                <w:spacing w:val="2"/>
                <w:szCs w:val="21"/>
              </w:rPr>
              <w:t>生产状况及安全生产规划，制定化工行业发展规划，确定专门区域发展化工产业，并将园区规划纳入</w:t>
            </w:r>
            <w:r>
              <w:rPr>
                <w:spacing w:val="-4"/>
                <w:szCs w:val="21"/>
              </w:rPr>
              <w:t>当</w:t>
            </w:r>
            <w:r>
              <w:rPr>
                <w:spacing w:val="-3"/>
                <w:szCs w:val="21"/>
              </w:rPr>
              <w:t>地</w:t>
            </w:r>
            <w:r>
              <w:rPr>
                <w:spacing w:val="-2"/>
                <w:szCs w:val="21"/>
              </w:rPr>
              <w:t>城乡发展规划。</w:t>
            </w:r>
          </w:p>
        </w:tc>
        <w:tc>
          <w:tcPr>
            <w:tcW w:w="1840" w:type="dxa"/>
          </w:tcPr>
          <w:p w14:paraId="1EFC85CF">
            <w:pPr>
              <w:spacing w:before="32" w:line="232"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27B11238">
            <w:pPr>
              <w:spacing w:before="32" w:line="232" w:lineRule="auto"/>
              <w:ind w:left="112" w:right="103" w:firstLine="23"/>
              <w:rPr>
                <w:szCs w:val="21"/>
              </w:rPr>
            </w:pPr>
            <w:r>
              <w:rPr>
                <w:spacing w:val="-11"/>
                <w:szCs w:val="21"/>
              </w:rPr>
              <w:t>已</w:t>
            </w:r>
            <w:r>
              <w:rPr>
                <w:spacing w:val="-10"/>
                <w:szCs w:val="21"/>
              </w:rPr>
              <w:t>编制《</w:t>
            </w:r>
            <w:r>
              <w:rPr>
                <w:szCs w:val="21"/>
              </w:rPr>
              <w:t>淮南经开化工园区总体发展规划</w:t>
            </w:r>
            <w:r>
              <w:rPr>
                <w:spacing w:val="-8"/>
                <w:szCs w:val="21"/>
              </w:rPr>
              <w:t>》</w:t>
            </w:r>
            <w:r>
              <w:rPr>
                <w:spacing w:val="-2"/>
                <w:szCs w:val="21"/>
              </w:rPr>
              <w:t>化工园区</w:t>
            </w:r>
            <w:r>
              <w:rPr>
                <w:spacing w:val="-1"/>
                <w:szCs w:val="21"/>
              </w:rPr>
              <w:t>(西区)总体规</w:t>
            </w:r>
            <w:r>
              <w:rPr>
                <w:spacing w:val="-11"/>
                <w:szCs w:val="21"/>
              </w:rPr>
              <w:t>划</w:t>
            </w:r>
            <w:r>
              <w:rPr>
                <w:spacing w:val="-8"/>
                <w:szCs w:val="21"/>
              </w:rPr>
              <w:t>》和《淮南经济技术开发区</w:t>
            </w:r>
            <w:r>
              <w:rPr>
                <w:spacing w:val="-13"/>
                <w:szCs w:val="21"/>
              </w:rPr>
              <w:t>化工园区</w:t>
            </w:r>
            <w:r>
              <w:rPr>
                <w:spacing w:val="-8"/>
                <w:szCs w:val="21"/>
              </w:rPr>
              <w:t>产业规划》</w:t>
            </w:r>
          </w:p>
        </w:tc>
        <w:tc>
          <w:tcPr>
            <w:tcW w:w="640" w:type="dxa"/>
          </w:tcPr>
          <w:p w14:paraId="5822B151">
            <w:pPr>
              <w:spacing w:line="274" w:lineRule="auto"/>
            </w:pPr>
          </w:p>
          <w:p w14:paraId="4035D0B8">
            <w:pPr>
              <w:spacing w:before="60" w:line="187" w:lineRule="auto"/>
              <w:ind w:left="216"/>
              <w:rPr>
                <w:rFonts w:eastAsia="Times New Roman"/>
                <w:szCs w:val="21"/>
              </w:rPr>
            </w:pPr>
            <w:r>
              <w:rPr>
                <w:rFonts w:eastAsia="Times New Roman"/>
                <w:spacing w:val="-4"/>
                <w:szCs w:val="21"/>
              </w:rPr>
              <w:t>7</w:t>
            </w:r>
            <w:r>
              <w:rPr>
                <w:rFonts w:eastAsia="Times New Roman"/>
                <w:spacing w:val="-3"/>
                <w:szCs w:val="21"/>
              </w:rPr>
              <w:t>0</w:t>
            </w:r>
          </w:p>
        </w:tc>
      </w:tr>
      <w:tr w14:paraId="31A71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679" w:type="dxa"/>
            <w:vMerge w:val="continue"/>
          </w:tcPr>
          <w:p w14:paraId="05F05E14"/>
        </w:tc>
        <w:tc>
          <w:tcPr>
            <w:tcW w:w="3404" w:type="dxa"/>
          </w:tcPr>
          <w:p w14:paraId="5ABF402C">
            <w:pPr>
              <w:spacing w:before="302" w:line="243" w:lineRule="auto"/>
              <w:ind w:left="108" w:right="31" w:firstLine="18"/>
              <w:rPr>
                <w:szCs w:val="21"/>
              </w:rPr>
            </w:pPr>
            <w:r>
              <w:rPr>
                <w:spacing w:val="1"/>
                <w:szCs w:val="21"/>
              </w:rPr>
              <w:t>园区选址应把安全放在首位，</w:t>
            </w:r>
            <w:r>
              <w:rPr>
                <w:szCs w:val="21"/>
              </w:rPr>
              <w:t xml:space="preserve">使园 </w:t>
            </w:r>
            <w:r>
              <w:rPr>
                <w:spacing w:val="3"/>
                <w:szCs w:val="21"/>
              </w:rPr>
              <w:t>区</w:t>
            </w:r>
            <w:r>
              <w:rPr>
                <w:spacing w:val="2"/>
                <w:szCs w:val="21"/>
              </w:rPr>
              <w:t>规划与城市发展规划相协调、园区功能与其他主体功能区相协调</w:t>
            </w:r>
            <w:r>
              <w:rPr>
                <w:szCs w:val="21"/>
              </w:rPr>
              <w:t xml:space="preserve">， </w:t>
            </w:r>
            <w:r>
              <w:rPr>
                <w:spacing w:val="-11"/>
                <w:szCs w:val="21"/>
              </w:rPr>
              <w:t>使</w:t>
            </w:r>
            <w:r>
              <w:rPr>
                <w:spacing w:val="-6"/>
                <w:szCs w:val="21"/>
              </w:rPr>
              <w:t>园区与城市建成区、人口密集区、</w:t>
            </w:r>
            <w:r>
              <w:rPr>
                <w:spacing w:val="3"/>
                <w:szCs w:val="21"/>
              </w:rPr>
              <w:t>重</w:t>
            </w:r>
            <w:r>
              <w:rPr>
                <w:spacing w:val="2"/>
                <w:szCs w:val="21"/>
              </w:rPr>
              <w:t>要设施、敏感目标之间保持足够</w:t>
            </w:r>
            <w:r>
              <w:rPr>
                <w:spacing w:val="4"/>
                <w:szCs w:val="21"/>
              </w:rPr>
              <w:t>的</w:t>
            </w:r>
            <w:r>
              <w:rPr>
                <w:spacing w:val="2"/>
                <w:szCs w:val="21"/>
              </w:rPr>
              <w:t>安全及卫生防护距离、留有适当</w:t>
            </w:r>
            <w:r>
              <w:rPr>
                <w:spacing w:val="3"/>
                <w:szCs w:val="21"/>
              </w:rPr>
              <w:t>的</w:t>
            </w:r>
            <w:r>
              <w:rPr>
                <w:spacing w:val="2"/>
                <w:szCs w:val="21"/>
              </w:rPr>
              <w:t>发展空间，将园区安全与周边公</w:t>
            </w:r>
            <w:r>
              <w:rPr>
                <w:spacing w:val="-2"/>
                <w:szCs w:val="21"/>
              </w:rPr>
              <w:t>共安全的相互</w:t>
            </w:r>
            <w:r>
              <w:rPr>
                <w:spacing w:val="-1"/>
                <w:szCs w:val="21"/>
              </w:rPr>
              <w:t>影响降到最小。</w:t>
            </w:r>
          </w:p>
        </w:tc>
        <w:tc>
          <w:tcPr>
            <w:tcW w:w="1840" w:type="dxa"/>
          </w:tcPr>
          <w:p w14:paraId="4B36B6C1">
            <w:pPr>
              <w:spacing w:line="303" w:lineRule="auto"/>
            </w:pPr>
          </w:p>
          <w:p w14:paraId="5191FD18">
            <w:pPr>
              <w:spacing w:line="303" w:lineRule="auto"/>
            </w:pPr>
          </w:p>
          <w:p w14:paraId="5A10DF95">
            <w:pPr>
              <w:spacing w:line="304" w:lineRule="auto"/>
            </w:pPr>
          </w:p>
          <w:p w14:paraId="6FDAEBD8">
            <w:pPr>
              <w:spacing w:before="69"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77B47CFB">
            <w:pPr>
              <w:tabs>
                <w:tab w:val="left" w:pos="222"/>
              </w:tabs>
              <w:spacing w:before="30" w:line="237" w:lineRule="auto"/>
              <w:ind w:left="110" w:right="31" w:firstLine="2"/>
              <w:rPr>
                <w:szCs w:val="21"/>
              </w:rPr>
            </w:pPr>
            <w:r>
              <w:rPr>
                <w:spacing w:val="5"/>
                <w:szCs w:val="21"/>
              </w:rPr>
              <w:t>区块一和区块二</w:t>
            </w:r>
            <w:r>
              <w:rPr>
                <w:spacing w:val="-4"/>
                <w:szCs w:val="21"/>
              </w:rPr>
              <w:t>与城市建</w:t>
            </w:r>
            <w:r>
              <w:rPr>
                <w:spacing w:val="-2"/>
                <w:szCs w:val="21"/>
              </w:rPr>
              <w:t>成区、人口密集区、</w:t>
            </w:r>
            <w:r>
              <w:rPr>
                <w:spacing w:val="-10"/>
                <w:szCs w:val="21"/>
              </w:rPr>
              <w:t>重</w:t>
            </w:r>
            <w:r>
              <w:rPr>
                <w:spacing w:val="-8"/>
                <w:szCs w:val="21"/>
              </w:rPr>
              <w:t>要设施、敏感目标之间保持</w:t>
            </w:r>
            <w:r>
              <w:rPr>
                <w:spacing w:val="-6"/>
                <w:szCs w:val="21"/>
              </w:rPr>
              <w:t>足够的</w:t>
            </w:r>
            <w:r>
              <w:rPr>
                <w:spacing w:val="-4"/>
                <w:szCs w:val="21"/>
              </w:rPr>
              <w:t>安</w:t>
            </w:r>
            <w:r>
              <w:rPr>
                <w:spacing w:val="-3"/>
                <w:szCs w:val="21"/>
              </w:rPr>
              <w:t>全及卫生防护距离，</w:t>
            </w:r>
            <w:r>
              <w:rPr>
                <w:spacing w:val="-1"/>
                <w:szCs w:val="21"/>
              </w:rPr>
              <w:t>但</w:t>
            </w:r>
            <w:r>
              <w:rPr>
                <w:szCs w:val="21"/>
              </w:rPr>
              <w:t>区块一内部涉</w:t>
            </w:r>
            <w:r>
              <w:rPr>
                <w:spacing w:val="-10"/>
                <w:szCs w:val="21"/>
              </w:rPr>
              <w:t>及</w:t>
            </w:r>
            <w:r>
              <w:rPr>
                <w:spacing w:val="-8"/>
                <w:szCs w:val="21"/>
              </w:rPr>
              <w:t>零散居民居住，</w:t>
            </w:r>
            <w:r>
              <w:rPr>
                <w:spacing w:val="5"/>
                <w:szCs w:val="21"/>
              </w:rPr>
              <w:t>区块一和区块二</w:t>
            </w:r>
            <w:r>
              <w:rPr>
                <w:spacing w:val="10"/>
                <w:szCs w:val="21"/>
              </w:rPr>
              <w:t>内涉及非化</w:t>
            </w:r>
            <w:r>
              <w:rPr>
                <w:spacing w:val="12"/>
                <w:szCs w:val="21"/>
              </w:rPr>
              <w:t>工</w:t>
            </w:r>
            <w:r>
              <w:rPr>
                <w:spacing w:val="8"/>
                <w:szCs w:val="21"/>
              </w:rPr>
              <w:t>企业(三类防护目标)</w:t>
            </w:r>
          </w:p>
        </w:tc>
        <w:tc>
          <w:tcPr>
            <w:tcW w:w="640" w:type="dxa"/>
          </w:tcPr>
          <w:p w14:paraId="58C258ED">
            <w:pPr>
              <w:spacing w:line="244" w:lineRule="auto"/>
            </w:pPr>
          </w:p>
          <w:p w14:paraId="58138C6C">
            <w:pPr>
              <w:spacing w:line="244" w:lineRule="auto"/>
            </w:pPr>
          </w:p>
          <w:p w14:paraId="45C70721">
            <w:pPr>
              <w:spacing w:line="244" w:lineRule="auto"/>
            </w:pPr>
          </w:p>
          <w:p w14:paraId="5C9C2762">
            <w:pPr>
              <w:spacing w:line="244" w:lineRule="auto"/>
            </w:pPr>
          </w:p>
          <w:p w14:paraId="2C5DD46F">
            <w:pPr>
              <w:spacing w:line="244" w:lineRule="auto"/>
            </w:pPr>
          </w:p>
          <w:p w14:paraId="10E76FDD">
            <w:pPr>
              <w:spacing w:before="61" w:line="187" w:lineRule="auto"/>
              <w:ind w:left="217"/>
              <w:rPr>
                <w:rFonts w:eastAsia="Times New Roman"/>
                <w:szCs w:val="21"/>
              </w:rPr>
            </w:pPr>
            <w:r>
              <w:rPr>
                <w:rFonts w:eastAsia="Times New Roman"/>
                <w:spacing w:val="-2"/>
                <w:szCs w:val="21"/>
              </w:rPr>
              <w:t>30</w:t>
            </w:r>
          </w:p>
        </w:tc>
      </w:tr>
      <w:tr w14:paraId="019E8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1" w:hRule="atLeast"/>
        </w:trPr>
        <w:tc>
          <w:tcPr>
            <w:tcW w:w="679" w:type="dxa"/>
            <w:vMerge w:val="continue"/>
          </w:tcPr>
          <w:p w14:paraId="02A406F4"/>
        </w:tc>
        <w:tc>
          <w:tcPr>
            <w:tcW w:w="3404" w:type="dxa"/>
          </w:tcPr>
          <w:p w14:paraId="31D49688">
            <w:pPr>
              <w:spacing w:line="263" w:lineRule="auto"/>
            </w:pPr>
          </w:p>
          <w:p w14:paraId="24AFAC11">
            <w:pPr>
              <w:spacing w:line="263" w:lineRule="auto"/>
            </w:pPr>
          </w:p>
          <w:p w14:paraId="404725FB">
            <w:pPr>
              <w:spacing w:line="263" w:lineRule="auto"/>
            </w:pPr>
          </w:p>
          <w:p w14:paraId="7AAE062D">
            <w:pPr>
              <w:spacing w:line="263" w:lineRule="auto"/>
            </w:pPr>
          </w:p>
          <w:p w14:paraId="3ADF0F57">
            <w:pPr>
              <w:spacing w:before="68" w:line="243" w:lineRule="auto"/>
              <w:ind w:left="108" w:right="31" w:firstLine="1"/>
              <w:rPr>
                <w:szCs w:val="21"/>
              </w:rPr>
            </w:pPr>
            <w:r>
              <w:rPr>
                <w:spacing w:val="2"/>
                <w:szCs w:val="21"/>
              </w:rPr>
              <w:t>合理布局。园区内各企业的布局应</w:t>
            </w:r>
            <w:r>
              <w:rPr>
                <w:spacing w:val="-8"/>
                <w:szCs w:val="21"/>
              </w:rPr>
              <w:t>满足</w:t>
            </w:r>
            <w:r>
              <w:rPr>
                <w:spacing w:val="-6"/>
                <w:szCs w:val="21"/>
              </w:rPr>
              <w:t>安</w:t>
            </w:r>
            <w:r>
              <w:rPr>
                <w:spacing w:val="-4"/>
                <w:szCs w:val="21"/>
              </w:rPr>
              <w:t>全防护距离的要求， 并综合</w:t>
            </w:r>
            <w:r>
              <w:rPr>
                <w:spacing w:val="3"/>
                <w:szCs w:val="21"/>
              </w:rPr>
              <w:t>考</w:t>
            </w:r>
            <w:r>
              <w:rPr>
                <w:spacing w:val="2"/>
                <w:szCs w:val="21"/>
              </w:rPr>
              <w:t>虑主导风向、地势高低落差、企</w:t>
            </w:r>
            <w:r>
              <w:rPr>
                <w:spacing w:val="-11"/>
                <w:szCs w:val="21"/>
              </w:rPr>
              <w:t>业</w:t>
            </w:r>
            <w:r>
              <w:rPr>
                <w:spacing w:val="-6"/>
                <w:szCs w:val="21"/>
              </w:rPr>
              <w:t>装置之间的相互影响、产品类别、</w:t>
            </w:r>
            <w:r>
              <w:rPr>
                <w:spacing w:val="3"/>
                <w:szCs w:val="21"/>
              </w:rPr>
              <w:t>生</w:t>
            </w:r>
            <w:r>
              <w:rPr>
                <w:spacing w:val="2"/>
                <w:szCs w:val="21"/>
              </w:rPr>
              <w:t>产工艺、物料互供、公用设施保</w:t>
            </w:r>
            <w:r>
              <w:rPr>
                <w:spacing w:val="3"/>
                <w:szCs w:val="21"/>
              </w:rPr>
              <w:t>障</w:t>
            </w:r>
            <w:r>
              <w:rPr>
                <w:spacing w:val="2"/>
                <w:szCs w:val="21"/>
              </w:rPr>
              <w:t>、应急救援等因素，合理布置功</w:t>
            </w:r>
            <w:r>
              <w:rPr>
                <w:spacing w:val="-1"/>
                <w:szCs w:val="21"/>
              </w:rPr>
              <w:t>能分区。</w:t>
            </w:r>
          </w:p>
        </w:tc>
        <w:tc>
          <w:tcPr>
            <w:tcW w:w="1840" w:type="dxa"/>
          </w:tcPr>
          <w:p w14:paraId="3E0239E5">
            <w:pPr>
              <w:spacing w:line="264" w:lineRule="auto"/>
            </w:pPr>
          </w:p>
          <w:p w14:paraId="7A39BCF7">
            <w:pPr>
              <w:spacing w:line="265" w:lineRule="auto"/>
            </w:pPr>
          </w:p>
          <w:p w14:paraId="6C679E19">
            <w:pPr>
              <w:spacing w:line="265" w:lineRule="auto"/>
            </w:pPr>
          </w:p>
          <w:p w14:paraId="0D33AB36">
            <w:pPr>
              <w:spacing w:line="265" w:lineRule="auto"/>
            </w:pPr>
          </w:p>
          <w:p w14:paraId="409574E2">
            <w:pPr>
              <w:spacing w:line="265" w:lineRule="auto"/>
            </w:pPr>
          </w:p>
          <w:p w14:paraId="1ED05714">
            <w:pPr>
              <w:spacing w:line="265" w:lineRule="auto"/>
            </w:pPr>
          </w:p>
          <w:p w14:paraId="7C3E90FB">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33F106D2">
            <w:pPr>
              <w:spacing w:before="30" w:line="238" w:lineRule="auto"/>
              <w:ind w:left="111" w:right="103" w:firstLine="1"/>
              <w:rPr>
                <w:szCs w:val="21"/>
              </w:rPr>
            </w:pPr>
            <w:r>
              <w:rPr>
                <w:spacing w:val="-13"/>
                <w:szCs w:val="21"/>
              </w:rPr>
              <w:t>德</w:t>
            </w:r>
            <w:r>
              <w:rPr>
                <w:spacing w:val="-8"/>
                <w:szCs w:val="21"/>
              </w:rPr>
              <w:t>邦化工、恒诚制药、国瑞药</w:t>
            </w:r>
            <w:r>
              <w:rPr>
                <w:spacing w:val="-11"/>
                <w:szCs w:val="21"/>
              </w:rPr>
              <w:t>业</w:t>
            </w:r>
            <w:r>
              <w:rPr>
                <w:spacing w:val="-8"/>
                <w:szCs w:val="21"/>
              </w:rPr>
              <w:t>、水卫士环保科技内外安全</w:t>
            </w:r>
            <w:r>
              <w:rPr>
                <w:spacing w:val="-11"/>
                <w:szCs w:val="21"/>
              </w:rPr>
              <w:t>防</w:t>
            </w:r>
            <w:r>
              <w:rPr>
                <w:spacing w:val="-8"/>
                <w:szCs w:val="21"/>
              </w:rPr>
              <w:t>火间距符合要求，布局基本</w:t>
            </w:r>
            <w:r>
              <w:rPr>
                <w:spacing w:val="-11"/>
                <w:szCs w:val="21"/>
              </w:rPr>
              <w:t>合</w:t>
            </w:r>
            <w:r>
              <w:rPr>
                <w:spacing w:val="-8"/>
                <w:szCs w:val="21"/>
              </w:rPr>
              <w:t>理，恒诚制药涉及的重点监</w:t>
            </w:r>
            <w:r>
              <w:rPr>
                <w:spacing w:val="11"/>
                <w:szCs w:val="21"/>
              </w:rPr>
              <w:t>管</w:t>
            </w:r>
            <w:r>
              <w:rPr>
                <w:spacing w:val="8"/>
                <w:szCs w:val="21"/>
              </w:rPr>
              <w:t>危险化学品储存装置已清</w:t>
            </w:r>
            <w:r>
              <w:rPr>
                <w:spacing w:val="-11"/>
                <w:szCs w:val="21"/>
              </w:rPr>
              <w:t>料</w:t>
            </w:r>
            <w:r>
              <w:rPr>
                <w:spacing w:val="-8"/>
                <w:szCs w:val="21"/>
              </w:rPr>
              <w:t>，停用，涉及的重点监管危</w:t>
            </w:r>
            <w:r>
              <w:rPr>
                <w:spacing w:val="-11"/>
                <w:szCs w:val="21"/>
              </w:rPr>
              <w:t>险</w:t>
            </w:r>
            <w:r>
              <w:rPr>
                <w:spacing w:val="-8"/>
                <w:szCs w:val="21"/>
              </w:rPr>
              <w:t>工艺氯化工艺已停产，水卫</w:t>
            </w:r>
            <w:r>
              <w:rPr>
                <w:spacing w:val="11"/>
                <w:szCs w:val="21"/>
              </w:rPr>
              <w:t>士</w:t>
            </w:r>
            <w:r>
              <w:rPr>
                <w:spacing w:val="8"/>
                <w:szCs w:val="21"/>
              </w:rPr>
              <w:t>环保科技不涉及易燃易爆</w:t>
            </w:r>
            <w:r>
              <w:rPr>
                <w:spacing w:val="-11"/>
                <w:szCs w:val="21"/>
              </w:rPr>
              <w:t>危</w:t>
            </w:r>
            <w:r>
              <w:rPr>
                <w:spacing w:val="-8"/>
                <w:szCs w:val="21"/>
              </w:rPr>
              <w:t>险化学品，根据《淮南经开</w:t>
            </w:r>
            <w:r>
              <w:rPr>
                <w:spacing w:val="11"/>
                <w:szCs w:val="21"/>
              </w:rPr>
              <w:t>区</w:t>
            </w:r>
            <w:r>
              <w:rPr>
                <w:spacing w:val="8"/>
                <w:szCs w:val="21"/>
              </w:rPr>
              <w:t>化工园区安全风险评估模</w:t>
            </w:r>
            <w:r>
              <w:rPr>
                <w:spacing w:val="-1"/>
                <w:szCs w:val="21"/>
              </w:rPr>
              <w:t>拟计</w:t>
            </w:r>
            <w:r>
              <w:rPr>
                <w:szCs w:val="21"/>
              </w:rPr>
              <w:t>算》(北京中矿基业安全</w:t>
            </w:r>
            <w:r>
              <w:rPr>
                <w:spacing w:val="14"/>
                <w:szCs w:val="21"/>
              </w:rPr>
              <w:t>防</w:t>
            </w:r>
            <w:r>
              <w:rPr>
                <w:spacing w:val="8"/>
                <w:szCs w:val="21"/>
              </w:rPr>
              <w:t>范</w:t>
            </w:r>
            <w:r>
              <w:rPr>
                <w:spacing w:val="7"/>
                <w:szCs w:val="21"/>
              </w:rPr>
              <w:t>技术有限公司)德邦化</w:t>
            </w:r>
            <w:r>
              <w:rPr>
                <w:spacing w:val="-11"/>
                <w:szCs w:val="21"/>
              </w:rPr>
              <w:t>工</w:t>
            </w:r>
            <w:r>
              <w:rPr>
                <w:spacing w:val="-8"/>
                <w:szCs w:val="21"/>
              </w:rPr>
              <w:t>、国瑞药业涉及“两重点一</w:t>
            </w:r>
            <w:r>
              <w:rPr>
                <w:spacing w:val="-11"/>
                <w:szCs w:val="21"/>
              </w:rPr>
              <w:t>重</w:t>
            </w:r>
            <w:r>
              <w:rPr>
                <w:spacing w:val="-8"/>
                <w:szCs w:val="21"/>
              </w:rPr>
              <w:t>大”的生产装置、储存设施</w:t>
            </w:r>
            <w:r>
              <w:rPr>
                <w:spacing w:val="-1"/>
                <w:szCs w:val="21"/>
              </w:rPr>
              <w:t>外部防护</w:t>
            </w:r>
            <w:r>
              <w:rPr>
                <w:szCs w:val="21"/>
              </w:rPr>
              <w:t>距离符合要求</w:t>
            </w:r>
          </w:p>
        </w:tc>
        <w:tc>
          <w:tcPr>
            <w:tcW w:w="640" w:type="dxa"/>
          </w:tcPr>
          <w:p w14:paraId="5ABDD189">
            <w:pPr>
              <w:spacing w:line="271" w:lineRule="auto"/>
            </w:pPr>
          </w:p>
          <w:p w14:paraId="1CD74D40">
            <w:pPr>
              <w:spacing w:line="271" w:lineRule="auto"/>
            </w:pPr>
          </w:p>
          <w:p w14:paraId="1C9D980A">
            <w:pPr>
              <w:spacing w:line="271" w:lineRule="auto"/>
            </w:pPr>
          </w:p>
          <w:p w14:paraId="45D5D13C">
            <w:pPr>
              <w:spacing w:line="271" w:lineRule="auto"/>
            </w:pPr>
          </w:p>
          <w:p w14:paraId="404693CB">
            <w:pPr>
              <w:spacing w:line="271" w:lineRule="auto"/>
            </w:pPr>
          </w:p>
          <w:p w14:paraId="0AC03101">
            <w:pPr>
              <w:spacing w:line="272" w:lineRule="auto"/>
            </w:pPr>
          </w:p>
          <w:p w14:paraId="6DCE20D7">
            <w:pPr>
              <w:spacing w:line="272" w:lineRule="auto"/>
            </w:pPr>
          </w:p>
          <w:p w14:paraId="73468BE4">
            <w:pPr>
              <w:spacing w:before="60" w:line="187" w:lineRule="auto"/>
              <w:ind w:left="217"/>
              <w:rPr>
                <w:rFonts w:eastAsia="Times New Roman"/>
                <w:szCs w:val="21"/>
              </w:rPr>
            </w:pPr>
            <w:r>
              <w:rPr>
                <w:rFonts w:eastAsia="Times New Roman"/>
                <w:spacing w:val="-2"/>
                <w:szCs w:val="21"/>
              </w:rPr>
              <w:t>90</w:t>
            </w:r>
          </w:p>
        </w:tc>
      </w:tr>
      <w:tr w14:paraId="0176F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9" w:hRule="atLeast"/>
        </w:trPr>
        <w:tc>
          <w:tcPr>
            <w:tcW w:w="679" w:type="dxa"/>
            <w:vMerge w:val="continue"/>
          </w:tcPr>
          <w:p w14:paraId="082C23CC"/>
        </w:tc>
        <w:tc>
          <w:tcPr>
            <w:tcW w:w="3404" w:type="dxa"/>
          </w:tcPr>
          <w:p w14:paraId="120FC266">
            <w:pPr>
              <w:spacing w:before="33" w:line="237" w:lineRule="auto"/>
              <w:ind w:left="108" w:right="31" w:firstLine="9"/>
              <w:rPr>
                <w:szCs w:val="21"/>
              </w:rPr>
            </w:pPr>
            <w:r>
              <w:rPr>
                <w:spacing w:val="2"/>
                <w:szCs w:val="21"/>
              </w:rPr>
              <w:t>负责园区管理的</w:t>
            </w:r>
            <w:r>
              <w:rPr>
                <w:spacing w:val="1"/>
                <w:szCs w:val="21"/>
              </w:rPr>
              <w:t>当地人民政府要结</w:t>
            </w:r>
            <w:r>
              <w:rPr>
                <w:spacing w:val="3"/>
                <w:szCs w:val="21"/>
              </w:rPr>
              <w:t>合</w:t>
            </w:r>
            <w:r>
              <w:rPr>
                <w:spacing w:val="2"/>
                <w:szCs w:val="21"/>
              </w:rPr>
              <w:t>本地区化工行业发展特点，统筹</w:t>
            </w:r>
            <w:r>
              <w:rPr>
                <w:spacing w:val="3"/>
                <w:szCs w:val="21"/>
              </w:rPr>
              <w:t>考</w:t>
            </w:r>
            <w:r>
              <w:rPr>
                <w:spacing w:val="2"/>
                <w:szCs w:val="21"/>
              </w:rPr>
              <w:t>虑产业发展、安全环保、公用设</w:t>
            </w:r>
            <w:r>
              <w:rPr>
                <w:spacing w:val="3"/>
                <w:szCs w:val="21"/>
              </w:rPr>
              <w:t>施</w:t>
            </w:r>
            <w:r>
              <w:rPr>
                <w:spacing w:val="2"/>
                <w:szCs w:val="21"/>
              </w:rPr>
              <w:t>、物流输送、维修服务、应急管</w:t>
            </w:r>
            <w:r>
              <w:rPr>
                <w:spacing w:val="3"/>
                <w:szCs w:val="21"/>
              </w:rPr>
              <w:t>理</w:t>
            </w:r>
            <w:r>
              <w:rPr>
                <w:spacing w:val="2"/>
                <w:szCs w:val="21"/>
              </w:rPr>
              <w:t>等各方面的需求。园区的建设以</w:t>
            </w:r>
            <w:r>
              <w:rPr>
                <w:szCs w:val="21"/>
              </w:rPr>
              <w:t xml:space="preserve"> 有利于生产安全为原则，完善水、 </w:t>
            </w:r>
            <w:r>
              <w:rPr>
                <w:spacing w:val="-11"/>
                <w:szCs w:val="21"/>
              </w:rPr>
              <w:t>电</w:t>
            </w:r>
            <w:r>
              <w:rPr>
                <w:spacing w:val="-6"/>
                <w:szCs w:val="21"/>
              </w:rPr>
              <w:t>、汽、风、污水处理、公用管廊、</w:t>
            </w:r>
            <w:r>
              <w:rPr>
                <w:spacing w:val="3"/>
                <w:szCs w:val="21"/>
              </w:rPr>
              <w:t>道</w:t>
            </w:r>
            <w:r>
              <w:rPr>
                <w:spacing w:val="2"/>
                <w:szCs w:val="21"/>
              </w:rPr>
              <w:t>路交通、应急救援设施等公用工</w:t>
            </w:r>
            <w:r>
              <w:rPr>
                <w:spacing w:val="3"/>
                <w:szCs w:val="21"/>
              </w:rPr>
              <w:t>程</w:t>
            </w:r>
            <w:r>
              <w:rPr>
                <w:spacing w:val="2"/>
                <w:szCs w:val="21"/>
              </w:rPr>
              <w:t>配套和安全保障设施，实现基础</w:t>
            </w:r>
            <w:r>
              <w:rPr>
                <w:spacing w:val="3"/>
                <w:szCs w:val="21"/>
              </w:rPr>
              <w:t>设</w:t>
            </w:r>
            <w:r>
              <w:rPr>
                <w:spacing w:val="2"/>
                <w:szCs w:val="21"/>
              </w:rPr>
              <w:t>施、公共配套设施和安全保障设</w:t>
            </w:r>
            <w:r>
              <w:rPr>
                <w:spacing w:val="-1"/>
                <w:szCs w:val="21"/>
              </w:rPr>
              <w:t>施的专业</w:t>
            </w:r>
            <w:r>
              <w:rPr>
                <w:szCs w:val="21"/>
              </w:rPr>
              <w:t>化共建共享。</w:t>
            </w:r>
          </w:p>
        </w:tc>
        <w:tc>
          <w:tcPr>
            <w:tcW w:w="1840" w:type="dxa"/>
          </w:tcPr>
          <w:p w14:paraId="42F080FC">
            <w:pPr>
              <w:spacing w:line="262" w:lineRule="auto"/>
            </w:pPr>
          </w:p>
          <w:p w14:paraId="5E925C7B">
            <w:pPr>
              <w:spacing w:line="262" w:lineRule="auto"/>
            </w:pPr>
          </w:p>
          <w:p w14:paraId="4618D107">
            <w:pPr>
              <w:spacing w:line="262" w:lineRule="auto"/>
            </w:pPr>
          </w:p>
          <w:p w14:paraId="2A1F63C3">
            <w:pPr>
              <w:spacing w:line="262" w:lineRule="auto"/>
            </w:pPr>
          </w:p>
          <w:p w14:paraId="23C75FF5">
            <w:pPr>
              <w:spacing w:before="69"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6B2C39CF">
            <w:pPr>
              <w:spacing w:line="259" w:lineRule="auto"/>
            </w:pPr>
          </w:p>
          <w:p w14:paraId="6DA75372">
            <w:pPr>
              <w:spacing w:line="259" w:lineRule="auto"/>
            </w:pPr>
          </w:p>
          <w:p w14:paraId="28C890CB">
            <w:pPr>
              <w:spacing w:line="260" w:lineRule="auto"/>
            </w:pPr>
          </w:p>
          <w:p w14:paraId="009E4EB2">
            <w:pPr>
              <w:spacing w:before="68" w:line="245" w:lineRule="auto"/>
              <w:ind w:left="111" w:right="28" w:firstLine="1"/>
              <w:rPr>
                <w:szCs w:val="21"/>
              </w:rPr>
            </w:pPr>
            <w:r>
              <w:rPr>
                <w:szCs w:val="21"/>
              </w:rPr>
              <w:t>化工园区近期和园区规划 的水、电、气、热、污水处理、 道路交通、应急救援设施等公 用工程配套和安全保障设施 满足企业需求</w:t>
            </w:r>
          </w:p>
        </w:tc>
        <w:tc>
          <w:tcPr>
            <w:tcW w:w="640" w:type="dxa"/>
          </w:tcPr>
          <w:p w14:paraId="165F0646">
            <w:pPr>
              <w:spacing w:line="271" w:lineRule="auto"/>
            </w:pPr>
          </w:p>
          <w:p w14:paraId="00AF740F">
            <w:pPr>
              <w:spacing w:line="271" w:lineRule="auto"/>
            </w:pPr>
          </w:p>
          <w:p w14:paraId="28C9A5EF">
            <w:pPr>
              <w:spacing w:line="272" w:lineRule="auto"/>
            </w:pPr>
          </w:p>
          <w:p w14:paraId="18E99E94">
            <w:pPr>
              <w:spacing w:line="272" w:lineRule="auto"/>
            </w:pPr>
          </w:p>
          <w:p w14:paraId="579FFF1C">
            <w:pPr>
              <w:spacing w:line="272" w:lineRule="auto"/>
            </w:pPr>
          </w:p>
          <w:p w14:paraId="6747916D">
            <w:pPr>
              <w:spacing w:before="61" w:line="187" w:lineRule="auto"/>
              <w:ind w:left="217"/>
              <w:rPr>
                <w:rFonts w:eastAsia="Times New Roman"/>
                <w:szCs w:val="21"/>
              </w:rPr>
            </w:pPr>
            <w:r>
              <w:rPr>
                <w:rFonts w:eastAsia="Times New Roman"/>
                <w:spacing w:val="-2"/>
                <w:szCs w:val="21"/>
              </w:rPr>
              <w:t>90</w:t>
            </w:r>
          </w:p>
        </w:tc>
      </w:tr>
      <w:tr w14:paraId="51895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9" w:type="dxa"/>
            <w:vMerge w:val="continue"/>
          </w:tcPr>
          <w:p w14:paraId="7BA55744"/>
        </w:tc>
        <w:tc>
          <w:tcPr>
            <w:tcW w:w="3404" w:type="dxa"/>
          </w:tcPr>
          <w:p w14:paraId="521A79B0">
            <w:pPr>
              <w:spacing w:before="31" w:line="237" w:lineRule="auto"/>
              <w:ind w:left="107" w:right="108" w:firstLine="2"/>
              <w:rPr>
                <w:szCs w:val="21"/>
              </w:rPr>
            </w:pPr>
            <w:r>
              <w:rPr>
                <w:spacing w:val="3"/>
                <w:szCs w:val="21"/>
              </w:rPr>
              <w:t>规</w:t>
            </w:r>
            <w:r>
              <w:rPr>
                <w:spacing w:val="2"/>
                <w:szCs w:val="21"/>
              </w:rPr>
              <w:t>划设立园区的当地人民政府要建</w:t>
            </w:r>
            <w:r>
              <w:rPr>
                <w:spacing w:val="1"/>
                <w:szCs w:val="21"/>
              </w:rPr>
              <w:t>立园</w:t>
            </w:r>
            <w:r>
              <w:rPr>
                <w:szCs w:val="21"/>
              </w:rPr>
              <w:t>区内的企业准入和退出机制。</w:t>
            </w:r>
            <w:r>
              <w:rPr>
                <w:spacing w:val="4"/>
                <w:szCs w:val="21"/>
              </w:rPr>
              <w:t>要</w:t>
            </w:r>
            <w:r>
              <w:rPr>
                <w:spacing w:val="2"/>
                <w:szCs w:val="21"/>
              </w:rPr>
              <w:t>充分考虑园区产业链的安全性和</w:t>
            </w:r>
            <w:r>
              <w:rPr>
                <w:spacing w:val="4"/>
                <w:szCs w:val="21"/>
              </w:rPr>
              <w:t>科</w:t>
            </w:r>
            <w:r>
              <w:rPr>
                <w:spacing w:val="2"/>
                <w:szCs w:val="21"/>
              </w:rPr>
              <w:t>学性，有选择地接纳危险化学品</w:t>
            </w:r>
            <w:r>
              <w:rPr>
                <w:spacing w:val="1"/>
                <w:szCs w:val="21"/>
              </w:rPr>
              <w:t>企</w:t>
            </w:r>
            <w:r>
              <w:rPr>
                <w:szCs w:val="21"/>
              </w:rPr>
              <w:t>业入园。把符合安全生产标准、</w:t>
            </w:r>
            <w:r>
              <w:rPr>
                <w:spacing w:val="4"/>
                <w:szCs w:val="21"/>
              </w:rPr>
              <w:t>园</w:t>
            </w:r>
            <w:r>
              <w:rPr>
                <w:spacing w:val="2"/>
                <w:szCs w:val="21"/>
              </w:rPr>
              <w:t>区产业链安全和安全风险容量要</w:t>
            </w:r>
            <w:r>
              <w:rPr>
                <w:spacing w:val="4"/>
                <w:szCs w:val="21"/>
              </w:rPr>
              <w:t>求</w:t>
            </w:r>
            <w:r>
              <w:rPr>
                <w:spacing w:val="2"/>
                <w:szCs w:val="21"/>
              </w:rPr>
              <w:t>，作为危险化学品企业准入的前</w:t>
            </w:r>
            <w:r>
              <w:rPr>
                <w:spacing w:val="4"/>
                <w:szCs w:val="21"/>
              </w:rPr>
              <w:t>置</w:t>
            </w:r>
            <w:r>
              <w:rPr>
                <w:spacing w:val="2"/>
                <w:szCs w:val="21"/>
              </w:rPr>
              <w:t>条件，大力支持产业匹配、工艺先进的企业入园建设，严</w:t>
            </w:r>
            <w:r>
              <w:rPr>
                <w:spacing w:val="1"/>
                <w:szCs w:val="21"/>
              </w:rPr>
              <w:t>格禁止工</w:t>
            </w:r>
            <w:r>
              <w:rPr>
                <w:spacing w:val="2"/>
                <w:szCs w:val="21"/>
              </w:rPr>
              <w:t>艺设备设施落后的项目</w:t>
            </w:r>
            <w:r>
              <w:rPr>
                <w:spacing w:val="1"/>
                <w:szCs w:val="21"/>
              </w:rPr>
              <w:t>入园，严格</w:t>
            </w:r>
            <w:r>
              <w:rPr>
                <w:spacing w:val="-1"/>
                <w:szCs w:val="21"/>
              </w:rPr>
              <w:t>限制本质安全水平低</w:t>
            </w:r>
            <w:r>
              <w:rPr>
                <w:szCs w:val="21"/>
              </w:rPr>
              <w:t>的项目建设。</w:t>
            </w:r>
          </w:p>
        </w:tc>
        <w:tc>
          <w:tcPr>
            <w:tcW w:w="1840" w:type="dxa"/>
          </w:tcPr>
          <w:p w14:paraId="30DF0D41">
            <w:pPr>
              <w:spacing w:line="322" w:lineRule="auto"/>
            </w:pPr>
          </w:p>
          <w:p w14:paraId="26AB1C29">
            <w:pPr>
              <w:spacing w:line="322" w:lineRule="auto"/>
            </w:pPr>
          </w:p>
          <w:p w14:paraId="0712C60E">
            <w:pPr>
              <w:spacing w:before="69"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0E40BE83">
            <w:pPr>
              <w:spacing w:before="31" w:line="237" w:lineRule="auto"/>
              <w:ind w:left="113" w:right="102" w:firstLine="22"/>
              <w:rPr>
                <w:szCs w:val="21"/>
              </w:rPr>
            </w:pPr>
            <w:r>
              <w:rPr>
                <w:spacing w:val="10"/>
                <w:szCs w:val="21"/>
              </w:rPr>
              <w:t>已</w:t>
            </w:r>
            <w:r>
              <w:rPr>
                <w:spacing w:val="6"/>
                <w:szCs w:val="21"/>
              </w:rPr>
              <w:t>审查拟入驻化工企业前置</w:t>
            </w:r>
            <w:r>
              <w:rPr>
                <w:spacing w:val="-13"/>
                <w:szCs w:val="21"/>
              </w:rPr>
              <w:t>条</w:t>
            </w:r>
            <w:r>
              <w:rPr>
                <w:spacing w:val="-8"/>
                <w:szCs w:val="21"/>
              </w:rPr>
              <w:t>件，已在《淮南经济技术开</w:t>
            </w:r>
            <w:r>
              <w:rPr>
                <w:spacing w:val="-13"/>
                <w:szCs w:val="21"/>
              </w:rPr>
              <w:t>发</w:t>
            </w:r>
            <w:r>
              <w:rPr>
                <w:spacing w:val="-8"/>
                <w:szCs w:val="21"/>
              </w:rPr>
              <w:t>区化工园区产业规划》中</w:t>
            </w:r>
            <w:r>
              <w:rPr>
                <w:spacing w:val="-13"/>
                <w:szCs w:val="21"/>
              </w:rPr>
              <w:t>明</w:t>
            </w:r>
            <w:r>
              <w:rPr>
                <w:spacing w:val="-8"/>
                <w:szCs w:val="21"/>
              </w:rPr>
              <w:t>确企业准入和退出机制，同</w:t>
            </w:r>
            <w:r>
              <w:rPr>
                <w:spacing w:val="-9"/>
                <w:szCs w:val="21"/>
              </w:rPr>
              <w:t>时</w:t>
            </w:r>
            <w:r>
              <w:rPr>
                <w:rFonts w:eastAsia="Times New Roman"/>
                <w:spacing w:val="-8"/>
                <w:szCs w:val="21"/>
              </w:rPr>
              <w:t>2020</w:t>
            </w:r>
            <w:r>
              <w:rPr>
                <w:spacing w:val="-8"/>
                <w:szCs w:val="21"/>
              </w:rPr>
              <w:t>年</w:t>
            </w:r>
            <w:r>
              <w:rPr>
                <w:rFonts w:eastAsia="Times New Roman"/>
                <w:spacing w:val="-8"/>
                <w:szCs w:val="21"/>
              </w:rPr>
              <w:t>9</w:t>
            </w:r>
            <w:r>
              <w:rPr>
                <w:spacing w:val="-8"/>
                <w:szCs w:val="21"/>
              </w:rPr>
              <w:t>月</w:t>
            </w:r>
            <w:r>
              <w:rPr>
                <w:rFonts w:eastAsia="Times New Roman"/>
                <w:spacing w:val="-8"/>
                <w:szCs w:val="21"/>
              </w:rPr>
              <w:t>9</w:t>
            </w:r>
            <w:r>
              <w:rPr>
                <w:spacing w:val="-8"/>
                <w:szCs w:val="21"/>
              </w:rPr>
              <w:t>日正式发布</w:t>
            </w:r>
            <w:r>
              <w:rPr>
                <w:spacing w:val="12"/>
                <w:szCs w:val="21"/>
              </w:rPr>
              <w:t>化工园区</w:t>
            </w:r>
            <w:r>
              <w:rPr>
                <w:spacing w:val="8"/>
                <w:szCs w:val="21"/>
              </w:rPr>
              <w:t>准入和退出机制</w:t>
            </w:r>
            <w:r>
              <w:rPr>
                <w:spacing w:val="-13"/>
                <w:szCs w:val="21"/>
              </w:rPr>
              <w:t>的</w:t>
            </w:r>
            <w:r>
              <w:rPr>
                <w:spacing w:val="-8"/>
                <w:szCs w:val="21"/>
              </w:rPr>
              <w:t>文件。文件中规定了企业的</w:t>
            </w:r>
            <w:r>
              <w:rPr>
                <w:spacing w:val="-4"/>
                <w:szCs w:val="21"/>
              </w:rPr>
              <w:t>退</w:t>
            </w:r>
            <w:r>
              <w:rPr>
                <w:spacing w:val="-3"/>
                <w:szCs w:val="21"/>
              </w:rPr>
              <w:t>出</w:t>
            </w:r>
            <w:r>
              <w:rPr>
                <w:spacing w:val="-2"/>
                <w:szCs w:val="21"/>
              </w:rPr>
              <w:t>和准入的条件。</w:t>
            </w:r>
          </w:p>
        </w:tc>
        <w:tc>
          <w:tcPr>
            <w:tcW w:w="640" w:type="dxa"/>
          </w:tcPr>
          <w:p w14:paraId="5C1C46A0">
            <w:pPr>
              <w:spacing w:line="318" w:lineRule="auto"/>
            </w:pPr>
          </w:p>
          <w:p w14:paraId="0FDABB3C">
            <w:pPr>
              <w:spacing w:line="318" w:lineRule="auto"/>
            </w:pPr>
          </w:p>
          <w:p w14:paraId="145EC09A">
            <w:pPr>
              <w:spacing w:line="318" w:lineRule="auto"/>
            </w:pPr>
          </w:p>
          <w:p w14:paraId="23A4E913">
            <w:pPr>
              <w:spacing w:before="61" w:line="187" w:lineRule="auto"/>
              <w:ind w:left="217"/>
              <w:rPr>
                <w:rFonts w:eastAsia="Times New Roman"/>
                <w:szCs w:val="21"/>
              </w:rPr>
            </w:pPr>
            <w:r>
              <w:rPr>
                <w:rFonts w:eastAsia="Times New Roman"/>
                <w:spacing w:val="-2"/>
                <w:szCs w:val="21"/>
              </w:rPr>
              <w:t>90</w:t>
            </w:r>
          </w:p>
        </w:tc>
      </w:tr>
      <w:tr w14:paraId="12385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79" w:type="dxa"/>
            <w:vMerge w:val="continue"/>
            <w:tcBorders>
              <w:bottom w:val="single" w:color="000000" w:sz="2" w:space="0"/>
            </w:tcBorders>
          </w:tcPr>
          <w:p w14:paraId="3887C040"/>
        </w:tc>
        <w:tc>
          <w:tcPr>
            <w:tcW w:w="3404" w:type="dxa"/>
            <w:tcBorders>
              <w:bottom w:val="single" w:color="000000" w:sz="2" w:space="0"/>
            </w:tcBorders>
          </w:tcPr>
          <w:p w14:paraId="168F6294">
            <w:pPr>
              <w:spacing w:before="69" w:line="241" w:lineRule="auto"/>
              <w:ind w:right="105"/>
              <w:rPr>
                <w:szCs w:val="21"/>
              </w:rPr>
            </w:pPr>
            <w:r>
              <w:rPr>
                <w:spacing w:val="2"/>
                <w:szCs w:val="21"/>
              </w:rPr>
              <w:t>凡入园企业，应依法实施</w:t>
            </w:r>
            <w:r>
              <w:rPr>
                <w:spacing w:val="1"/>
                <w:szCs w:val="21"/>
              </w:rPr>
              <w:t>建设项目</w:t>
            </w:r>
            <w:r>
              <w:rPr>
                <w:spacing w:val="-8"/>
                <w:szCs w:val="21"/>
              </w:rPr>
              <w:t>安全</w:t>
            </w:r>
            <w:r>
              <w:rPr>
                <w:spacing w:val="-5"/>
                <w:szCs w:val="21"/>
              </w:rPr>
              <w:t>审</w:t>
            </w:r>
            <w:r>
              <w:rPr>
                <w:spacing w:val="-4"/>
                <w:szCs w:val="21"/>
              </w:rPr>
              <w:t>查，严格安全设计管理，严</w:t>
            </w:r>
            <w:r>
              <w:rPr>
                <w:spacing w:val="4"/>
                <w:szCs w:val="21"/>
              </w:rPr>
              <w:t>格</w:t>
            </w:r>
            <w:r>
              <w:rPr>
                <w:spacing w:val="2"/>
                <w:szCs w:val="21"/>
              </w:rPr>
              <w:t>控制涉及光气、剧毒化学品生产</w:t>
            </w:r>
            <w:r>
              <w:rPr>
                <w:spacing w:val="-8"/>
                <w:szCs w:val="21"/>
              </w:rPr>
              <w:t>企业</w:t>
            </w:r>
            <w:r>
              <w:rPr>
                <w:spacing w:val="-5"/>
                <w:szCs w:val="21"/>
              </w:rPr>
              <w:t>的</w:t>
            </w:r>
            <w:r>
              <w:rPr>
                <w:spacing w:val="-4"/>
                <w:szCs w:val="21"/>
              </w:rPr>
              <w:t>建设项目，从严审批涉及重</w:t>
            </w:r>
            <w:r>
              <w:rPr>
                <w:spacing w:val="4"/>
                <w:szCs w:val="21"/>
              </w:rPr>
              <w:t>点</w:t>
            </w:r>
            <w:r>
              <w:rPr>
                <w:spacing w:val="2"/>
                <w:szCs w:val="21"/>
              </w:rPr>
              <w:t>监管的危险化工工艺企业、重点</w:t>
            </w:r>
            <w:r>
              <w:rPr>
                <w:spacing w:val="4"/>
                <w:szCs w:val="21"/>
              </w:rPr>
              <w:t>监</w:t>
            </w:r>
            <w:r>
              <w:rPr>
                <w:spacing w:val="2"/>
                <w:szCs w:val="21"/>
              </w:rPr>
              <w:t>管危险化学品生产储存装置或危</w:t>
            </w:r>
            <w:r>
              <w:rPr>
                <w:spacing w:val="3"/>
                <w:szCs w:val="21"/>
              </w:rPr>
              <w:t>险化学品重大危险源</w:t>
            </w:r>
            <w:r>
              <w:rPr>
                <w:spacing w:val="-3"/>
                <w:szCs w:val="21"/>
              </w:rPr>
              <w:t>的建设项目。新建化</w:t>
            </w:r>
            <w:r>
              <w:rPr>
                <w:spacing w:val="22"/>
                <w:szCs w:val="21"/>
              </w:rPr>
              <w:t>工</w:t>
            </w:r>
            <w:r>
              <w:rPr>
                <w:spacing w:val="17"/>
                <w:szCs w:val="21"/>
              </w:rPr>
              <w:t>生产储存装置应当依照有关法</w:t>
            </w:r>
            <w:r>
              <w:rPr>
                <w:spacing w:val="4"/>
                <w:szCs w:val="21"/>
              </w:rPr>
              <w:t>律</w:t>
            </w:r>
            <w:r>
              <w:rPr>
                <w:spacing w:val="2"/>
                <w:szCs w:val="21"/>
              </w:rPr>
              <w:t>、法规、规章和标准的规定装备</w:t>
            </w:r>
            <w:r>
              <w:rPr>
                <w:spacing w:val="-12"/>
                <w:szCs w:val="21"/>
              </w:rPr>
              <w:t>自</w:t>
            </w:r>
            <w:r>
              <w:rPr>
                <w:spacing w:val="-8"/>
                <w:szCs w:val="21"/>
              </w:rPr>
              <w:t>动</w:t>
            </w:r>
            <w:r>
              <w:rPr>
                <w:spacing w:val="-6"/>
                <w:szCs w:val="21"/>
              </w:rPr>
              <w:t>化控制系统，涉及易燃易爆、</w:t>
            </w:r>
            <w:r>
              <w:rPr>
                <w:spacing w:val="4"/>
                <w:szCs w:val="21"/>
              </w:rPr>
              <w:t>有</w:t>
            </w:r>
            <w:r>
              <w:rPr>
                <w:spacing w:val="2"/>
                <w:szCs w:val="21"/>
              </w:rPr>
              <w:t>毒有害气体的生产储存装置必须</w:t>
            </w:r>
            <w:r>
              <w:rPr>
                <w:spacing w:val="4"/>
                <w:szCs w:val="21"/>
              </w:rPr>
              <w:t>装</w:t>
            </w:r>
            <w:r>
              <w:rPr>
                <w:spacing w:val="2"/>
                <w:szCs w:val="21"/>
              </w:rPr>
              <w:t>备易燃易爆、有毒有害气体泄漏</w:t>
            </w:r>
            <w:r>
              <w:rPr>
                <w:spacing w:val="6"/>
                <w:szCs w:val="21"/>
              </w:rPr>
              <w:t>报警系</w:t>
            </w:r>
            <w:r>
              <w:rPr>
                <w:spacing w:val="5"/>
                <w:szCs w:val="21"/>
              </w:rPr>
              <w:t>统</w:t>
            </w:r>
            <w:r>
              <w:rPr>
                <w:spacing w:val="3"/>
                <w:szCs w:val="21"/>
              </w:rPr>
              <w:t>，涉及</w:t>
            </w:r>
            <w:r>
              <w:rPr>
                <w:rFonts w:eastAsia="Times New Roman"/>
                <w:spacing w:val="3"/>
                <w:szCs w:val="21"/>
              </w:rPr>
              <w:t>“</w:t>
            </w:r>
            <w:r>
              <w:rPr>
                <w:spacing w:val="3"/>
                <w:szCs w:val="21"/>
              </w:rPr>
              <w:t>两重点一重大</w:t>
            </w:r>
            <w:r>
              <w:rPr>
                <w:rFonts w:eastAsia="Times New Roman"/>
                <w:spacing w:val="3"/>
                <w:szCs w:val="21"/>
              </w:rPr>
              <w:t>”</w:t>
            </w:r>
            <w:r>
              <w:rPr>
                <w:spacing w:val="3"/>
                <w:szCs w:val="21"/>
              </w:rPr>
              <w:t>的</w:t>
            </w:r>
            <w:r>
              <w:rPr>
                <w:spacing w:val="24"/>
                <w:szCs w:val="21"/>
              </w:rPr>
              <w:t>生</w:t>
            </w:r>
            <w:r>
              <w:rPr>
                <w:spacing w:val="17"/>
                <w:szCs w:val="21"/>
              </w:rPr>
              <w:t>产储存装置应装备安全联锁系</w:t>
            </w:r>
            <w:r>
              <w:rPr>
                <w:spacing w:val="4"/>
                <w:szCs w:val="21"/>
              </w:rPr>
              <w:t>统</w:t>
            </w:r>
            <w:r>
              <w:rPr>
                <w:spacing w:val="2"/>
                <w:szCs w:val="21"/>
              </w:rPr>
              <w:t>。劳动力密集型的非化工企业不</w:t>
            </w:r>
            <w:r>
              <w:rPr>
                <w:spacing w:val="-1"/>
                <w:szCs w:val="21"/>
              </w:rPr>
              <w:t>得与</w:t>
            </w:r>
            <w:r>
              <w:rPr>
                <w:szCs w:val="21"/>
              </w:rPr>
              <w:t>化工企业混建在同一园区内。</w:t>
            </w:r>
          </w:p>
        </w:tc>
        <w:tc>
          <w:tcPr>
            <w:tcW w:w="1840" w:type="dxa"/>
            <w:tcBorders>
              <w:bottom w:val="single" w:color="000000" w:sz="2" w:space="0"/>
            </w:tcBorders>
          </w:tcPr>
          <w:p w14:paraId="04CDB05E">
            <w:pPr>
              <w:spacing w:line="253" w:lineRule="auto"/>
            </w:pPr>
          </w:p>
          <w:p w14:paraId="73424A21">
            <w:pPr>
              <w:spacing w:line="253" w:lineRule="auto"/>
            </w:pPr>
          </w:p>
          <w:p w14:paraId="41B2D4C0">
            <w:pPr>
              <w:spacing w:line="253" w:lineRule="auto"/>
            </w:pPr>
          </w:p>
          <w:p w14:paraId="5FCAC780">
            <w:pPr>
              <w:spacing w:line="253" w:lineRule="auto"/>
            </w:pPr>
          </w:p>
          <w:p w14:paraId="4D90AB79">
            <w:pPr>
              <w:spacing w:line="253" w:lineRule="auto"/>
            </w:pPr>
          </w:p>
          <w:p w14:paraId="689AEE0B">
            <w:pPr>
              <w:spacing w:line="253" w:lineRule="auto"/>
            </w:pPr>
          </w:p>
          <w:p w14:paraId="6B8B56C3">
            <w:pPr>
              <w:spacing w:line="253" w:lineRule="auto"/>
            </w:pPr>
          </w:p>
          <w:p w14:paraId="34776EAC">
            <w:pPr>
              <w:spacing w:line="253" w:lineRule="auto"/>
            </w:pPr>
          </w:p>
          <w:p w14:paraId="526B9BAF">
            <w:pPr>
              <w:spacing w:line="254" w:lineRule="auto"/>
            </w:pPr>
          </w:p>
          <w:p w14:paraId="44989EBF">
            <w:pPr>
              <w:spacing w:line="254" w:lineRule="auto"/>
            </w:pPr>
          </w:p>
          <w:p w14:paraId="47F1ABAC">
            <w:pPr>
              <w:spacing w:before="68" w:line="250"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Borders>
              <w:bottom w:val="single" w:color="000000" w:sz="2" w:space="0"/>
            </w:tcBorders>
          </w:tcPr>
          <w:p w14:paraId="44408D29">
            <w:pPr>
              <w:tabs>
                <w:tab w:val="left" w:pos="222"/>
              </w:tabs>
              <w:spacing w:before="37" w:line="238" w:lineRule="auto"/>
              <w:ind w:left="110" w:right="102" w:firstLine="2"/>
              <w:rPr>
                <w:szCs w:val="21"/>
              </w:rPr>
            </w:pPr>
            <w:r>
              <w:rPr>
                <w:spacing w:val="-13"/>
                <w:szCs w:val="21"/>
              </w:rPr>
              <w:t>德</w:t>
            </w:r>
            <w:r>
              <w:rPr>
                <w:szCs w:val="21"/>
              </w:rPr>
              <w:t xml:space="preserve">邦化工、恒诚制药、国瑞药 业、水卫士环保科技均行了安 全审查、安全设计或安全设计 诊断，德邦化工生产、储存设 施均已采用自动化控制和安全联锁系统，恒诚制药涉及的重点监管危险化学品储存装置(甲苯储罐、甲醇储罐)已清料，停用，涉及的重点监管危险工艺氯化工艺已停产，国瑞药业易制毒库和气瓶库未设置可燃气体报警仪。 </w:t>
            </w:r>
          </w:p>
        </w:tc>
        <w:tc>
          <w:tcPr>
            <w:tcW w:w="640" w:type="dxa"/>
          </w:tcPr>
          <w:p w14:paraId="731FD392">
            <w:pPr>
              <w:spacing w:line="258" w:lineRule="auto"/>
            </w:pPr>
          </w:p>
          <w:p w14:paraId="6E428DF9">
            <w:pPr>
              <w:spacing w:line="258" w:lineRule="auto"/>
            </w:pPr>
          </w:p>
          <w:p w14:paraId="12B66B95">
            <w:pPr>
              <w:spacing w:line="258" w:lineRule="auto"/>
            </w:pPr>
          </w:p>
          <w:p w14:paraId="11DC8430">
            <w:pPr>
              <w:spacing w:line="258" w:lineRule="auto"/>
            </w:pPr>
          </w:p>
          <w:p w14:paraId="29F8B520">
            <w:pPr>
              <w:spacing w:line="259" w:lineRule="auto"/>
            </w:pPr>
          </w:p>
          <w:p w14:paraId="40D9E9C2">
            <w:pPr>
              <w:spacing w:line="259" w:lineRule="auto"/>
            </w:pPr>
          </w:p>
          <w:p w14:paraId="468E22B3">
            <w:pPr>
              <w:spacing w:line="259" w:lineRule="auto"/>
            </w:pPr>
          </w:p>
          <w:p w14:paraId="062D3BA5">
            <w:pPr>
              <w:spacing w:line="259" w:lineRule="auto"/>
            </w:pPr>
          </w:p>
          <w:p w14:paraId="304628F5">
            <w:pPr>
              <w:spacing w:line="259" w:lineRule="auto"/>
            </w:pPr>
          </w:p>
          <w:p w14:paraId="0B1E43F5">
            <w:pPr>
              <w:spacing w:line="259" w:lineRule="auto"/>
            </w:pPr>
          </w:p>
          <w:p w14:paraId="58B48A39">
            <w:pPr>
              <w:spacing w:line="259" w:lineRule="auto"/>
            </w:pPr>
          </w:p>
          <w:p w14:paraId="27ED29D3">
            <w:pPr>
              <w:spacing w:before="60" w:line="187" w:lineRule="auto"/>
              <w:ind w:left="218"/>
              <w:rPr>
                <w:rFonts w:eastAsia="Times New Roman"/>
                <w:szCs w:val="21"/>
              </w:rPr>
            </w:pPr>
            <w:r>
              <w:rPr>
                <w:rFonts w:eastAsia="Times New Roman"/>
                <w:spacing w:val="-2"/>
                <w:szCs w:val="21"/>
              </w:rPr>
              <w:t>60</w:t>
            </w:r>
          </w:p>
        </w:tc>
      </w:tr>
      <w:tr w14:paraId="3E85C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679" w:type="dxa"/>
            <w:vMerge w:val="restart"/>
            <w:tcBorders>
              <w:top w:val="single" w:color="000000" w:sz="2" w:space="0"/>
            </w:tcBorders>
          </w:tcPr>
          <w:p w14:paraId="63A710E0">
            <w:pPr>
              <w:spacing w:line="256" w:lineRule="auto"/>
            </w:pPr>
          </w:p>
          <w:p w14:paraId="75F783F7">
            <w:pPr>
              <w:spacing w:line="256" w:lineRule="auto"/>
            </w:pPr>
          </w:p>
          <w:p w14:paraId="24EA987D">
            <w:pPr>
              <w:spacing w:line="256" w:lineRule="auto"/>
            </w:pPr>
          </w:p>
          <w:p w14:paraId="515F2B47">
            <w:pPr>
              <w:spacing w:line="256" w:lineRule="auto"/>
            </w:pPr>
          </w:p>
          <w:p w14:paraId="7C666C92">
            <w:pPr>
              <w:spacing w:line="256" w:lineRule="auto"/>
            </w:pPr>
          </w:p>
          <w:p w14:paraId="14AA967E">
            <w:pPr>
              <w:spacing w:line="256" w:lineRule="auto"/>
            </w:pPr>
          </w:p>
          <w:p w14:paraId="1C4D0835">
            <w:pPr>
              <w:spacing w:line="256" w:lineRule="auto"/>
            </w:pPr>
          </w:p>
          <w:p w14:paraId="6E7064A4">
            <w:pPr>
              <w:spacing w:line="256" w:lineRule="auto"/>
            </w:pPr>
          </w:p>
          <w:p w14:paraId="295A7ACB">
            <w:pPr>
              <w:spacing w:line="257" w:lineRule="auto"/>
            </w:pPr>
          </w:p>
          <w:p w14:paraId="7647366F">
            <w:pPr>
              <w:spacing w:line="257" w:lineRule="auto"/>
            </w:pPr>
          </w:p>
          <w:p w14:paraId="4E9326A6">
            <w:pPr>
              <w:spacing w:line="257" w:lineRule="auto"/>
            </w:pPr>
          </w:p>
          <w:p w14:paraId="20C7706C">
            <w:pPr>
              <w:spacing w:before="68" w:line="249" w:lineRule="auto"/>
              <w:ind w:left="135" w:right="124" w:firstLine="15"/>
              <w:rPr>
                <w:szCs w:val="21"/>
              </w:rPr>
            </w:pPr>
            <w:r>
              <w:rPr>
                <w:spacing w:val="-12"/>
                <w:szCs w:val="21"/>
              </w:rPr>
              <w:t>区</w:t>
            </w:r>
            <w:r>
              <w:rPr>
                <w:spacing w:val="-10"/>
                <w:szCs w:val="21"/>
              </w:rPr>
              <w:t>域</w:t>
            </w:r>
            <w:r>
              <w:rPr>
                <w:spacing w:val="-3"/>
                <w:szCs w:val="21"/>
              </w:rPr>
              <w:t>应急管理</w:t>
            </w:r>
          </w:p>
        </w:tc>
        <w:tc>
          <w:tcPr>
            <w:tcW w:w="3404" w:type="dxa"/>
            <w:tcBorders>
              <w:top w:val="single" w:color="000000" w:sz="2" w:space="0"/>
            </w:tcBorders>
          </w:tcPr>
          <w:p w14:paraId="2681422C">
            <w:pPr>
              <w:spacing w:before="30" w:line="237" w:lineRule="auto"/>
              <w:ind w:left="107" w:right="109" w:firstLine="9"/>
              <w:rPr>
                <w:szCs w:val="21"/>
              </w:rPr>
            </w:pPr>
            <w:r>
              <w:rPr>
                <w:spacing w:val="2"/>
                <w:szCs w:val="21"/>
              </w:rPr>
              <w:t>负责园区管理的</w:t>
            </w:r>
            <w:r>
              <w:rPr>
                <w:spacing w:val="1"/>
                <w:szCs w:val="21"/>
              </w:rPr>
              <w:t>当地人民政府应设</w:t>
            </w:r>
            <w:r>
              <w:rPr>
                <w:spacing w:val="2"/>
                <w:szCs w:val="21"/>
              </w:rPr>
              <w:t>置或指定园区安全生产管理机构</w:t>
            </w:r>
            <w:r>
              <w:rPr>
                <w:spacing w:val="1"/>
                <w:szCs w:val="21"/>
              </w:rPr>
              <w:t>，</w:t>
            </w:r>
            <w:r>
              <w:rPr>
                <w:spacing w:val="4"/>
                <w:szCs w:val="21"/>
              </w:rPr>
              <w:t>实</w:t>
            </w:r>
            <w:r>
              <w:rPr>
                <w:spacing w:val="2"/>
                <w:szCs w:val="21"/>
              </w:rPr>
              <w:t>施园区安全生产一体化管理，协</w:t>
            </w:r>
            <w:r>
              <w:rPr>
                <w:spacing w:val="4"/>
                <w:szCs w:val="21"/>
              </w:rPr>
              <w:t>调</w:t>
            </w:r>
            <w:r>
              <w:rPr>
                <w:spacing w:val="2"/>
                <w:szCs w:val="21"/>
              </w:rPr>
              <w:t>解决园区内企业之间的安全生产</w:t>
            </w:r>
            <w:r>
              <w:rPr>
                <w:spacing w:val="-8"/>
                <w:szCs w:val="21"/>
              </w:rPr>
              <w:t>重大</w:t>
            </w:r>
            <w:r>
              <w:rPr>
                <w:spacing w:val="-5"/>
                <w:szCs w:val="21"/>
              </w:rPr>
              <w:t>问</w:t>
            </w:r>
            <w:r>
              <w:rPr>
                <w:spacing w:val="-4"/>
                <w:szCs w:val="21"/>
              </w:rPr>
              <w:t>题，统筹指挥园区的应急救</w:t>
            </w:r>
            <w:r>
              <w:rPr>
                <w:spacing w:val="4"/>
                <w:szCs w:val="21"/>
              </w:rPr>
              <w:t>援</w:t>
            </w:r>
            <w:r>
              <w:rPr>
                <w:spacing w:val="2"/>
                <w:szCs w:val="21"/>
              </w:rPr>
              <w:t>工作，指导企业落实安全生产主体责任，全面加强安全生产工作</w:t>
            </w:r>
            <w:r>
              <w:rPr>
                <w:spacing w:val="1"/>
                <w:szCs w:val="21"/>
              </w:rPr>
              <w:t>，</w:t>
            </w:r>
            <w:r>
              <w:rPr>
                <w:spacing w:val="4"/>
                <w:szCs w:val="21"/>
              </w:rPr>
              <w:t>定</w:t>
            </w:r>
            <w:r>
              <w:rPr>
                <w:spacing w:val="2"/>
                <w:szCs w:val="21"/>
              </w:rPr>
              <w:t>期组织园区企业开展安全管理情</w:t>
            </w:r>
            <w:r>
              <w:rPr>
                <w:spacing w:val="-4"/>
                <w:szCs w:val="21"/>
              </w:rPr>
              <w:t>况检</w:t>
            </w:r>
            <w:r>
              <w:rPr>
                <w:spacing w:val="-3"/>
                <w:szCs w:val="21"/>
              </w:rPr>
              <w:t>查</w:t>
            </w:r>
            <w:r>
              <w:rPr>
                <w:spacing w:val="-2"/>
                <w:szCs w:val="21"/>
              </w:rPr>
              <w:t>或互查。</w:t>
            </w:r>
          </w:p>
        </w:tc>
        <w:tc>
          <w:tcPr>
            <w:tcW w:w="1840" w:type="dxa"/>
            <w:tcBorders>
              <w:top w:val="single" w:color="000000" w:sz="2" w:space="0"/>
            </w:tcBorders>
          </w:tcPr>
          <w:p w14:paraId="40D7ACEE">
            <w:pPr>
              <w:spacing w:line="259" w:lineRule="auto"/>
            </w:pPr>
          </w:p>
          <w:p w14:paraId="45D871F7">
            <w:pPr>
              <w:spacing w:line="260" w:lineRule="auto"/>
            </w:pPr>
          </w:p>
          <w:p w14:paraId="4212273A">
            <w:pPr>
              <w:spacing w:line="260" w:lineRule="auto"/>
            </w:pPr>
          </w:p>
          <w:p w14:paraId="2C68D728">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Borders>
              <w:top w:val="single" w:color="000000" w:sz="2" w:space="0"/>
            </w:tcBorders>
          </w:tcPr>
          <w:p w14:paraId="13E07DD6">
            <w:pPr>
              <w:spacing w:line="259" w:lineRule="auto"/>
            </w:pPr>
          </w:p>
          <w:p w14:paraId="4D06FA04">
            <w:pPr>
              <w:spacing w:line="259" w:lineRule="auto"/>
            </w:pPr>
          </w:p>
          <w:p w14:paraId="280F60E4">
            <w:pPr>
              <w:spacing w:line="259" w:lineRule="auto"/>
            </w:pPr>
          </w:p>
          <w:p w14:paraId="2061DB73">
            <w:pPr>
              <w:spacing w:before="68" w:line="253" w:lineRule="auto"/>
              <w:ind w:left="114" w:right="103"/>
              <w:rPr>
                <w:szCs w:val="21"/>
              </w:rPr>
            </w:pPr>
            <w:r>
              <w:rPr>
                <w:spacing w:val="9"/>
                <w:szCs w:val="21"/>
              </w:rPr>
              <w:t>经</w:t>
            </w:r>
            <w:r>
              <w:rPr>
                <w:spacing w:val="8"/>
                <w:szCs w:val="21"/>
              </w:rPr>
              <w:t>开区安全生产监督管理局</w:t>
            </w:r>
            <w:r>
              <w:rPr>
                <w:spacing w:val="11"/>
                <w:szCs w:val="21"/>
              </w:rPr>
              <w:t>实</w:t>
            </w:r>
            <w:r>
              <w:rPr>
                <w:spacing w:val="8"/>
                <w:szCs w:val="21"/>
              </w:rPr>
              <w:t>施园区安全生产一体化管</w:t>
            </w:r>
            <w:r>
              <w:rPr>
                <w:szCs w:val="21"/>
              </w:rPr>
              <w:t>理</w:t>
            </w:r>
          </w:p>
        </w:tc>
        <w:tc>
          <w:tcPr>
            <w:tcW w:w="640" w:type="dxa"/>
          </w:tcPr>
          <w:p w14:paraId="19E789C2">
            <w:pPr>
              <w:spacing w:line="272" w:lineRule="auto"/>
            </w:pPr>
          </w:p>
          <w:p w14:paraId="3E23AFAE">
            <w:pPr>
              <w:spacing w:line="272" w:lineRule="auto"/>
            </w:pPr>
          </w:p>
          <w:p w14:paraId="747CDA3C">
            <w:pPr>
              <w:spacing w:line="272" w:lineRule="auto"/>
            </w:pPr>
          </w:p>
          <w:p w14:paraId="1A1AF90B">
            <w:pPr>
              <w:spacing w:line="273" w:lineRule="auto"/>
            </w:pPr>
          </w:p>
          <w:p w14:paraId="7C968F93">
            <w:pPr>
              <w:spacing w:before="60" w:line="187" w:lineRule="auto"/>
              <w:ind w:left="217"/>
              <w:rPr>
                <w:rFonts w:eastAsia="Times New Roman"/>
                <w:szCs w:val="21"/>
              </w:rPr>
            </w:pPr>
            <w:r>
              <w:rPr>
                <w:rFonts w:eastAsia="Times New Roman"/>
                <w:spacing w:val="-2"/>
                <w:szCs w:val="21"/>
              </w:rPr>
              <w:t>90</w:t>
            </w:r>
          </w:p>
        </w:tc>
      </w:tr>
      <w:tr w14:paraId="0C12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679" w:type="dxa"/>
            <w:vMerge w:val="continue"/>
          </w:tcPr>
          <w:p w14:paraId="15F3C7BF"/>
        </w:tc>
        <w:tc>
          <w:tcPr>
            <w:tcW w:w="3404" w:type="dxa"/>
          </w:tcPr>
          <w:p w14:paraId="3027067B">
            <w:pPr>
              <w:spacing w:before="33" w:line="237" w:lineRule="auto"/>
              <w:ind w:left="108" w:right="46" w:firstLine="18"/>
              <w:rPr>
                <w:szCs w:val="21"/>
              </w:rPr>
            </w:pPr>
            <w:r>
              <w:rPr>
                <w:spacing w:val="1"/>
                <w:szCs w:val="21"/>
              </w:rPr>
              <w:t>园区安全生产管理机构要在因</w:t>
            </w:r>
            <w:r>
              <w:rPr>
                <w:szCs w:val="21"/>
              </w:rPr>
              <w:t xml:space="preserve">地制 </w:t>
            </w:r>
            <w:r>
              <w:rPr>
                <w:spacing w:val="-11"/>
                <w:szCs w:val="21"/>
              </w:rPr>
              <w:t>宜</w:t>
            </w:r>
            <w:r>
              <w:rPr>
                <w:spacing w:val="-7"/>
                <w:szCs w:val="21"/>
              </w:rPr>
              <w:t>、合理规划、节约资源的原则下，</w:t>
            </w:r>
            <w:r>
              <w:rPr>
                <w:szCs w:val="21"/>
              </w:rPr>
              <w:t>整合园区内各企业所配置的压力、</w:t>
            </w:r>
            <w:r>
              <w:rPr>
                <w:spacing w:val="3"/>
                <w:szCs w:val="21"/>
              </w:rPr>
              <w:t>温</w:t>
            </w:r>
            <w:r>
              <w:rPr>
                <w:spacing w:val="2"/>
                <w:szCs w:val="21"/>
              </w:rPr>
              <w:t>度、液位、泄漏报警等自动化监</w:t>
            </w:r>
            <w:r>
              <w:rPr>
                <w:spacing w:val="3"/>
                <w:szCs w:val="21"/>
              </w:rPr>
              <w:t>控</w:t>
            </w:r>
            <w:r>
              <w:rPr>
                <w:spacing w:val="2"/>
                <w:szCs w:val="21"/>
              </w:rPr>
              <w:t>措施，构建园区一体化应急管理</w:t>
            </w:r>
            <w:r>
              <w:rPr>
                <w:spacing w:val="-8"/>
                <w:szCs w:val="21"/>
              </w:rPr>
              <w:t>信息</w:t>
            </w:r>
            <w:r>
              <w:rPr>
                <w:spacing w:val="-6"/>
                <w:szCs w:val="21"/>
              </w:rPr>
              <w:t>平</w:t>
            </w:r>
            <w:r>
              <w:rPr>
                <w:spacing w:val="-4"/>
                <w:szCs w:val="21"/>
              </w:rPr>
              <w:t>台，并依托信息平台，对园</w:t>
            </w:r>
            <w:r>
              <w:rPr>
                <w:spacing w:val="3"/>
                <w:szCs w:val="21"/>
              </w:rPr>
              <w:t>区</w:t>
            </w:r>
            <w:r>
              <w:rPr>
                <w:spacing w:val="2"/>
                <w:szCs w:val="21"/>
              </w:rPr>
              <w:t>安全生产状况实施动态监控及预</w:t>
            </w:r>
            <w:r>
              <w:rPr>
                <w:spacing w:val="3"/>
                <w:szCs w:val="21"/>
              </w:rPr>
              <w:t>警</w:t>
            </w:r>
            <w:r>
              <w:rPr>
                <w:spacing w:val="2"/>
                <w:szCs w:val="21"/>
              </w:rPr>
              <w:t>预报，定期进行安全生产风险分</w:t>
            </w:r>
            <w:r>
              <w:rPr>
                <w:spacing w:val="3"/>
                <w:szCs w:val="21"/>
              </w:rPr>
              <w:t>析</w:t>
            </w:r>
            <w:r>
              <w:rPr>
                <w:spacing w:val="2"/>
                <w:szCs w:val="21"/>
              </w:rPr>
              <w:t>，建立与园区周边社区危险性告</w:t>
            </w:r>
            <w:r>
              <w:rPr>
                <w:spacing w:val="3"/>
                <w:szCs w:val="21"/>
              </w:rPr>
              <w:t>知</w:t>
            </w:r>
            <w:r>
              <w:rPr>
                <w:spacing w:val="2"/>
                <w:szCs w:val="21"/>
              </w:rPr>
              <w:t>和应急联动体系，及时发布预警</w:t>
            </w:r>
            <w:r>
              <w:rPr>
                <w:spacing w:val="-12"/>
                <w:szCs w:val="21"/>
              </w:rPr>
              <w:t>信息</w:t>
            </w:r>
            <w:r>
              <w:rPr>
                <w:spacing w:val="-6"/>
                <w:szCs w:val="21"/>
              </w:rPr>
              <w:t>， 落实防范和应急处置措施。</w:t>
            </w:r>
          </w:p>
        </w:tc>
        <w:tc>
          <w:tcPr>
            <w:tcW w:w="1840" w:type="dxa"/>
          </w:tcPr>
          <w:p w14:paraId="0699D330">
            <w:pPr>
              <w:spacing w:line="262" w:lineRule="auto"/>
            </w:pPr>
          </w:p>
          <w:p w14:paraId="3BB9FD2B">
            <w:pPr>
              <w:spacing w:line="262" w:lineRule="auto"/>
            </w:pPr>
          </w:p>
          <w:p w14:paraId="1444A17F">
            <w:pPr>
              <w:spacing w:line="262" w:lineRule="auto"/>
            </w:pPr>
          </w:p>
          <w:p w14:paraId="39340E4C">
            <w:pPr>
              <w:spacing w:line="263" w:lineRule="auto"/>
            </w:pPr>
          </w:p>
          <w:p w14:paraId="24DE596C">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711C8E6A">
            <w:pPr>
              <w:spacing w:line="322" w:lineRule="auto"/>
            </w:pPr>
          </w:p>
          <w:p w14:paraId="77C5E93C">
            <w:pPr>
              <w:spacing w:line="322" w:lineRule="auto"/>
            </w:pPr>
          </w:p>
          <w:p w14:paraId="38BA7119">
            <w:pPr>
              <w:spacing w:before="69" w:line="244" w:lineRule="auto"/>
              <w:ind w:left="111" w:right="103" w:firstLine="1"/>
              <w:rPr>
                <w:szCs w:val="21"/>
              </w:rPr>
            </w:pPr>
            <w:r>
              <w:rPr>
                <w:spacing w:val="11"/>
                <w:szCs w:val="21"/>
              </w:rPr>
              <w:t>化工园区</w:t>
            </w:r>
            <w:r>
              <w:rPr>
                <w:spacing w:val="8"/>
                <w:szCs w:val="21"/>
              </w:rPr>
              <w:t>内已采用物联网</w:t>
            </w:r>
            <w:r>
              <w:rPr>
                <w:spacing w:val="11"/>
                <w:szCs w:val="21"/>
              </w:rPr>
              <w:t>对</w:t>
            </w:r>
            <w:r>
              <w:rPr>
                <w:spacing w:val="8"/>
                <w:szCs w:val="21"/>
              </w:rPr>
              <w:t>德邦化工配置的压力、温</w:t>
            </w:r>
            <w:r>
              <w:rPr>
                <w:spacing w:val="-11"/>
                <w:szCs w:val="21"/>
              </w:rPr>
              <w:t>度</w:t>
            </w:r>
            <w:r>
              <w:rPr>
                <w:spacing w:val="-8"/>
                <w:szCs w:val="21"/>
              </w:rPr>
              <w:t>、液位、泄漏报警等自动化</w:t>
            </w:r>
            <w:r>
              <w:rPr>
                <w:spacing w:val="-11"/>
                <w:szCs w:val="21"/>
              </w:rPr>
              <w:t>监</w:t>
            </w:r>
            <w:r>
              <w:rPr>
                <w:spacing w:val="-8"/>
                <w:szCs w:val="21"/>
              </w:rPr>
              <w:t>控，建立了园区一体化管理</w:t>
            </w:r>
            <w:r>
              <w:rPr>
                <w:spacing w:val="-11"/>
                <w:szCs w:val="21"/>
              </w:rPr>
              <w:t>信</w:t>
            </w:r>
            <w:r>
              <w:rPr>
                <w:spacing w:val="-8"/>
                <w:szCs w:val="21"/>
              </w:rPr>
              <w:t>息平台，信息平台设置在淮</w:t>
            </w:r>
            <w:r>
              <w:rPr>
                <w:spacing w:val="-1"/>
                <w:szCs w:val="21"/>
              </w:rPr>
              <w:t>南市应急</w:t>
            </w:r>
            <w:r>
              <w:rPr>
                <w:szCs w:val="21"/>
              </w:rPr>
              <w:t>管理局。</w:t>
            </w:r>
          </w:p>
        </w:tc>
        <w:tc>
          <w:tcPr>
            <w:tcW w:w="640" w:type="dxa"/>
          </w:tcPr>
          <w:p w14:paraId="28FBEF64">
            <w:pPr>
              <w:spacing w:line="271" w:lineRule="auto"/>
            </w:pPr>
          </w:p>
          <w:p w14:paraId="7E269402">
            <w:pPr>
              <w:spacing w:line="272" w:lineRule="auto"/>
            </w:pPr>
          </w:p>
          <w:p w14:paraId="7734A284">
            <w:pPr>
              <w:spacing w:line="272" w:lineRule="auto"/>
            </w:pPr>
          </w:p>
          <w:p w14:paraId="0AA6FEBA">
            <w:pPr>
              <w:spacing w:line="272" w:lineRule="auto"/>
            </w:pPr>
          </w:p>
          <w:p w14:paraId="75425C3D">
            <w:pPr>
              <w:spacing w:line="272" w:lineRule="auto"/>
            </w:pPr>
          </w:p>
          <w:p w14:paraId="6EF55554">
            <w:pPr>
              <w:spacing w:before="60" w:line="187" w:lineRule="auto"/>
              <w:ind w:left="217"/>
              <w:rPr>
                <w:rFonts w:eastAsia="Times New Roman"/>
                <w:szCs w:val="21"/>
              </w:rPr>
            </w:pPr>
            <w:r>
              <w:rPr>
                <w:rFonts w:eastAsia="Times New Roman"/>
                <w:spacing w:val="-2"/>
                <w:szCs w:val="21"/>
              </w:rPr>
              <w:t>90</w:t>
            </w:r>
          </w:p>
        </w:tc>
      </w:tr>
      <w:tr w14:paraId="2D07F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79" w:type="dxa"/>
            <w:vMerge w:val="continue"/>
          </w:tcPr>
          <w:p w14:paraId="41B388E2"/>
        </w:tc>
        <w:tc>
          <w:tcPr>
            <w:tcW w:w="3404" w:type="dxa"/>
          </w:tcPr>
          <w:p w14:paraId="2476F595">
            <w:pPr>
              <w:spacing w:before="34" w:line="234" w:lineRule="auto"/>
              <w:ind w:left="108" w:right="109" w:firstLine="13"/>
              <w:rPr>
                <w:szCs w:val="21"/>
              </w:rPr>
            </w:pPr>
            <w:r>
              <w:rPr>
                <w:spacing w:val="2"/>
                <w:szCs w:val="21"/>
              </w:rPr>
              <w:t>当地</w:t>
            </w:r>
            <w:r>
              <w:rPr>
                <w:spacing w:val="1"/>
                <w:szCs w:val="21"/>
              </w:rPr>
              <w:t>人民政府或上级人民政府的安</w:t>
            </w:r>
            <w:r>
              <w:rPr>
                <w:spacing w:val="2"/>
                <w:szCs w:val="21"/>
              </w:rPr>
              <w:t>全监管部门可向园区派出安全生产监管机构或专职安全监管人员，切</w:t>
            </w:r>
            <w:r>
              <w:rPr>
                <w:spacing w:val="-1"/>
                <w:szCs w:val="21"/>
              </w:rPr>
              <w:t>实落实园区</w:t>
            </w:r>
            <w:r>
              <w:rPr>
                <w:szCs w:val="21"/>
              </w:rPr>
              <w:t>安全监管责任。</w:t>
            </w:r>
          </w:p>
        </w:tc>
        <w:tc>
          <w:tcPr>
            <w:tcW w:w="1840" w:type="dxa"/>
          </w:tcPr>
          <w:p w14:paraId="6E5EE64A">
            <w:pPr>
              <w:spacing w:before="172"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7EF32107">
            <w:pPr>
              <w:spacing w:before="172" w:line="249" w:lineRule="auto"/>
              <w:ind w:left="111" w:right="106" w:firstLine="2"/>
              <w:rPr>
                <w:szCs w:val="21"/>
              </w:rPr>
            </w:pPr>
            <w:r>
              <w:rPr>
                <w:spacing w:val="9"/>
                <w:szCs w:val="21"/>
              </w:rPr>
              <w:t>经</w:t>
            </w:r>
            <w:r>
              <w:rPr>
                <w:spacing w:val="8"/>
                <w:szCs w:val="21"/>
              </w:rPr>
              <w:t>开区安全生产监督管理局</w:t>
            </w:r>
            <w:r>
              <w:rPr>
                <w:spacing w:val="11"/>
                <w:szCs w:val="21"/>
              </w:rPr>
              <w:t>负</w:t>
            </w:r>
            <w:r>
              <w:rPr>
                <w:spacing w:val="8"/>
                <w:szCs w:val="21"/>
              </w:rPr>
              <w:t>责化工园区安全监管责</w:t>
            </w:r>
            <w:r>
              <w:rPr>
                <w:szCs w:val="21"/>
              </w:rPr>
              <w:t>任</w:t>
            </w:r>
          </w:p>
        </w:tc>
        <w:tc>
          <w:tcPr>
            <w:tcW w:w="640" w:type="dxa"/>
          </w:tcPr>
          <w:p w14:paraId="2F0A7434">
            <w:pPr>
              <w:spacing w:line="413" w:lineRule="auto"/>
            </w:pPr>
          </w:p>
          <w:p w14:paraId="3C9364BA">
            <w:pPr>
              <w:spacing w:before="61" w:line="187" w:lineRule="auto"/>
              <w:ind w:left="217"/>
              <w:rPr>
                <w:rFonts w:eastAsia="Times New Roman"/>
                <w:szCs w:val="21"/>
              </w:rPr>
            </w:pPr>
            <w:r>
              <w:rPr>
                <w:rFonts w:eastAsia="Times New Roman"/>
                <w:spacing w:val="-2"/>
                <w:szCs w:val="21"/>
              </w:rPr>
              <w:t>90</w:t>
            </w:r>
          </w:p>
        </w:tc>
      </w:tr>
      <w:tr w14:paraId="4BEB6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679" w:type="dxa"/>
            <w:vMerge w:val="continue"/>
          </w:tcPr>
          <w:p w14:paraId="56C728E0"/>
        </w:tc>
        <w:tc>
          <w:tcPr>
            <w:tcW w:w="3404" w:type="dxa"/>
          </w:tcPr>
          <w:p w14:paraId="0535D1FE">
            <w:pPr>
              <w:spacing w:before="26" w:line="237" w:lineRule="auto"/>
              <w:ind w:left="108" w:right="105" w:firstLine="17"/>
              <w:rPr>
                <w:szCs w:val="21"/>
              </w:rPr>
            </w:pPr>
            <w:r>
              <w:rPr>
                <w:spacing w:val="1"/>
                <w:szCs w:val="21"/>
              </w:rPr>
              <w:t>园区安全生产管理机构应委托</w:t>
            </w:r>
            <w:r>
              <w:rPr>
                <w:szCs w:val="21"/>
              </w:rPr>
              <w:t>具有</w:t>
            </w:r>
            <w:r>
              <w:rPr>
                <w:spacing w:val="2"/>
                <w:szCs w:val="21"/>
              </w:rPr>
              <w:t>资质的安全评价机构开展园区整体性安全风险评价工作，科学评估园区安全风险，提出消除、降低或控制安全风险的对策措施，并将该方案报园区主管部门备案。已建成投</w:t>
            </w:r>
            <w:r>
              <w:rPr>
                <w:spacing w:val="-2"/>
                <w:szCs w:val="21"/>
              </w:rPr>
              <w:t>用的</w:t>
            </w:r>
            <w:r>
              <w:rPr>
                <w:spacing w:val="-1"/>
                <w:szCs w:val="21"/>
              </w:rPr>
              <w:t>园区每</w:t>
            </w:r>
            <w:r>
              <w:rPr>
                <w:rFonts w:eastAsia="Times New Roman"/>
                <w:spacing w:val="-1"/>
                <w:szCs w:val="21"/>
              </w:rPr>
              <w:t>5</w:t>
            </w:r>
            <w:r>
              <w:rPr>
                <w:spacing w:val="-1"/>
                <w:szCs w:val="21"/>
              </w:rPr>
              <w:t>年要开展一次园区整</w:t>
            </w:r>
            <w:r>
              <w:rPr>
                <w:spacing w:val="-4"/>
                <w:szCs w:val="21"/>
              </w:rPr>
              <w:t>体</w:t>
            </w:r>
            <w:r>
              <w:rPr>
                <w:spacing w:val="-2"/>
                <w:szCs w:val="21"/>
              </w:rPr>
              <w:t>性安全风险评价。</w:t>
            </w:r>
          </w:p>
        </w:tc>
        <w:tc>
          <w:tcPr>
            <w:tcW w:w="1840" w:type="dxa"/>
          </w:tcPr>
          <w:p w14:paraId="52C50073">
            <w:pPr>
              <w:spacing w:line="320" w:lineRule="auto"/>
            </w:pPr>
          </w:p>
          <w:p w14:paraId="01BA3867">
            <w:pPr>
              <w:spacing w:line="320" w:lineRule="auto"/>
            </w:pPr>
          </w:p>
          <w:p w14:paraId="4EF06A2E">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5082A618">
            <w:pPr>
              <w:spacing w:before="170" w:line="243" w:lineRule="auto"/>
              <w:ind w:left="112" w:right="102" w:firstLine="3"/>
              <w:rPr>
                <w:szCs w:val="21"/>
              </w:rPr>
            </w:pPr>
            <w:r>
              <w:rPr>
                <w:spacing w:val="-6"/>
                <w:szCs w:val="21"/>
              </w:rPr>
              <w:t>该化工园区</w:t>
            </w:r>
            <w:r>
              <w:rPr>
                <w:spacing w:val="-3"/>
                <w:szCs w:val="21"/>
              </w:rPr>
              <w:t>分别于</w:t>
            </w:r>
            <w:r>
              <w:rPr>
                <w:rFonts w:eastAsia="Times New Roman"/>
                <w:spacing w:val="-3"/>
                <w:szCs w:val="21"/>
              </w:rPr>
              <w:t>2017</w:t>
            </w:r>
            <w:r>
              <w:rPr>
                <w:spacing w:val="-3"/>
                <w:szCs w:val="21"/>
              </w:rPr>
              <w:t>年、2019</w:t>
            </w:r>
            <w:r>
              <w:rPr>
                <w:spacing w:val="4"/>
                <w:szCs w:val="21"/>
              </w:rPr>
              <w:t>和</w:t>
            </w:r>
            <w:r>
              <w:rPr>
                <w:spacing w:val="3"/>
                <w:szCs w:val="21"/>
              </w:rPr>
              <w:t>2020年对</w:t>
            </w:r>
            <w:r>
              <w:rPr>
                <w:spacing w:val="5"/>
                <w:szCs w:val="21"/>
              </w:rPr>
              <w:t>区块一和区块二</w:t>
            </w:r>
            <w:r>
              <w:rPr>
                <w:szCs w:val="21"/>
              </w:rPr>
              <w:t>进</w:t>
            </w:r>
            <w:r>
              <w:rPr>
                <w:spacing w:val="-12"/>
                <w:szCs w:val="21"/>
              </w:rPr>
              <w:t>行</w:t>
            </w:r>
            <w:r>
              <w:rPr>
                <w:spacing w:val="-8"/>
                <w:szCs w:val="21"/>
              </w:rPr>
              <w:t>了整体性安全风险评估</w:t>
            </w:r>
          </w:p>
        </w:tc>
        <w:tc>
          <w:tcPr>
            <w:tcW w:w="640" w:type="dxa"/>
          </w:tcPr>
          <w:p w14:paraId="54DE8DCE">
            <w:pPr>
              <w:spacing w:line="316" w:lineRule="auto"/>
            </w:pPr>
          </w:p>
          <w:p w14:paraId="698CCE39">
            <w:pPr>
              <w:spacing w:line="317" w:lineRule="auto"/>
            </w:pPr>
          </w:p>
          <w:p w14:paraId="098A508D">
            <w:pPr>
              <w:spacing w:line="317" w:lineRule="auto"/>
            </w:pPr>
          </w:p>
          <w:p w14:paraId="2C315078">
            <w:pPr>
              <w:spacing w:before="60" w:line="187" w:lineRule="auto"/>
              <w:ind w:left="217"/>
              <w:rPr>
                <w:rFonts w:eastAsia="Times New Roman"/>
                <w:szCs w:val="21"/>
              </w:rPr>
            </w:pPr>
            <w:r>
              <w:rPr>
                <w:rFonts w:eastAsia="Times New Roman"/>
                <w:spacing w:val="-2"/>
                <w:szCs w:val="21"/>
              </w:rPr>
              <w:t>90</w:t>
            </w:r>
          </w:p>
        </w:tc>
      </w:tr>
      <w:tr w14:paraId="6A9A9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679" w:type="dxa"/>
            <w:vMerge w:val="continue"/>
          </w:tcPr>
          <w:p w14:paraId="55B7B2BA"/>
        </w:tc>
        <w:tc>
          <w:tcPr>
            <w:tcW w:w="3404" w:type="dxa"/>
          </w:tcPr>
          <w:p w14:paraId="1A8D3D3A">
            <w:pPr>
              <w:spacing w:before="169" w:line="246" w:lineRule="auto"/>
              <w:ind w:left="108" w:right="109" w:firstLine="17"/>
              <w:rPr>
                <w:szCs w:val="21"/>
              </w:rPr>
            </w:pPr>
            <w:r>
              <w:rPr>
                <w:spacing w:val="1"/>
                <w:szCs w:val="21"/>
              </w:rPr>
              <w:t>园区安全生产管理机构应建立</w:t>
            </w:r>
            <w:r>
              <w:rPr>
                <w:szCs w:val="21"/>
              </w:rPr>
              <w:t>园区</w:t>
            </w:r>
            <w:r>
              <w:rPr>
                <w:spacing w:val="2"/>
                <w:szCs w:val="21"/>
              </w:rPr>
              <w:t>企业安全生产工作例会制度，并明</w:t>
            </w:r>
            <w:r>
              <w:rPr>
                <w:spacing w:val="-1"/>
                <w:szCs w:val="21"/>
              </w:rPr>
              <w:t>确</w:t>
            </w:r>
            <w:r>
              <w:rPr>
                <w:szCs w:val="21"/>
              </w:rPr>
              <w:t>紧急状况下各企业的联络方式、</w:t>
            </w:r>
            <w:r>
              <w:rPr>
                <w:spacing w:val="-1"/>
                <w:szCs w:val="21"/>
              </w:rPr>
              <w:t>通报机制和</w:t>
            </w:r>
            <w:r>
              <w:rPr>
                <w:szCs w:val="21"/>
              </w:rPr>
              <w:t>指挥体制。</w:t>
            </w:r>
          </w:p>
        </w:tc>
        <w:tc>
          <w:tcPr>
            <w:tcW w:w="1840" w:type="dxa"/>
          </w:tcPr>
          <w:p w14:paraId="01F232FA">
            <w:pPr>
              <w:spacing w:before="305"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0F1E6280">
            <w:pPr>
              <w:spacing w:before="28" w:line="235" w:lineRule="auto"/>
              <w:ind w:left="112" w:right="103" w:firstLine="1"/>
              <w:rPr>
                <w:szCs w:val="21"/>
              </w:rPr>
            </w:pPr>
            <w:r>
              <w:rPr>
                <w:spacing w:val="9"/>
                <w:szCs w:val="21"/>
              </w:rPr>
              <w:t>经</w:t>
            </w:r>
            <w:r>
              <w:rPr>
                <w:spacing w:val="8"/>
                <w:szCs w:val="21"/>
              </w:rPr>
              <w:t>开区安全生产监督管理局</w:t>
            </w:r>
            <w:r>
              <w:rPr>
                <w:spacing w:val="11"/>
                <w:szCs w:val="21"/>
              </w:rPr>
              <w:t>每</w:t>
            </w:r>
            <w:r>
              <w:rPr>
                <w:spacing w:val="8"/>
                <w:szCs w:val="21"/>
              </w:rPr>
              <w:t>季度组织召开安全工作会</w:t>
            </w:r>
            <w:r>
              <w:rPr>
                <w:spacing w:val="11"/>
                <w:szCs w:val="21"/>
              </w:rPr>
              <w:t>议</w:t>
            </w:r>
            <w:r>
              <w:rPr>
                <w:spacing w:val="8"/>
                <w:szCs w:val="21"/>
              </w:rPr>
              <w:t>，建立了企业的联络通讯</w:t>
            </w:r>
            <w:r>
              <w:rPr>
                <w:spacing w:val="-12"/>
                <w:szCs w:val="21"/>
              </w:rPr>
              <w:t>录</w:t>
            </w:r>
            <w:r>
              <w:rPr>
                <w:spacing w:val="-8"/>
                <w:szCs w:val="21"/>
              </w:rPr>
              <w:t>，紧急情况下可第一时间联</w:t>
            </w:r>
            <w:r>
              <w:rPr>
                <w:spacing w:val="-3"/>
                <w:szCs w:val="21"/>
              </w:rPr>
              <w:t>系企业负责人</w:t>
            </w:r>
            <w:r>
              <w:rPr>
                <w:spacing w:val="-2"/>
                <w:szCs w:val="21"/>
              </w:rPr>
              <w:t>。</w:t>
            </w:r>
          </w:p>
        </w:tc>
        <w:tc>
          <w:tcPr>
            <w:tcW w:w="640" w:type="dxa"/>
          </w:tcPr>
          <w:p w14:paraId="11AC3FF3">
            <w:pPr>
              <w:spacing w:line="271" w:lineRule="auto"/>
            </w:pPr>
          </w:p>
          <w:p w14:paraId="4EE32D96">
            <w:pPr>
              <w:spacing w:line="272" w:lineRule="auto"/>
            </w:pPr>
          </w:p>
          <w:p w14:paraId="70E86A4B">
            <w:pPr>
              <w:spacing w:before="60" w:line="187" w:lineRule="auto"/>
              <w:ind w:left="217"/>
              <w:rPr>
                <w:rFonts w:eastAsia="Times New Roman"/>
                <w:szCs w:val="21"/>
              </w:rPr>
            </w:pPr>
            <w:r>
              <w:rPr>
                <w:rFonts w:eastAsia="Times New Roman"/>
                <w:spacing w:val="-2"/>
                <w:szCs w:val="21"/>
              </w:rPr>
              <w:t>90</w:t>
            </w:r>
          </w:p>
        </w:tc>
      </w:tr>
      <w:tr w14:paraId="0EDD6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679" w:type="dxa"/>
            <w:vMerge w:val="continue"/>
          </w:tcPr>
          <w:p w14:paraId="66E8E8F6"/>
        </w:tc>
        <w:tc>
          <w:tcPr>
            <w:tcW w:w="3404" w:type="dxa"/>
          </w:tcPr>
          <w:p w14:paraId="46472C42">
            <w:pPr>
              <w:spacing w:before="32" w:line="234" w:lineRule="auto"/>
              <w:ind w:left="108" w:right="58" w:firstLine="17"/>
              <w:rPr>
                <w:szCs w:val="21"/>
              </w:rPr>
            </w:pPr>
            <w:r>
              <w:rPr>
                <w:spacing w:val="1"/>
                <w:szCs w:val="21"/>
              </w:rPr>
              <w:t>园区内企业应树立整体安</w:t>
            </w:r>
            <w:r>
              <w:rPr>
                <w:szCs w:val="21"/>
              </w:rPr>
              <w:t xml:space="preserve">全意识， </w:t>
            </w:r>
            <w:r>
              <w:rPr>
                <w:spacing w:val="2"/>
                <w:szCs w:val="21"/>
              </w:rPr>
              <w:t>防范系统风险，防止企业生产安全</w:t>
            </w:r>
            <w:r>
              <w:rPr>
                <w:spacing w:val="12"/>
                <w:szCs w:val="21"/>
              </w:rPr>
              <w:t>事</w:t>
            </w:r>
            <w:r>
              <w:rPr>
                <w:spacing w:val="8"/>
                <w:szCs w:val="21"/>
              </w:rPr>
              <w:t>故</w:t>
            </w:r>
            <w:r>
              <w:rPr>
                <w:spacing w:val="6"/>
                <w:szCs w:val="21"/>
              </w:rPr>
              <w:t>影响周边企业，产生</w:t>
            </w:r>
            <w:r>
              <w:rPr>
                <w:rFonts w:eastAsia="Times New Roman"/>
                <w:spacing w:val="6"/>
                <w:szCs w:val="21"/>
              </w:rPr>
              <w:t>“</w:t>
            </w:r>
            <w:r>
              <w:rPr>
                <w:spacing w:val="6"/>
                <w:szCs w:val="21"/>
              </w:rPr>
              <w:t>多米诺</w:t>
            </w:r>
            <w:r>
              <w:rPr>
                <w:rFonts w:eastAsia="Times New Roman"/>
                <w:spacing w:val="6"/>
                <w:szCs w:val="21"/>
              </w:rPr>
              <w:t>”</w:t>
            </w:r>
            <w:r>
              <w:rPr>
                <w:spacing w:val="-10"/>
                <w:szCs w:val="21"/>
              </w:rPr>
              <w:t>效</w:t>
            </w:r>
            <w:r>
              <w:rPr>
                <w:spacing w:val="-7"/>
                <w:szCs w:val="21"/>
              </w:rPr>
              <w:t>应。</w:t>
            </w:r>
          </w:p>
        </w:tc>
        <w:tc>
          <w:tcPr>
            <w:tcW w:w="1840" w:type="dxa"/>
          </w:tcPr>
          <w:p w14:paraId="6A51E24A">
            <w:pPr>
              <w:spacing w:before="169"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071F05C3">
            <w:pPr>
              <w:spacing w:before="32" w:line="234" w:lineRule="auto"/>
              <w:ind w:left="111" w:right="102" w:firstLine="1"/>
              <w:rPr>
                <w:szCs w:val="21"/>
              </w:rPr>
            </w:pPr>
            <w:r>
              <w:rPr>
                <w:spacing w:val="-13"/>
                <w:szCs w:val="21"/>
              </w:rPr>
              <w:t>化工园区</w:t>
            </w:r>
            <w:r>
              <w:rPr>
                <w:spacing w:val="-8"/>
                <w:szCs w:val="21"/>
              </w:rPr>
              <w:t>内的德邦化工、恒</w:t>
            </w:r>
            <w:r>
              <w:rPr>
                <w:spacing w:val="-11"/>
                <w:szCs w:val="21"/>
              </w:rPr>
              <w:t>诚</w:t>
            </w:r>
            <w:r>
              <w:rPr>
                <w:spacing w:val="-8"/>
                <w:szCs w:val="21"/>
              </w:rPr>
              <w:t>制药、国瑞药业、水卫士环</w:t>
            </w:r>
            <w:r>
              <w:rPr>
                <w:spacing w:val="13"/>
                <w:szCs w:val="21"/>
              </w:rPr>
              <w:t>保</w:t>
            </w:r>
            <w:r>
              <w:rPr>
                <w:spacing w:val="8"/>
                <w:szCs w:val="21"/>
              </w:rPr>
              <w:t>科技有一定的整体安全意</w:t>
            </w:r>
            <w:r>
              <w:rPr>
                <w:spacing w:val="-9"/>
                <w:szCs w:val="21"/>
              </w:rPr>
              <w:t>识。</w:t>
            </w:r>
          </w:p>
        </w:tc>
        <w:tc>
          <w:tcPr>
            <w:tcW w:w="640" w:type="dxa"/>
          </w:tcPr>
          <w:p w14:paraId="0FA6190E">
            <w:pPr>
              <w:spacing w:line="410" w:lineRule="auto"/>
            </w:pPr>
          </w:p>
          <w:p w14:paraId="1E9D2495">
            <w:pPr>
              <w:spacing w:before="61" w:line="187" w:lineRule="auto"/>
              <w:ind w:left="218"/>
              <w:rPr>
                <w:rFonts w:eastAsia="Times New Roman"/>
                <w:szCs w:val="21"/>
              </w:rPr>
            </w:pPr>
            <w:r>
              <w:rPr>
                <w:rFonts w:eastAsia="Times New Roman"/>
                <w:spacing w:val="-2"/>
                <w:szCs w:val="21"/>
              </w:rPr>
              <w:t>60</w:t>
            </w:r>
          </w:p>
        </w:tc>
      </w:tr>
      <w:tr w14:paraId="49048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79" w:type="dxa"/>
            <w:vMerge w:val="restart"/>
            <w:tcBorders>
              <w:bottom w:val="nil"/>
            </w:tcBorders>
          </w:tcPr>
          <w:p w14:paraId="0A5CF1D2"/>
          <w:p w14:paraId="4CA50582"/>
          <w:p w14:paraId="72F326CC"/>
          <w:p w14:paraId="0A65A49F"/>
          <w:p w14:paraId="46CB8289"/>
          <w:p w14:paraId="2A2B5FB8"/>
          <w:p w14:paraId="2087EC02"/>
          <w:p w14:paraId="279D2309"/>
          <w:p w14:paraId="1641E81B"/>
          <w:p w14:paraId="23D7E196"/>
          <w:p w14:paraId="12042109"/>
          <w:p w14:paraId="050C96A3"/>
          <w:p w14:paraId="3E73AC22"/>
          <w:p w14:paraId="64FCB438"/>
          <w:p w14:paraId="24E4B135">
            <w:pPr>
              <w:spacing w:before="68" w:line="249" w:lineRule="auto"/>
              <w:ind w:left="135" w:right="124" w:firstLine="15"/>
              <w:rPr>
                <w:szCs w:val="21"/>
              </w:rPr>
            </w:pPr>
            <w:r>
              <w:rPr>
                <w:spacing w:val="-12"/>
                <w:szCs w:val="21"/>
              </w:rPr>
              <w:t>区</w:t>
            </w:r>
            <w:r>
              <w:rPr>
                <w:spacing w:val="-10"/>
                <w:szCs w:val="21"/>
              </w:rPr>
              <w:t>域</w:t>
            </w:r>
            <w:r>
              <w:rPr>
                <w:spacing w:val="-3"/>
                <w:szCs w:val="21"/>
              </w:rPr>
              <w:t>应急资源</w:t>
            </w:r>
          </w:p>
        </w:tc>
        <w:tc>
          <w:tcPr>
            <w:tcW w:w="3404" w:type="dxa"/>
          </w:tcPr>
          <w:p w14:paraId="15A3A339">
            <w:pPr>
              <w:spacing w:line="366" w:lineRule="auto"/>
            </w:pPr>
          </w:p>
          <w:p w14:paraId="4F3D10F6">
            <w:pPr>
              <w:spacing w:before="69" w:line="247" w:lineRule="auto"/>
              <w:ind w:left="108" w:right="190" w:firstLine="17"/>
              <w:rPr>
                <w:szCs w:val="21"/>
              </w:rPr>
            </w:pPr>
            <w:r>
              <w:rPr>
                <w:spacing w:val="16"/>
                <w:szCs w:val="21"/>
              </w:rPr>
              <w:t>园</w:t>
            </w:r>
            <w:r>
              <w:rPr>
                <w:spacing w:val="8"/>
                <w:szCs w:val="21"/>
              </w:rPr>
              <w:t>区安全生产管理机构要全面掌</w:t>
            </w:r>
            <w:r>
              <w:rPr>
                <w:spacing w:val="-6"/>
                <w:szCs w:val="21"/>
              </w:rPr>
              <w:t>握园</w:t>
            </w:r>
            <w:r>
              <w:rPr>
                <w:spacing w:val="-3"/>
                <w:szCs w:val="21"/>
              </w:rPr>
              <w:t>区及企业应急救援相关信息</w:t>
            </w:r>
            <w:r>
              <w:rPr>
                <w:spacing w:val="10"/>
                <w:szCs w:val="21"/>
              </w:rPr>
              <w:t>制定园区总体应急救援预案及</w:t>
            </w:r>
            <w:r>
              <w:rPr>
                <w:spacing w:val="7"/>
                <w:szCs w:val="21"/>
              </w:rPr>
              <w:t>专</w:t>
            </w:r>
            <w:r>
              <w:rPr>
                <w:spacing w:val="-2"/>
                <w:szCs w:val="21"/>
              </w:rPr>
              <w:t>项</w:t>
            </w:r>
            <w:r>
              <w:rPr>
                <w:spacing w:val="-1"/>
                <w:szCs w:val="21"/>
              </w:rPr>
              <w:t>预案。</w:t>
            </w:r>
          </w:p>
        </w:tc>
        <w:tc>
          <w:tcPr>
            <w:tcW w:w="1840" w:type="dxa"/>
          </w:tcPr>
          <w:p w14:paraId="66880F7F">
            <w:pPr>
              <w:spacing w:before="32" w:line="239" w:lineRule="auto"/>
              <w:ind w:left="137" w:right="236" w:hanging="3"/>
              <w:rPr>
                <w:szCs w:val="21"/>
              </w:rPr>
            </w:pPr>
            <w:r>
              <w:rPr>
                <w:spacing w:val="-1"/>
                <w:szCs w:val="21"/>
              </w:rPr>
              <w:t>《关于进一步</w:t>
            </w:r>
            <w:r>
              <w:rPr>
                <w:szCs w:val="21"/>
              </w:rPr>
              <w:t xml:space="preserve">加 </w:t>
            </w:r>
            <w:r>
              <w:rPr>
                <w:spacing w:val="-2"/>
                <w:szCs w:val="21"/>
              </w:rPr>
              <w:t>强化工</w:t>
            </w:r>
            <w:r>
              <w:rPr>
                <w:spacing w:val="-1"/>
                <w:szCs w:val="21"/>
              </w:rPr>
              <w:t>园区安全</w:t>
            </w:r>
          </w:p>
          <w:p w14:paraId="5D2A3842">
            <w:pPr>
              <w:spacing w:before="1" w:line="239" w:lineRule="auto"/>
              <w:ind w:left="661" w:right="342" w:hanging="419"/>
              <w:rPr>
                <w:szCs w:val="21"/>
              </w:rPr>
            </w:pPr>
            <w:r>
              <w:rPr>
                <w:spacing w:val="-2"/>
                <w:szCs w:val="21"/>
              </w:rPr>
              <w:t>管理的指</w:t>
            </w:r>
            <w:r>
              <w:rPr>
                <w:spacing w:val="-1"/>
                <w:szCs w:val="21"/>
              </w:rPr>
              <w:t>导意</w:t>
            </w:r>
            <w:r>
              <w:rPr>
                <w:spacing w:val="-6"/>
                <w:szCs w:val="21"/>
              </w:rPr>
              <w:t>见</w:t>
            </w:r>
            <w:r>
              <w:rPr>
                <w:spacing w:val="-4"/>
                <w:szCs w:val="21"/>
              </w:rPr>
              <w:t>》</w:t>
            </w:r>
          </w:p>
          <w:p w14:paraId="08BDF5DC">
            <w:pPr>
              <w:spacing w:before="2" w:line="230" w:lineRule="auto"/>
              <w:ind w:left="133" w:right="236"/>
              <w:rPr>
                <w:szCs w:val="21"/>
              </w:rPr>
            </w:pPr>
            <w:r>
              <w:rPr>
                <w:spacing w:val="-1"/>
                <w:szCs w:val="21"/>
              </w:rPr>
              <w:t>《关于加强化</w:t>
            </w:r>
            <w:r>
              <w:rPr>
                <w:szCs w:val="21"/>
              </w:rPr>
              <w:t xml:space="preserve">工 </w:t>
            </w:r>
            <w:r>
              <w:rPr>
                <w:spacing w:val="-1"/>
                <w:szCs w:val="21"/>
              </w:rPr>
              <w:t>园区安全管理</w:t>
            </w:r>
            <w:r>
              <w:rPr>
                <w:szCs w:val="21"/>
              </w:rPr>
              <w:t xml:space="preserve">工 </w:t>
            </w:r>
            <w:r>
              <w:rPr>
                <w:spacing w:val="-2"/>
                <w:szCs w:val="21"/>
              </w:rPr>
              <w:t>作的指</w:t>
            </w:r>
            <w:r>
              <w:rPr>
                <w:spacing w:val="-1"/>
                <w:szCs w:val="21"/>
              </w:rPr>
              <w:t>导意见》</w:t>
            </w:r>
          </w:p>
        </w:tc>
        <w:tc>
          <w:tcPr>
            <w:tcW w:w="2843" w:type="dxa"/>
          </w:tcPr>
          <w:p w14:paraId="1A760637">
            <w:pPr>
              <w:spacing w:line="253" w:lineRule="auto"/>
            </w:pPr>
          </w:p>
          <w:p w14:paraId="505B12D4">
            <w:pPr>
              <w:spacing w:line="253" w:lineRule="auto"/>
            </w:pPr>
          </w:p>
          <w:p w14:paraId="0674D8E6">
            <w:pPr>
              <w:spacing w:before="68" w:line="249" w:lineRule="auto"/>
              <w:ind w:left="112" w:right="210"/>
              <w:rPr>
                <w:szCs w:val="21"/>
              </w:rPr>
            </w:pPr>
            <w:r>
              <w:rPr>
                <w:spacing w:val="-1"/>
                <w:szCs w:val="21"/>
              </w:rPr>
              <w:t>化工园区已制</w:t>
            </w:r>
            <w:r>
              <w:rPr>
                <w:szCs w:val="21"/>
              </w:rPr>
              <w:t>定《淮南经</w:t>
            </w:r>
            <w:r>
              <w:rPr>
                <w:spacing w:val="-1"/>
                <w:szCs w:val="21"/>
              </w:rPr>
              <w:t>济技术开发区</w:t>
            </w:r>
            <w:r>
              <w:rPr>
                <w:szCs w:val="21"/>
              </w:rPr>
              <w:t>化工园区生</w:t>
            </w:r>
            <w:r>
              <w:rPr>
                <w:spacing w:val="-2"/>
                <w:szCs w:val="21"/>
              </w:rPr>
              <w:t>产安全</w:t>
            </w:r>
            <w:r>
              <w:rPr>
                <w:spacing w:val="-1"/>
                <w:szCs w:val="21"/>
              </w:rPr>
              <w:t>事故综合应急预案》</w:t>
            </w:r>
          </w:p>
        </w:tc>
        <w:tc>
          <w:tcPr>
            <w:tcW w:w="640" w:type="dxa"/>
          </w:tcPr>
          <w:p w14:paraId="440A5535">
            <w:pPr>
              <w:spacing w:line="271" w:lineRule="auto"/>
            </w:pPr>
          </w:p>
          <w:p w14:paraId="29F9FBC1">
            <w:pPr>
              <w:spacing w:line="272" w:lineRule="auto"/>
            </w:pPr>
          </w:p>
          <w:p w14:paraId="0E2F9275">
            <w:pPr>
              <w:spacing w:line="272" w:lineRule="auto"/>
            </w:pPr>
          </w:p>
          <w:p w14:paraId="54B00FBE">
            <w:pPr>
              <w:spacing w:before="61" w:line="187" w:lineRule="auto"/>
              <w:ind w:left="217"/>
              <w:rPr>
                <w:rFonts w:eastAsia="Times New Roman"/>
                <w:szCs w:val="21"/>
              </w:rPr>
            </w:pPr>
            <w:r>
              <w:rPr>
                <w:rFonts w:eastAsia="Times New Roman"/>
                <w:spacing w:val="-5"/>
                <w:szCs w:val="21"/>
              </w:rPr>
              <w:t>9</w:t>
            </w:r>
            <w:r>
              <w:rPr>
                <w:rFonts w:eastAsia="Times New Roman"/>
                <w:spacing w:val="-3"/>
                <w:szCs w:val="21"/>
              </w:rPr>
              <w:t>0</w:t>
            </w:r>
          </w:p>
        </w:tc>
      </w:tr>
      <w:tr w14:paraId="361DE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679" w:type="dxa"/>
            <w:vMerge w:val="continue"/>
            <w:tcBorders>
              <w:top w:val="nil"/>
              <w:bottom w:val="nil"/>
            </w:tcBorders>
          </w:tcPr>
          <w:p w14:paraId="6273A6E2"/>
        </w:tc>
        <w:tc>
          <w:tcPr>
            <w:tcW w:w="3404" w:type="dxa"/>
          </w:tcPr>
          <w:p w14:paraId="6A3F2F82">
            <w:pPr>
              <w:spacing w:line="372" w:lineRule="auto"/>
            </w:pPr>
          </w:p>
          <w:p w14:paraId="19B0483F">
            <w:pPr>
              <w:spacing w:before="68" w:line="247" w:lineRule="auto"/>
              <w:ind w:left="108" w:right="211" w:firstLine="5"/>
              <w:rPr>
                <w:szCs w:val="21"/>
              </w:rPr>
            </w:pPr>
            <w:r>
              <w:rPr>
                <w:spacing w:val="13"/>
                <w:szCs w:val="21"/>
              </w:rPr>
              <w:t>督</w:t>
            </w:r>
            <w:r>
              <w:rPr>
                <w:spacing w:val="9"/>
                <w:szCs w:val="21"/>
              </w:rPr>
              <w:t>促企业修订完善应急救援预案</w:t>
            </w:r>
            <w:r>
              <w:rPr>
                <w:spacing w:val="10"/>
                <w:szCs w:val="21"/>
              </w:rPr>
              <w:t>并与园区总体应急救援预案相</w:t>
            </w:r>
            <w:r>
              <w:rPr>
                <w:spacing w:val="8"/>
                <w:szCs w:val="21"/>
              </w:rPr>
              <w:t>衔</w:t>
            </w:r>
            <w:r>
              <w:rPr>
                <w:spacing w:val="-11"/>
                <w:szCs w:val="21"/>
              </w:rPr>
              <w:t>接，做好预案登记、备案、评审等</w:t>
            </w:r>
            <w:r>
              <w:rPr>
                <w:spacing w:val="-9"/>
                <w:szCs w:val="21"/>
              </w:rPr>
              <w:t>工</w:t>
            </w:r>
            <w:r>
              <w:rPr>
                <w:spacing w:val="-7"/>
                <w:szCs w:val="21"/>
              </w:rPr>
              <w:t>作。</w:t>
            </w:r>
          </w:p>
        </w:tc>
        <w:tc>
          <w:tcPr>
            <w:tcW w:w="1840" w:type="dxa"/>
          </w:tcPr>
          <w:p w14:paraId="6FB4292E">
            <w:pPr>
              <w:spacing w:before="33" w:line="239" w:lineRule="auto"/>
              <w:ind w:left="137" w:right="236" w:hanging="3"/>
              <w:rPr>
                <w:szCs w:val="21"/>
              </w:rPr>
            </w:pPr>
            <w:r>
              <w:rPr>
                <w:spacing w:val="-1"/>
                <w:szCs w:val="21"/>
              </w:rPr>
              <w:t>《关于进一步</w:t>
            </w:r>
            <w:r>
              <w:rPr>
                <w:szCs w:val="21"/>
              </w:rPr>
              <w:t xml:space="preserve">加 </w:t>
            </w:r>
            <w:r>
              <w:rPr>
                <w:spacing w:val="-2"/>
                <w:szCs w:val="21"/>
              </w:rPr>
              <w:t>强化工</w:t>
            </w:r>
            <w:r>
              <w:rPr>
                <w:spacing w:val="-1"/>
                <w:szCs w:val="21"/>
              </w:rPr>
              <w:t>园区安全</w:t>
            </w:r>
          </w:p>
          <w:p w14:paraId="4ED228FA">
            <w:pPr>
              <w:spacing w:before="1" w:line="239" w:lineRule="auto"/>
              <w:ind w:left="661" w:right="342" w:hanging="419"/>
              <w:rPr>
                <w:szCs w:val="21"/>
              </w:rPr>
            </w:pPr>
            <w:r>
              <w:rPr>
                <w:spacing w:val="-2"/>
                <w:szCs w:val="21"/>
              </w:rPr>
              <w:t>管理的指</w:t>
            </w:r>
            <w:r>
              <w:rPr>
                <w:spacing w:val="-1"/>
                <w:szCs w:val="21"/>
              </w:rPr>
              <w:t>导意</w:t>
            </w:r>
            <w:r>
              <w:rPr>
                <w:spacing w:val="-6"/>
                <w:szCs w:val="21"/>
              </w:rPr>
              <w:t>见</w:t>
            </w:r>
            <w:r>
              <w:rPr>
                <w:spacing w:val="-4"/>
                <w:szCs w:val="21"/>
              </w:rPr>
              <w:t>》</w:t>
            </w:r>
          </w:p>
          <w:p w14:paraId="33116EDE">
            <w:pPr>
              <w:spacing w:line="231" w:lineRule="auto"/>
              <w:ind w:left="133" w:right="236"/>
              <w:rPr>
                <w:szCs w:val="21"/>
              </w:rPr>
            </w:pPr>
            <w:r>
              <w:rPr>
                <w:spacing w:val="-1"/>
                <w:szCs w:val="21"/>
              </w:rPr>
              <w:t>《关于加强化</w:t>
            </w:r>
            <w:r>
              <w:rPr>
                <w:szCs w:val="21"/>
              </w:rPr>
              <w:t xml:space="preserve">工 </w:t>
            </w:r>
            <w:r>
              <w:rPr>
                <w:spacing w:val="-1"/>
                <w:szCs w:val="21"/>
              </w:rPr>
              <w:t>园区安全管理</w:t>
            </w:r>
            <w:r>
              <w:rPr>
                <w:szCs w:val="21"/>
              </w:rPr>
              <w:t xml:space="preserve">工 </w:t>
            </w:r>
            <w:r>
              <w:rPr>
                <w:spacing w:val="-2"/>
                <w:szCs w:val="21"/>
              </w:rPr>
              <w:t>作的指</w:t>
            </w:r>
            <w:r>
              <w:rPr>
                <w:spacing w:val="-1"/>
                <w:szCs w:val="21"/>
              </w:rPr>
              <w:t>导意见》</w:t>
            </w:r>
          </w:p>
        </w:tc>
        <w:tc>
          <w:tcPr>
            <w:tcW w:w="2843" w:type="dxa"/>
          </w:tcPr>
          <w:p w14:paraId="34D02EC4">
            <w:pPr>
              <w:spacing w:before="309" w:line="245" w:lineRule="auto"/>
              <w:ind w:left="109" w:right="210" w:firstLine="3"/>
              <w:rPr>
                <w:szCs w:val="21"/>
              </w:rPr>
            </w:pPr>
            <w:r>
              <w:rPr>
                <w:spacing w:val="-1"/>
                <w:szCs w:val="21"/>
              </w:rPr>
              <w:t>化工园区内的</w:t>
            </w:r>
            <w:r>
              <w:rPr>
                <w:szCs w:val="21"/>
              </w:rPr>
              <w:t>德邦化工、</w:t>
            </w:r>
            <w:r>
              <w:rPr>
                <w:spacing w:val="-1"/>
                <w:szCs w:val="21"/>
              </w:rPr>
              <w:t>恒诚制</w:t>
            </w:r>
            <w:r>
              <w:rPr>
                <w:szCs w:val="21"/>
              </w:rPr>
              <w:t>药、水卫士环保科、</w:t>
            </w:r>
            <w:r>
              <w:rPr>
                <w:spacing w:val="-1"/>
                <w:szCs w:val="21"/>
              </w:rPr>
              <w:t>国瑞药</w:t>
            </w:r>
            <w:r>
              <w:rPr>
                <w:szCs w:val="21"/>
              </w:rPr>
              <w:t>业已编制应急预案，</w:t>
            </w:r>
            <w:r>
              <w:rPr>
                <w:spacing w:val="-12"/>
                <w:szCs w:val="21"/>
              </w:rPr>
              <w:t>已</w:t>
            </w:r>
            <w:r>
              <w:rPr>
                <w:spacing w:val="-8"/>
                <w:szCs w:val="21"/>
              </w:rPr>
              <w:t>经过评审和备案，与上级</w:t>
            </w:r>
            <w:r>
              <w:rPr>
                <w:spacing w:val="-4"/>
                <w:szCs w:val="21"/>
              </w:rPr>
              <w:t>预案</w:t>
            </w:r>
            <w:r>
              <w:rPr>
                <w:spacing w:val="-2"/>
                <w:szCs w:val="21"/>
              </w:rPr>
              <w:t>衔接良好。</w:t>
            </w:r>
          </w:p>
        </w:tc>
        <w:tc>
          <w:tcPr>
            <w:tcW w:w="640" w:type="dxa"/>
          </w:tcPr>
          <w:p w14:paraId="38CF3732">
            <w:pPr>
              <w:spacing w:line="272" w:lineRule="auto"/>
            </w:pPr>
          </w:p>
          <w:p w14:paraId="07425C59">
            <w:pPr>
              <w:spacing w:line="272" w:lineRule="auto"/>
            </w:pPr>
          </w:p>
          <w:p w14:paraId="3459130D">
            <w:pPr>
              <w:spacing w:line="273" w:lineRule="auto"/>
            </w:pPr>
          </w:p>
          <w:p w14:paraId="0E9C2CB7">
            <w:pPr>
              <w:spacing w:before="60" w:line="187" w:lineRule="auto"/>
              <w:ind w:left="217"/>
              <w:rPr>
                <w:rFonts w:eastAsia="Times New Roman"/>
                <w:szCs w:val="21"/>
              </w:rPr>
            </w:pPr>
            <w:r>
              <w:rPr>
                <w:rFonts w:eastAsia="Times New Roman"/>
                <w:spacing w:val="-5"/>
                <w:szCs w:val="21"/>
              </w:rPr>
              <w:t>9</w:t>
            </w:r>
            <w:r>
              <w:rPr>
                <w:rFonts w:eastAsia="Times New Roman"/>
                <w:spacing w:val="-3"/>
                <w:szCs w:val="21"/>
              </w:rPr>
              <w:t>0</w:t>
            </w:r>
          </w:p>
        </w:tc>
      </w:tr>
      <w:tr w14:paraId="4504A8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679" w:type="dxa"/>
            <w:vMerge w:val="continue"/>
            <w:tcBorders>
              <w:top w:val="nil"/>
              <w:bottom w:val="nil"/>
            </w:tcBorders>
          </w:tcPr>
          <w:p w14:paraId="5EEE554D"/>
        </w:tc>
        <w:tc>
          <w:tcPr>
            <w:tcW w:w="3404" w:type="dxa"/>
          </w:tcPr>
          <w:p w14:paraId="48B2AF69">
            <w:pPr>
              <w:spacing w:line="370" w:lineRule="auto"/>
            </w:pPr>
          </w:p>
          <w:p w14:paraId="7297360E">
            <w:pPr>
              <w:spacing w:before="68" w:line="249" w:lineRule="auto"/>
              <w:ind w:left="108" w:right="109" w:firstLine="17"/>
              <w:rPr>
                <w:szCs w:val="21"/>
              </w:rPr>
            </w:pPr>
            <w:r>
              <w:rPr>
                <w:spacing w:val="1"/>
                <w:szCs w:val="21"/>
              </w:rPr>
              <w:t>园区应建立健全园区内企业及</w:t>
            </w:r>
            <w:r>
              <w:rPr>
                <w:szCs w:val="21"/>
              </w:rPr>
              <w:t>公共</w:t>
            </w:r>
            <w:r>
              <w:rPr>
                <w:spacing w:val="2"/>
                <w:szCs w:val="21"/>
              </w:rPr>
              <w:t>应急物资储备保障制度，建立完善</w:t>
            </w:r>
            <w:r>
              <w:rPr>
                <w:spacing w:val="-4"/>
                <w:szCs w:val="21"/>
              </w:rPr>
              <w:t>应</w:t>
            </w:r>
            <w:r>
              <w:rPr>
                <w:spacing w:val="-2"/>
                <w:szCs w:val="21"/>
              </w:rPr>
              <w:t>急物资保障体系。</w:t>
            </w:r>
          </w:p>
        </w:tc>
        <w:tc>
          <w:tcPr>
            <w:tcW w:w="1840" w:type="dxa"/>
          </w:tcPr>
          <w:p w14:paraId="4F542484">
            <w:pPr>
              <w:spacing w:line="372" w:lineRule="auto"/>
            </w:pPr>
          </w:p>
          <w:p w14:paraId="71E85904">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62E9D9FE">
            <w:pPr>
              <w:spacing w:before="34" w:line="235" w:lineRule="auto"/>
              <w:ind w:left="111" w:right="103" w:firstLine="1"/>
              <w:rPr>
                <w:szCs w:val="21"/>
              </w:rPr>
            </w:pPr>
            <w:r>
              <w:rPr>
                <w:spacing w:val="10"/>
                <w:szCs w:val="21"/>
              </w:rPr>
              <w:t>化工园区</w:t>
            </w:r>
            <w:r>
              <w:rPr>
                <w:spacing w:val="8"/>
                <w:szCs w:val="21"/>
              </w:rPr>
              <w:t>已建立企业及公</w:t>
            </w:r>
            <w:r>
              <w:rPr>
                <w:spacing w:val="-11"/>
                <w:szCs w:val="21"/>
              </w:rPr>
              <w:t>共</w:t>
            </w:r>
            <w:r>
              <w:rPr>
                <w:spacing w:val="-8"/>
                <w:szCs w:val="21"/>
              </w:rPr>
              <w:t>应急物资储备保障制度，已</w:t>
            </w:r>
            <w:r>
              <w:rPr>
                <w:spacing w:val="11"/>
                <w:szCs w:val="21"/>
              </w:rPr>
              <w:t>统</w:t>
            </w:r>
            <w:r>
              <w:rPr>
                <w:spacing w:val="8"/>
                <w:szCs w:val="21"/>
              </w:rPr>
              <w:t>计各企业的应急救援物资</w:t>
            </w:r>
            <w:r>
              <w:rPr>
                <w:spacing w:val="13"/>
                <w:szCs w:val="21"/>
              </w:rPr>
              <w:t>以</w:t>
            </w:r>
            <w:r>
              <w:rPr>
                <w:spacing w:val="8"/>
                <w:szCs w:val="21"/>
              </w:rPr>
              <w:t>及周边消防站的应急救援</w:t>
            </w:r>
            <w:r>
              <w:rPr>
                <w:spacing w:val="-11"/>
                <w:szCs w:val="21"/>
              </w:rPr>
              <w:t>物</w:t>
            </w:r>
            <w:r>
              <w:rPr>
                <w:spacing w:val="-8"/>
                <w:szCs w:val="21"/>
              </w:rPr>
              <w:t>资，在紧急救援情况下可随</w:t>
            </w:r>
            <w:r>
              <w:rPr>
                <w:spacing w:val="-1"/>
                <w:szCs w:val="21"/>
              </w:rPr>
              <w:t>时调配</w:t>
            </w:r>
          </w:p>
        </w:tc>
        <w:tc>
          <w:tcPr>
            <w:tcW w:w="640" w:type="dxa"/>
          </w:tcPr>
          <w:p w14:paraId="1555B9DF">
            <w:pPr>
              <w:spacing w:line="341" w:lineRule="auto"/>
            </w:pPr>
          </w:p>
          <w:p w14:paraId="18FE7DB8">
            <w:pPr>
              <w:spacing w:line="341" w:lineRule="auto"/>
            </w:pPr>
          </w:p>
          <w:p w14:paraId="5A80DC2C">
            <w:pPr>
              <w:spacing w:before="60" w:line="187" w:lineRule="auto"/>
              <w:ind w:left="221"/>
              <w:rPr>
                <w:rFonts w:eastAsia="Times New Roman"/>
                <w:szCs w:val="21"/>
              </w:rPr>
            </w:pPr>
            <w:r>
              <w:rPr>
                <w:rFonts w:eastAsia="Times New Roman"/>
                <w:spacing w:val="-3"/>
                <w:szCs w:val="21"/>
              </w:rPr>
              <w:t>80</w:t>
            </w:r>
          </w:p>
        </w:tc>
      </w:tr>
      <w:tr w14:paraId="7B9B6F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679" w:type="dxa"/>
            <w:vMerge w:val="continue"/>
            <w:tcBorders>
              <w:top w:val="nil"/>
            </w:tcBorders>
          </w:tcPr>
          <w:p w14:paraId="70D9BE67"/>
        </w:tc>
        <w:tc>
          <w:tcPr>
            <w:tcW w:w="3404" w:type="dxa"/>
          </w:tcPr>
          <w:p w14:paraId="4E9C25E3">
            <w:pPr>
              <w:spacing w:before="36" w:line="236" w:lineRule="auto"/>
              <w:ind w:left="108" w:right="46" w:firstLine="1"/>
              <w:rPr>
                <w:szCs w:val="21"/>
              </w:rPr>
            </w:pPr>
            <w:r>
              <w:rPr>
                <w:spacing w:val="-8"/>
                <w:szCs w:val="21"/>
              </w:rPr>
              <w:t>要加</w:t>
            </w:r>
            <w:r>
              <w:rPr>
                <w:spacing w:val="-7"/>
                <w:szCs w:val="21"/>
              </w:rPr>
              <w:t>强</w:t>
            </w:r>
            <w:r>
              <w:rPr>
                <w:spacing w:val="-4"/>
                <w:szCs w:val="21"/>
              </w:rPr>
              <w:t>应急基础设施建设， 可采取</w:t>
            </w:r>
            <w:r>
              <w:rPr>
                <w:spacing w:val="3"/>
                <w:szCs w:val="21"/>
              </w:rPr>
              <w:t>企</w:t>
            </w:r>
            <w:r>
              <w:rPr>
                <w:spacing w:val="2"/>
                <w:szCs w:val="21"/>
              </w:rPr>
              <w:t>企联合、政企联合或相关职能部</w:t>
            </w:r>
            <w:r>
              <w:rPr>
                <w:spacing w:val="3"/>
                <w:szCs w:val="21"/>
              </w:rPr>
              <w:t>门</w:t>
            </w:r>
            <w:r>
              <w:rPr>
                <w:spacing w:val="2"/>
                <w:szCs w:val="21"/>
              </w:rPr>
              <w:t>单独出资投入等方式，整合和优</w:t>
            </w:r>
            <w:r>
              <w:rPr>
                <w:spacing w:val="3"/>
                <w:szCs w:val="21"/>
              </w:rPr>
              <w:t>化</w:t>
            </w:r>
            <w:r>
              <w:rPr>
                <w:spacing w:val="2"/>
                <w:szCs w:val="21"/>
              </w:rPr>
              <w:t>园区专业的危险化学品应急救援</w:t>
            </w:r>
            <w:r>
              <w:rPr>
                <w:spacing w:val="-13"/>
                <w:szCs w:val="21"/>
              </w:rPr>
              <w:t>资源， 组建园区专业应急救援队伍，</w:t>
            </w:r>
            <w:r>
              <w:rPr>
                <w:spacing w:val="3"/>
                <w:szCs w:val="21"/>
              </w:rPr>
              <w:t>并</w:t>
            </w:r>
            <w:r>
              <w:rPr>
                <w:spacing w:val="2"/>
                <w:szCs w:val="21"/>
              </w:rPr>
              <w:t>组织开展地方应急救援力量和企</w:t>
            </w:r>
            <w:r>
              <w:rPr>
                <w:spacing w:val="3"/>
                <w:szCs w:val="21"/>
              </w:rPr>
              <w:t>业</w:t>
            </w:r>
            <w:r>
              <w:rPr>
                <w:spacing w:val="2"/>
                <w:szCs w:val="21"/>
              </w:rPr>
              <w:t>应急救援力量共同参与的应急演</w:t>
            </w:r>
            <w:r>
              <w:rPr>
                <w:spacing w:val="-9"/>
                <w:szCs w:val="21"/>
              </w:rPr>
              <w:t>练。</w:t>
            </w:r>
          </w:p>
        </w:tc>
        <w:tc>
          <w:tcPr>
            <w:tcW w:w="1840" w:type="dxa"/>
          </w:tcPr>
          <w:p w14:paraId="6CF937D9">
            <w:pPr>
              <w:spacing w:line="320" w:lineRule="auto"/>
            </w:pPr>
          </w:p>
          <w:p w14:paraId="6374ED25">
            <w:pPr>
              <w:spacing w:line="320" w:lineRule="auto"/>
            </w:pPr>
          </w:p>
          <w:p w14:paraId="6B7A5CBE">
            <w:pPr>
              <w:spacing w:before="68" w:line="250"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33CE182C">
            <w:pPr>
              <w:spacing w:line="372" w:lineRule="auto"/>
            </w:pPr>
          </w:p>
          <w:p w14:paraId="00641078">
            <w:pPr>
              <w:spacing w:before="68" w:line="245" w:lineRule="auto"/>
              <w:ind w:left="112" w:right="102" w:firstLine="3"/>
              <w:rPr>
                <w:szCs w:val="21"/>
              </w:rPr>
            </w:pPr>
            <w:r>
              <w:rPr>
                <w:spacing w:val="8"/>
                <w:szCs w:val="21"/>
              </w:rPr>
              <w:t>企业已根据企业预案进行</w:t>
            </w:r>
            <w:r>
              <w:rPr>
                <w:spacing w:val="7"/>
                <w:szCs w:val="21"/>
              </w:rPr>
              <w:t>了</w:t>
            </w:r>
            <w:r>
              <w:rPr>
                <w:spacing w:val="-12"/>
                <w:szCs w:val="21"/>
              </w:rPr>
              <w:t>定</w:t>
            </w:r>
            <w:r>
              <w:rPr>
                <w:spacing w:val="-8"/>
                <w:szCs w:val="21"/>
              </w:rPr>
              <w:t>期应急演练，经开区安全生</w:t>
            </w:r>
            <w:r>
              <w:rPr>
                <w:spacing w:val="-6"/>
                <w:szCs w:val="21"/>
              </w:rPr>
              <w:t>产监督管理局在</w:t>
            </w:r>
            <w:r>
              <w:rPr>
                <w:rFonts w:eastAsia="Times New Roman"/>
                <w:spacing w:val="-6"/>
                <w:szCs w:val="21"/>
              </w:rPr>
              <w:t>2020</w:t>
            </w:r>
            <w:r>
              <w:rPr>
                <w:spacing w:val="-6"/>
                <w:szCs w:val="21"/>
              </w:rPr>
              <w:t>年</w:t>
            </w:r>
            <w:r>
              <w:rPr>
                <w:rFonts w:eastAsia="Times New Roman"/>
                <w:spacing w:val="-6"/>
                <w:szCs w:val="21"/>
              </w:rPr>
              <w:t xml:space="preserve">9 </w:t>
            </w:r>
            <w:r>
              <w:rPr>
                <w:spacing w:val="-6"/>
                <w:szCs w:val="21"/>
              </w:rPr>
              <w:t>月</w:t>
            </w:r>
            <w:r>
              <w:rPr>
                <w:rFonts w:eastAsia="Times New Roman"/>
                <w:spacing w:val="-1"/>
                <w:szCs w:val="21"/>
              </w:rPr>
              <w:t>18</w:t>
            </w:r>
            <w:r>
              <w:rPr>
                <w:szCs w:val="21"/>
              </w:rPr>
              <w:t>日组织化工园区整体性</w:t>
            </w:r>
            <w:r>
              <w:rPr>
                <w:spacing w:val="-1"/>
                <w:szCs w:val="21"/>
              </w:rPr>
              <w:t>应急救援演</w:t>
            </w:r>
            <w:r>
              <w:rPr>
                <w:szCs w:val="21"/>
              </w:rPr>
              <w:t>练</w:t>
            </w:r>
          </w:p>
        </w:tc>
        <w:tc>
          <w:tcPr>
            <w:tcW w:w="640" w:type="dxa"/>
          </w:tcPr>
          <w:p w14:paraId="210F9A23">
            <w:pPr>
              <w:spacing w:line="317" w:lineRule="auto"/>
            </w:pPr>
          </w:p>
          <w:p w14:paraId="3E092A16">
            <w:pPr>
              <w:spacing w:line="318" w:lineRule="auto"/>
            </w:pPr>
          </w:p>
          <w:p w14:paraId="6C0B17D4">
            <w:pPr>
              <w:spacing w:line="318" w:lineRule="auto"/>
            </w:pPr>
          </w:p>
          <w:p w14:paraId="0CCC98FB">
            <w:pPr>
              <w:spacing w:before="60" w:line="187" w:lineRule="auto"/>
              <w:ind w:left="217"/>
              <w:rPr>
                <w:rFonts w:eastAsia="Times New Roman"/>
                <w:szCs w:val="21"/>
              </w:rPr>
            </w:pPr>
            <w:r>
              <w:rPr>
                <w:rFonts w:eastAsia="Times New Roman"/>
                <w:spacing w:val="-2"/>
                <w:szCs w:val="21"/>
              </w:rPr>
              <w:t>90</w:t>
            </w:r>
          </w:p>
        </w:tc>
      </w:tr>
      <w:tr w14:paraId="14FA2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9" w:hRule="atLeast"/>
        </w:trPr>
        <w:tc>
          <w:tcPr>
            <w:tcW w:w="679" w:type="dxa"/>
            <w:vMerge w:val="restart"/>
          </w:tcPr>
          <w:p w14:paraId="4A9E827E">
            <w:pPr>
              <w:spacing w:before="170" w:line="249" w:lineRule="auto"/>
              <w:ind w:left="139" w:right="124" w:firstLine="11"/>
              <w:rPr>
                <w:szCs w:val="21"/>
              </w:rPr>
            </w:pPr>
            <w:r>
              <w:rPr>
                <w:spacing w:val="-12"/>
                <w:szCs w:val="21"/>
              </w:rPr>
              <w:t>区</w:t>
            </w:r>
            <w:r>
              <w:rPr>
                <w:spacing w:val="-10"/>
                <w:szCs w:val="21"/>
              </w:rPr>
              <w:t>域</w:t>
            </w:r>
            <w:r>
              <w:rPr>
                <w:spacing w:val="-6"/>
                <w:szCs w:val="21"/>
              </w:rPr>
              <w:t>安</w:t>
            </w:r>
            <w:r>
              <w:rPr>
                <w:spacing w:val="-5"/>
                <w:szCs w:val="21"/>
              </w:rPr>
              <w:t>全</w:t>
            </w:r>
            <w:r>
              <w:rPr>
                <w:spacing w:val="-6"/>
                <w:szCs w:val="21"/>
              </w:rPr>
              <w:t>管</w:t>
            </w:r>
            <w:r>
              <w:rPr>
                <w:spacing w:val="-5"/>
                <w:szCs w:val="21"/>
              </w:rPr>
              <w:t>理</w:t>
            </w:r>
          </w:p>
        </w:tc>
        <w:tc>
          <w:tcPr>
            <w:tcW w:w="3404" w:type="dxa"/>
          </w:tcPr>
          <w:p w14:paraId="1942F639">
            <w:pPr>
              <w:spacing w:before="33" w:line="234" w:lineRule="auto"/>
              <w:ind w:left="109" w:right="106" w:firstLine="16"/>
              <w:rPr>
                <w:szCs w:val="21"/>
              </w:rPr>
            </w:pPr>
            <w:r>
              <w:rPr>
                <w:spacing w:val="1"/>
                <w:szCs w:val="21"/>
              </w:rPr>
              <w:t>园区安全生产管理机构应当配</w:t>
            </w:r>
            <w:r>
              <w:rPr>
                <w:szCs w:val="21"/>
              </w:rPr>
              <w:t>备满</w:t>
            </w:r>
            <w:r>
              <w:rPr>
                <w:spacing w:val="4"/>
                <w:szCs w:val="21"/>
              </w:rPr>
              <w:t>足</w:t>
            </w:r>
            <w:r>
              <w:rPr>
                <w:spacing w:val="2"/>
                <w:szCs w:val="21"/>
              </w:rPr>
              <w:t>园区安全管理需要的人员，其中要有一定数量的具有化工安全生产</w:t>
            </w:r>
            <w:r>
              <w:rPr>
                <w:spacing w:val="-1"/>
                <w:szCs w:val="21"/>
              </w:rPr>
              <w:t>实践经验的人</w:t>
            </w:r>
            <w:r>
              <w:rPr>
                <w:szCs w:val="21"/>
              </w:rPr>
              <w:t>员。</w:t>
            </w:r>
          </w:p>
        </w:tc>
        <w:tc>
          <w:tcPr>
            <w:tcW w:w="1840" w:type="dxa"/>
          </w:tcPr>
          <w:p w14:paraId="3782AF77">
            <w:pPr>
              <w:spacing w:before="170"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3A322378">
            <w:pPr>
              <w:spacing w:before="33" w:line="234" w:lineRule="auto"/>
              <w:ind w:left="112" w:right="103" w:firstLine="1"/>
              <w:rPr>
                <w:szCs w:val="21"/>
              </w:rPr>
            </w:pPr>
            <w:r>
              <w:rPr>
                <w:szCs w:val="21"/>
              </w:rPr>
              <w:t>经开区安全生产监督管理局 已配备了8名安全监管人员，其中6人具有化工专业或具有化工安全生产实践经验。</w:t>
            </w:r>
          </w:p>
        </w:tc>
        <w:tc>
          <w:tcPr>
            <w:tcW w:w="640" w:type="dxa"/>
          </w:tcPr>
          <w:p w14:paraId="4626F1E6">
            <w:pPr>
              <w:spacing w:line="411" w:lineRule="auto"/>
            </w:pPr>
          </w:p>
          <w:p w14:paraId="0FA9CEE8">
            <w:pPr>
              <w:spacing w:before="60" w:line="187" w:lineRule="auto"/>
              <w:ind w:left="217"/>
              <w:rPr>
                <w:rFonts w:eastAsia="Times New Roman"/>
                <w:szCs w:val="21"/>
              </w:rPr>
            </w:pPr>
            <w:r>
              <w:rPr>
                <w:rFonts w:eastAsia="Times New Roman"/>
                <w:spacing w:val="-5"/>
                <w:szCs w:val="21"/>
              </w:rPr>
              <w:t>9</w:t>
            </w:r>
            <w:r>
              <w:rPr>
                <w:rFonts w:eastAsia="Times New Roman"/>
                <w:spacing w:val="-3"/>
                <w:szCs w:val="21"/>
              </w:rPr>
              <w:t>0</w:t>
            </w:r>
          </w:p>
        </w:tc>
      </w:tr>
      <w:tr w14:paraId="7FB22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679" w:type="dxa"/>
            <w:vMerge w:val="continue"/>
          </w:tcPr>
          <w:p w14:paraId="1A6ACFBA"/>
        </w:tc>
        <w:tc>
          <w:tcPr>
            <w:tcW w:w="3404" w:type="dxa"/>
          </w:tcPr>
          <w:p w14:paraId="34CE767D">
            <w:pPr>
              <w:spacing w:before="31" w:line="232" w:lineRule="auto"/>
              <w:ind w:left="110" w:right="109" w:hanging="2"/>
              <w:rPr>
                <w:szCs w:val="21"/>
              </w:rPr>
            </w:pPr>
            <w:r>
              <w:rPr>
                <w:spacing w:val="2"/>
                <w:szCs w:val="21"/>
              </w:rPr>
              <w:t>科学评估园区安全风险，确定安全容量，实施总量控制，降低区域</w:t>
            </w:r>
            <w:r>
              <w:rPr>
                <w:szCs w:val="21"/>
              </w:rPr>
              <w:t xml:space="preserve">风 </w:t>
            </w:r>
            <w:r>
              <w:rPr>
                <w:spacing w:val="-3"/>
                <w:szCs w:val="21"/>
              </w:rPr>
              <w:t>险</w:t>
            </w:r>
            <w:r>
              <w:rPr>
                <w:spacing w:val="-2"/>
                <w:szCs w:val="21"/>
              </w:rPr>
              <w:t>，预防连锁事故发生。</w:t>
            </w:r>
          </w:p>
        </w:tc>
        <w:tc>
          <w:tcPr>
            <w:tcW w:w="1840" w:type="dxa"/>
          </w:tcPr>
          <w:p w14:paraId="1BF343B6">
            <w:pPr>
              <w:spacing w:before="31" w:line="232"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36E69006">
            <w:pPr>
              <w:spacing w:before="166" w:line="254" w:lineRule="auto"/>
              <w:ind w:left="110" w:right="103" w:firstLine="1"/>
              <w:rPr>
                <w:szCs w:val="21"/>
              </w:rPr>
            </w:pPr>
            <w:r>
              <w:rPr>
                <w:spacing w:val="-8"/>
                <w:szCs w:val="21"/>
              </w:rPr>
              <w:t>确定了安全总量，并</w:t>
            </w:r>
            <w:r>
              <w:rPr>
                <w:spacing w:val="-6"/>
                <w:szCs w:val="21"/>
              </w:rPr>
              <w:t>进</w:t>
            </w:r>
            <w:r>
              <w:rPr>
                <w:spacing w:val="-4"/>
                <w:szCs w:val="21"/>
              </w:rPr>
              <w:t>行</w:t>
            </w:r>
            <w:r>
              <w:rPr>
                <w:spacing w:val="-3"/>
                <w:szCs w:val="21"/>
              </w:rPr>
              <w:t>控制。</w:t>
            </w:r>
          </w:p>
        </w:tc>
        <w:tc>
          <w:tcPr>
            <w:tcW w:w="640" w:type="dxa"/>
          </w:tcPr>
          <w:p w14:paraId="3092C235">
            <w:pPr>
              <w:spacing w:line="273" w:lineRule="auto"/>
            </w:pPr>
          </w:p>
          <w:p w14:paraId="3A5157D1">
            <w:pPr>
              <w:spacing w:before="60" w:line="187" w:lineRule="auto"/>
              <w:ind w:left="221"/>
              <w:rPr>
                <w:rFonts w:eastAsia="Times New Roman"/>
                <w:szCs w:val="21"/>
              </w:rPr>
            </w:pPr>
            <w:r>
              <w:rPr>
                <w:rFonts w:eastAsia="Times New Roman"/>
                <w:spacing w:val="-3"/>
                <w:szCs w:val="21"/>
              </w:rPr>
              <w:t>80</w:t>
            </w:r>
          </w:p>
        </w:tc>
      </w:tr>
      <w:tr w14:paraId="0F94A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0" w:hRule="atLeast"/>
        </w:trPr>
        <w:tc>
          <w:tcPr>
            <w:tcW w:w="679" w:type="dxa"/>
            <w:vMerge w:val="continue"/>
          </w:tcPr>
          <w:p w14:paraId="2BEE7C04"/>
        </w:tc>
        <w:tc>
          <w:tcPr>
            <w:tcW w:w="3404" w:type="dxa"/>
          </w:tcPr>
          <w:p w14:paraId="5CD3AA33">
            <w:pPr>
              <w:spacing w:before="34" w:line="237" w:lineRule="auto"/>
              <w:ind w:left="108" w:right="31" w:firstLine="2"/>
              <w:rPr>
                <w:szCs w:val="21"/>
              </w:rPr>
            </w:pPr>
            <w:r>
              <w:rPr>
                <w:spacing w:val="2"/>
                <w:szCs w:val="21"/>
              </w:rPr>
              <w:t>持续深化隐患排查整治。园区安</w:t>
            </w:r>
            <w:r>
              <w:rPr>
                <w:szCs w:val="21"/>
              </w:rPr>
              <w:t xml:space="preserve">全 </w:t>
            </w:r>
            <w:r>
              <w:rPr>
                <w:spacing w:val="2"/>
                <w:szCs w:val="21"/>
              </w:rPr>
              <w:t>生产管理机构要督促企业把隐患排查治理作为安全生产风险管理要素的重要内容，建立健全全员参与的</w:t>
            </w:r>
            <w:r>
              <w:rPr>
                <w:spacing w:val="4"/>
                <w:szCs w:val="21"/>
              </w:rPr>
              <w:t>隐</w:t>
            </w:r>
            <w:r>
              <w:rPr>
                <w:spacing w:val="2"/>
                <w:szCs w:val="21"/>
              </w:rPr>
              <w:t>患排查治理工作制度，定期组织</w:t>
            </w:r>
            <w:r>
              <w:rPr>
                <w:spacing w:val="-12"/>
                <w:szCs w:val="21"/>
              </w:rPr>
              <w:t>开</w:t>
            </w:r>
            <w:r>
              <w:rPr>
                <w:spacing w:val="-6"/>
                <w:szCs w:val="21"/>
              </w:rPr>
              <w:t>展隐患排查治理，做到横向到边、</w:t>
            </w:r>
            <w:r>
              <w:rPr>
                <w:spacing w:val="2"/>
                <w:szCs w:val="21"/>
              </w:rPr>
              <w:t>纵向到底、全面覆盖，确保各类安全生产隐患能够及时发现</w:t>
            </w:r>
            <w:r>
              <w:rPr>
                <w:rFonts w:hint="eastAsia"/>
                <w:spacing w:val="2"/>
                <w:szCs w:val="21"/>
                <w:lang w:eastAsia="zh-CN"/>
              </w:rPr>
              <w:t>及</w:t>
            </w:r>
            <w:r>
              <w:rPr>
                <w:spacing w:val="2"/>
                <w:szCs w:val="21"/>
              </w:rPr>
              <w:t>时整改，防止隐患演变为事故。对不符</w:t>
            </w:r>
            <w:r>
              <w:rPr>
                <w:spacing w:val="-8"/>
                <w:szCs w:val="21"/>
              </w:rPr>
              <w:t>合安</w:t>
            </w:r>
            <w:r>
              <w:rPr>
                <w:spacing w:val="-7"/>
                <w:szCs w:val="21"/>
              </w:rPr>
              <w:t>全</w:t>
            </w:r>
            <w:r>
              <w:rPr>
                <w:spacing w:val="-4"/>
                <w:szCs w:val="21"/>
              </w:rPr>
              <w:t>生产要求， 隐患严重而且难</w:t>
            </w:r>
            <w:r>
              <w:rPr>
                <w:spacing w:val="2"/>
                <w:szCs w:val="21"/>
              </w:rPr>
              <w:t>以整改的企业，要及时淘汰退出园</w:t>
            </w:r>
            <w:r>
              <w:rPr>
                <w:spacing w:val="-10"/>
                <w:szCs w:val="21"/>
              </w:rPr>
              <w:t>区</w:t>
            </w:r>
            <w:r>
              <w:rPr>
                <w:spacing w:val="-9"/>
                <w:szCs w:val="21"/>
              </w:rPr>
              <w:t>。</w:t>
            </w:r>
          </w:p>
        </w:tc>
        <w:tc>
          <w:tcPr>
            <w:tcW w:w="1840" w:type="dxa"/>
          </w:tcPr>
          <w:p w14:paraId="10C4D95E">
            <w:pPr>
              <w:spacing w:line="294" w:lineRule="auto"/>
            </w:pPr>
          </w:p>
          <w:p w14:paraId="76C223F6">
            <w:pPr>
              <w:spacing w:line="295" w:lineRule="auto"/>
            </w:pPr>
          </w:p>
          <w:p w14:paraId="31A91AF8">
            <w:pPr>
              <w:spacing w:line="295" w:lineRule="auto"/>
            </w:pPr>
          </w:p>
          <w:p w14:paraId="4BA733B2">
            <w:pPr>
              <w:spacing w:line="295" w:lineRule="auto"/>
            </w:pPr>
          </w:p>
          <w:p w14:paraId="242AF634">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7D6BFDCF">
            <w:pPr>
              <w:spacing w:line="260" w:lineRule="auto"/>
            </w:pPr>
          </w:p>
          <w:p w14:paraId="6F439F7C">
            <w:pPr>
              <w:spacing w:line="261" w:lineRule="auto"/>
            </w:pPr>
          </w:p>
          <w:p w14:paraId="0FA08222">
            <w:pPr>
              <w:spacing w:line="261" w:lineRule="auto"/>
            </w:pPr>
          </w:p>
          <w:p w14:paraId="45CFC9AB">
            <w:pPr>
              <w:spacing w:line="261" w:lineRule="auto"/>
            </w:pPr>
          </w:p>
          <w:p w14:paraId="56472EFF">
            <w:pPr>
              <w:spacing w:before="68" w:line="247" w:lineRule="auto"/>
              <w:ind w:left="112" w:right="103" w:firstLine="1"/>
              <w:rPr>
                <w:szCs w:val="21"/>
              </w:rPr>
            </w:pPr>
            <w:r>
              <w:rPr>
                <w:spacing w:val="9"/>
                <w:szCs w:val="21"/>
              </w:rPr>
              <w:t>经</w:t>
            </w:r>
            <w:r>
              <w:rPr>
                <w:spacing w:val="8"/>
                <w:szCs w:val="21"/>
              </w:rPr>
              <w:t>开区安全生产监督管理局</w:t>
            </w:r>
            <w:r>
              <w:rPr>
                <w:spacing w:val="-12"/>
                <w:szCs w:val="21"/>
              </w:rPr>
              <w:t>要</w:t>
            </w:r>
            <w:r>
              <w:rPr>
                <w:spacing w:val="-8"/>
                <w:szCs w:val="21"/>
              </w:rPr>
              <w:t>求企业定期做隐患排除，并</w:t>
            </w:r>
            <w:r>
              <w:rPr>
                <w:spacing w:val="11"/>
                <w:szCs w:val="21"/>
              </w:rPr>
              <w:t>不</w:t>
            </w:r>
            <w:r>
              <w:rPr>
                <w:spacing w:val="8"/>
                <w:szCs w:val="21"/>
              </w:rPr>
              <w:t>定期委托危化方面的专家</w:t>
            </w:r>
            <w:r>
              <w:rPr>
                <w:spacing w:val="-1"/>
                <w:szCs w:val="21"/>
              </w:rPr>
              <w:t>赴企业进行</w:t>
            </w:r>
            <w:r>
              <w:rPr>
                <w:szCs w:val="21"/>
              </w:rPr>
              <w:t>隐患排查。</w:t>
            </w:r>
          </w:p>
        </w:tc>
        <w:tc>
          <w:tcPr>
            <w:tcW w:w="640" w:type="dxa"/>
          </w:tcPr>
          <w:p w14:paraId="375E626C">
            <w:pPr>
              <w:spacing w:line="248" w:lineRule="auto"/>
            </w:pPr>
          </w:p>
          <w:p w14:paraId="4AF7F3C0">
            <w:pPr>
              <w:spacing w:line="248" w:lineRule="auto"/>
            </w:pPr>
          </w:p>
          <w:p w14:paraId="3F7FFCD7">
            <w:pPr>
              <w:spacing w:line="248" w:lineRule="auto"/>
            </w:pPr>
          </w:p>
          <w:p w14:paraId="105791A6">
            <w:pPr>
              <w:spacing w:line="248" w:lineRule="auto"/>
            </w:pPr>
          </w:p>
          <w:p w14:paraId="08FB5B84">
            <w:pPr>
              <w:spacing w:line="248" w:lineRule="auto"/>
            </w:pPr>
          </w:p>
          <w:p w14:paraId="674DF9D4">
            <w:pPr>
              <w:spacing w:line="249" w:lineRule="auto"/>
            </w:pPr>
          </w:p>
          <w:p w14:paraId="0B3723A7">
            <w:pPr>
              <w:spacing w:before="60" w:line="187" w:lineRule="auto"/>
              <w:ind w:left="221"/>
              <w:rPr>
                <w:rFonts w:eastAsia="Times New Roman"/>
                <w:szCs w:val="21"/>
              </w:rPr>
            </w:pPr>
            <w:r>
              <w:rPr>
                <w:rFonts w:eastAsia="Times New Roman"/>
                <w:spacing w:val="-6"/>
                <w:szCs w:val="21"/>
              </w:rPr>
              <w:t>80</w:t>
            </w:r>
          </w:p>
        </w:tc>
      </w:tr>
      <w:tr w14:paraId="6028C2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679" w:type="dxa"/>
            <w:vMerge w:val="continue"/>
          </w:tcPr>
          <w:p w14:paraId="6FC7E859"/>
        </w:tc>
        <w:tc>
          <w:tcPr>
            <w:tcW w:w="3404" w:type="dxa"/>
          </w:tcPr>
          <w:p w14:paraId="3F1C7BD7">
            <w:pPr>
              <w:spacing w:before="30" w:line="237" w:lineRule="auto"/>
              <w:ind w:left="108" w:right="30"/>
              <w:rPr>
                <w:szCs w:val="21"/>
              </w:rPr>
            </w:pPr>
            <w:r>
              <w:rPr>
                <w:spacing w:val="3"/>
                <w:szCs w:val="21"/>
              </w:rPr>
              <w:t>切</w:t>
            </w:r>
            <w:r>
              <w:rPr>
                <w:spacing w:val="2"/>
                <w:szCs w:val="21"/>
              </w:rPr>
              <w:t>实加强园区承包商管理。园区安</w:t>
            </w:r>
            <w:r>
              <w:rPr>
                <w:spacing w:val="3"/>
                <w:szCs w:val="21"/>
              </w:rPr>
              <w:t>全</w:t>
            </w:r>
            <w:r>
              <w:rPr>
                <w:spacing w:val="2"/>
                <w:szCs w:val="21"/>
              </w:rPr>
              <w:t>生产管理机构要建立完善承包商</w:t>
            </w:r>
            <w:r>
              <w:rPr>
                <w:spacing w:val="-8"/>
                <w:szCs w:val="21"/>
              </w:rPr>
              <w:t>管理</w:t>
            </w:r>
            <w:r>
              <w:rPr>
                <w:spacing w:val="-6"/>
                <w:szCs w:val="21"/>
              </w:rPr>
              <w:t>制</w:t>
            </w:r>
            <w:r>
              <w:rPr>
                <w:spacing w:val="-4"/>
                <w:szCs w:val="21"/>
              </w:rPr>
              <w:t>度，对进入园区施工、检维</w:t>
            </w:r>
            <w:r>
              <w:rPr>
                <w:spacing w:val="3"/>
                <w:szCs w:val="21"/>
              </w:rPr>
              <w:t>修</w:t>
            </w:r>
            <w:r>
              <w:rPr>
                <w:spacing w:val="2"/>
                <w:szCs w:val="21"/>
              </w:rPr>
              <w:t>及提供专业技术服务等作业的承</w:t>
            </w:r>
            <w:r>
              <w:rPr>
                <w:spacing w:val="3"/>
                <w:szCs w:val="21"/>
              </w:rPr>
              <w:t>包</w:t>
            </w:r>
            <w:r>
              <w:rPr>
                <w:spacing w:val="2"/>
                <w:szCs w:val="21"/>
              </w:rPr>
              <w:t>商进行登记，建立相关档案、台</w:t>
            </w:r>
            <w:r>
              <w:rPr>
                <w:spacing w:val="3"/>
                <w:szCs w:val="21"/>
              </w:rPr>
              <w:t>账</w:t>
            </w:r>
            <w:r>
              <w:rPr>
                <w:spacing w:val="2"/>
                <w:szCs w:val="21"/>
              </w:rPr>
              <w:t>，并加强监督检查，制定各项安</w:t>
            </w:r>
            <w:r>
              <w:rPr>
                <w:spacing w:val="3"/>
                <w:szCs w:val="21"/>
              </w:rPr>
              <w:t>全</w:t>
            </w:r>
            <w:r>
              <w:rPr>
                <w:spacing w:val="2"/>
                <w:szCs w:val="21"/>
              </w:rPr>
              <w:t>防范措施。要督促企业切实加强</w:t>
            </w:r>
            <w:r>
              <w:rPr>
                <w:spacing w:val="3"/>
                <w:szCs w:val="21"/>
              </w:rPr>
              <w:t>对</w:t>
            </w:r>
            <w:r>
              <w:rPr>
                <w:spacing w:val="2"/>
                <w:szCs w:val="21"/>
              </w:rPr>
              <w:t>企业内部承包商作业的现场安全</w:t>
            </w:r>
            <w:r>
              <w:rPr>
                <w:spacing w:val="-13"/>
                <w:szCs w:val="21"/>
              </w:rPr>
              <w:t>管</w:t>
            </w:r>
            <w:r>
              <w:rPr>
                <w:spacing w:val="-12"/>
                <w:szCs w:val="21"/>
              </w:rPr>
              <w:t>理，落实危险性作业的安全措施。</w:t>
            </w:r>
          </w:p>
        </w:tc>
        <w:tc>
          <w:tcPr>
            <w:tcW w:w="1840" w:type="dxa"/>
          </w:tcPr>
          <w:p w14:paraId="1E9417E8">
            <w:pPr>
              <w:spacing w:line="259" w:lineRule="auto"/>
            </w:pPr>
          </w:p>
          <w:p w14:paraId="7B6A157D">
            <w:pPr>
              <w:spacing w:line="259" w:lineRule="auto"/>
            </w:pPr>
          </w:p>
          <w:p w14:paraId="3A5C9E79">
            <w:pPr>
              <w:spacing w:line="260" w:lineRule="auto"/>
            </w:pPr>
          </w:p>
          <w:p w14:paraId="64C3F8B2">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78790F63">
            <w:pPr>
              <w:spacing w:line="372" w:lineRule="auto"/>
            </w:pPr>
          </w:p>
          <w:p w14:paraId="640ED5A8">
            <w:pPr>
              <w:spacing w:before="69" w:line="244" w:lineRule="auto"/>
              <w:ind w:left="108" w:right="30" w:firstLine="4"/>
              <w:rPr>
                <w:szCs w:val="21"/>
              </w:rPr>
            </w:pPr>
            <w:r>
              <w:rPr>
                <w:spacing w:val="13"/>
                <w:szCs w:val="21"/>
              </w:rPr>
              <w:t>化工园区</w:t>
            </w:r>
            <w:r>
              <w:rPr>
                <w:spacing w:val="8"/>
                <w:szCs w:val="21"/>
              </w:rPr>
              <w:t>已督促各企业加</w:t>
            </w:r>
            <w:r>
              <w:rPr>
                <w:spacing w:val="14"/>
                <w:szCs w:val="21"/>
              </w:rPr>
              <w:t>强</w:t>
            </w:r>
            <w:r>
              <w:rPr>
                <w:spacing w:val="8"/>
                <w:szCs w:val="21"/>
              </w:rPr>
              <w:t>对企业内部承包商作业的</w:t>
            </w:r>
            <w:r>
              <w:rPr>
                <w:spacing w:val="-8"/>
                <w:szCs w:val="21"/>
              </w:rPr>
              <w:t>现场安全管理，督促企业制定承包商管理制度，化工园区</w:t>
            </w:r>
            <w:r>
              <w:rPr>
                <w:rFonts w:eastAsia="Times New Roman"/>
                <w:spacing w:val="-14"/>
                <w:szCs w:val="21"/>
              </w:rPr>
              <w:t>20</w:t>
            </w:r>
            <w:r>
              <w:rPr>
                <w:rFonts w:eastAsia="Times New Roman"/>
                <w:spacing w:val="-9"/>
                <w:szCs w:val="21"/>
              </w:rPr>
              <w:t>2</w:t>
            </w:r>
            <w:r>
              <w:rPr>
                <w:rFonts w:eastAsia="Times New Roman"/>
                <w:spacing w:val="-7"/>
                <w:szCs w:val="21"/>
              </w:rPr>
              <w:t>0</w:t>
            </w:r>
            <w:r>
              <w:rPr>
                <w:spacing w:val="-7"/>
                <w:szCs w:val="21"/>
              </w:rPr>
              <w:t>年</w:t>
            </w:r>
            <w:r>
              <w:rPr>
                <w:rFonts w:eastAsia="Times New Roman"/>
                <w:spacing w:val="-7"/>
                <w:szCs w:val="21"/>
              </w:rPr>
              <w:t>4</w:t>
            </w:r>
            <w:r>
              <w:rPr>
                <w:spacing w:val="-7"/>
                <w:szCs w:val="21"/>
              </w:rPr>
              <w:t>月</w:t>
            </w:r>
            <w:r>
              <w:rPr>
                <w:rFonts w:eastAsia="Times New Roman"/>
                <w:spacing w:val="-7"/>
                <w:szCs w:val="21"/>
              </w:rPr>
              <w:t>29</w:t>
            </w:r>
            <w:r>
              <w:rPr>
                <w:spacing w:val="-7"/>
                <w:szCs w:val="21"/>
              </w:rPr>
              <w:t>日发文发布了</w:t>
            </w:r>
            <w:r>
              <w:rPr>
                <w:spacing w:val="-4"/>
                <w:szCs w:val="21"/>
              </w:rPr>
              <w:t>承包</w:t>
            </w:r>
            <w:r>
              <w:rPr>
                <w:spacing w:val="-3"/>
                <w:szCs w:val="21"/>
              </w:rPr>
              <w:t>商</w:t>
            </w:r>
            <w:r>
              <w:rPr>
                <w:spacing w:val="-2"/>
                <w:szCs w:val="21"/>
              </w:rPr>
              <w:t>准入和退出管理办法。</w:t>
            </w:r>
          </w:p>
        </w:tc>
        <w:tc>
          <w:tcPr>
            <w:tcW w:w="640" w:type="dxa"/>
          </w:tcPr>
          <w:p w14:paraId="4D421B88">
            <w:pPr>
              <w:spacing w:line="272" w:lineRule="auto"/>
            </w:pPr>
          </w:p>
          <w:p w14:paraId="75BA1DA5">
            <w:pPr>
              <w:spacing w:line="272" w:lineRule="auto"/>
            </w:pPr>
          </w:p>
          <w:p w14:paraId="6E444EE7">
            <w:pPr>
              <w:spacing w:line="272" w:lineRule="auto"/>
            </w:pPr>
          </w:p>
          <w:p w14:paraId="6651D11C">
            <w:pPr>
              <w:spacing w:line="272" w:lineRule="auto"/>
            </w:pPr>
          </w:p>
          <w:p w14:paraId="2432A2F5">
            <w:pPr>
              <w:spacing w:before="60" w:line="187" w:lineRule="auto"/>
              <w:ind w:left="217"/>
              <w:rPr>
                <w:rFonts w:eastAsia="Times New Roman"/>
                <w:szCs w:val="21"/>
              </w:rPr>
            </w:pPr>
            <w:r>
              <w:rPr>
                <w:rFonts w:eastAsia="Times New Roman"/>
                <w:spacing w:val="-2"/>
                <w:szCs w:val="21"/>
              </w:rPr>
              <w:t>90</w:t>
            </w:r>
          </w:p>
        </w:tc>
      </w:tr>
      <w:tr w14:paraId="36BAE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78" w:hRule="atLeast"/>
        </w:trPr>
        <w:tc>
          <w:tcPr>
            <w:tcW w:w="679" w:type="dxa"/>
            <w:vMerge w:val="continue"/>
          </w:tcPr>
          <w:p w14:paraId="271E5FD7"/>
        </w:tc>
        <w:tc>
          <w:tcPr>
            <w:tcW w:w="3404" w:type="dxa"/>
          </w:tcPr>
          <w:p w14:paraId="4374D13D">
            <w:pPr>
              <w:spacing w:before="34" w:line="238" w:lineRule="auto"/>
              <w:ind w:left="107" w:right="31" w:firstLine="1"/>
              <w:rPr>
                <w:szCs w:val="21"/>
              </w:rPr>
            </w:pPr>
            <w:r>
              <w:rPr>
                <w:spacing w:val="-6"/>
                <w:szCs w:val="21"/>
              </w:rPr>
              <w:t>推进园</w:t>
            </w:r>
            <w:r>
              <w:rPr>
                <w:spacing w:val="-5"/>
                <w:szCs w:val="21"/>
              </w:rPr>
              <w:t>区</w:t>
            </w:r>
            <w:r>
              <w:rPr>
                <w:spacing w:val="-3"/>
                <w:szCs w:val="21"/>
              </w:rPr>
              <w:t>封闭化管理。要按照</w:t>
            </w:r>
            <w:r>
              <w:rPr>
                <w:rFonts w:eastAsia="Times New Roman"/>
                <w:spacing w:val="-3"/>
                <w:szCs w:val="21"/>
              </w:rPr>
              <w:t>“</w:t>
            </w:r>
            <w:r>
              <w:rPr>
                <w:spacing w:val="-3"/>
                <w:szCs w:val="21"/>
              </w:rPr>
              <w:t>分类</w:t>
            </w:r>
            <w:r>
              <w:rPr>
                <w:spacing w:val="-17"/>
                <w:szCs w:val="21"/>
              </w:rPr>
              <w:t>控</w:t>
            </w:r>
            <w:r>
              <w:rPr>
                <w:spacing w:val="-11"/>
                <w:szCs w:val="21"/>
              </w:rPr>
              <w:t>制、分级管理、分步实施</w:t>
            </w:r>
            <w:r>
              <w:rPr>
                <w:rFonts w:eastAsia="Times New Roman"/>
                <w:spacing w:val="-11"/>
                <w:szCs w:val="21"/>
              </w:rPr>
              <w:t>”</w:t>
            </w:r>
            <w:r>
              <w:rPr>
                <w:spacing w:val="-11"/>
                <w:szCs w:val="21"/>
              </w:rPr>
              <w:t>的要求，</w:t>
            </w:r>
            <w:r>
              <w:rPr>
                <w:spacing w:val="1"/>
                <w:szCs w:val="21"/>
              </w:rPr>
              <w:t>结</w:t>
            </w:r>
            <w:r>
              <w:rPr>
                <w:szCs w:val="21"/>
              </w:rPr>
              <w:t>合园区产业结构、产业链特点、</w:t>
            </w:r>
            <w:r>
              <w:rPr>
                <w:spacing w:val="-8"/>
                <w:szCs w:val="21"/>
              </w:rPr>
              <w:t>安全</w:t>
            </w:r>
            <w:r>
              <w:rPr>
                <w:spacing w:val="-5"/>
                <w:szCs w:val="21"/>
              </w:rPr>
              <w:t>风</w:t>
            </w:r>
            <w:r>
              <w:rPr>
                <w:spacing w:val="-4"/>
                <w:szCs w:val="21"/>
              </w:rPr>
              <w:t>险类型等实际情况，逐步推</w:t>
            </w:r>
            <w:r>
              <w:rPr>
                <w:spacing w:val="4"/>
                <w:szCs w:val="21"/>
              </w:rPr>
              <w:t>进</w:t>
            </w:r>
            <w:r>
              <w:rPr>
                <w:spacing w:val="2"/>
                <w:szCs w:val="21"/>
              </w:rPr>
              <w:t>园区封闭化管理。原则上要按照</w:t>
            </w:r>
            <w:r>
              <w:rPr>
                <w:spacing w:val="4"/>
                <w:szCs w:val="21"/>
              </w:rPr>
              <w:t>核心</w:t>
            </w:r>
            <w:r>
              <w:rPr>
                <w:spacing w:val="3"/>
                <w:szCs w:val="21"/>
              </w:rPr>
              <w:t>控</w:t>
            </w:r>
            <w:r>
              <w:rPr>
                <w:spacing w:val="2"/>
                <w:szCs w:val="21"/>
              </w:rPr>
              <w:t>制区、关键控制区、一般控</w:t>
            </w:r>
            <w:r>
              <w:rPr>
                <w:spacing w:val="-8"/>
                <w:szCs w:val="21"/>
              </w:rPr>
              <w:t>制区</w:t>
            </w:r>
            <w:r>
              <w:rPr>
                <w:spacing w:val="-5"/>
                <w:szCs w:val="21"/>
              </w:rPr>
              <w:t>的</w:t>
            </w:r>
            <w:r>
              <w:rPr>
                <w:spacing w:val="-4"/>
                <w:szCs w:val="21"/>
              </w:rPr>
              <w:t>防护等级，通过采取不同的</w:t>
            </w:r>
            <w:r>
              <w:rPr>
                <w:spacing w:val="4"/>
                <w:szCs w:val="21"/>
              </w:rPr>
              <w:t>封</w:t>
            </w:r>
            <w:r>
              <w:rPr>
                <w:spacing w:val="2"/>
                <w:szCs w:val="21"/>
              </w:rPr>
              <w:t>闭监控管理手段，实行封闭化管</w:t>
            </w:r>
            <w:r>
              <w:rPr>
                <w:spacing w:val="4"/>
                <w:szCs w:val="21"/>
              </w:rPr>
              <w:t>理</w:t>
            </w:r>
            <w:r>
              <w:rPr>
                <w:spacing w:val="2"/>
                <w:szCs w:val="21"/>
              </w:rPr>
              <w:t>。要建立完善的园区门禁系统和</w:t>
            </w:r>
            <w:r>
              <w:rPr>
                <w:spacing w:val="4"/>
                <w:szCs w:val="21"/>
              </w:rPr>
              <w:t>视</w:t>
            </w:r>
            <w:r>
              <w:rPr>
                <w:spacing w:val="2"/>
                <w:szCs w:val="21"/>
              </w:rPr>
              <w:t>频监控系统，严格控制人员、危</w:t>
            </w:r>
            <w:r>
              <w:rPr>
                <w:spacing w:val="4"/>
                <w:szCs w:val="21"/>
              </w:rPr>
              <w:t>险</w:t>
            </w:r>
            <w:r>
              <w:rPr>
                <w:spacing w:val="2"/>
                <w:szCs w:val="21"/>
              </w:rPr>
              <w:t>化学品车辆进入园区。进出园区</w:t>
            </w:r>
            <w:r>
              <w:rPr>
                <w:spacing w:val="4"/>
                <w:szCs w:val="21"/>
              </w:rPr>
              <w:t>的</w:t>
            </w:r>
            <w:r>
              <w:rPr>
                <w:spacing w:val="2"/>
                <w:szCs w:val="21"/>
              </w:rPr>
              <w:t>危险化学品车辆都要安装带有定</w:t>
            </w:r>
            <w:r>
              <w:rPr>
                <w:spacing w:val="-10"/>
                <w:szCs w:val="21"/>
              </w:rPr>
              <w:t>位</w:t>
            </w:r>
            <w:r>
              <w:rPr>
                <w:spacing w:val="-6"/>
                <w:szCs w:val="21"/>
              </w:rPr>
              <w:t>功能的监控终端，实行专用道路、</w:t>
            </w:r>
            <w:r>
              <w:rPr>
                <w:spacing w:val="4"/>
                <w:szCs w:val="21"/>
              </w:rPr>
              <w:t>专</w:t>
            </w:r>
            <w:r>
              <w:rPr>
                <w:spacing w:val="2"/>
                <w:szCs w:val="21"/>
              </w:rPr>
              <w:t>用车道和限时限速行驶措施，由</w:t>
            </w:r>
            <w:r>
              <w:rPr>
                <w:spacing w:val="4"/>
                <w:szCs w:val="21"/>
              </w:rPr>
              <w:t>园</w:t>
            </w:r>
            <w:r>
              <w:rPr>
                <w:spacing w:val="2"/>
                <w:szCs w:val="21"/>
              </w:rPr>
              <w:t>区安全生产管理机构实施统一监</w:t>
            </w:r>
            <w:r>
              <w:rPr>
                <w:spacing w:val="4"/>
                <w:szCs w:val="21"/>
              </w:rPr>
              <w:t>控</w:t>
            </w:r>
            <w:r>
              <w:rPr>
                <w:spacing w:val="2"/>
                <w:szCs w:val="21"/>
              </w:rPr>
              <w:t>管理。对暂时无法进行封闭化管</w:t>
            </w:r>
            <w:r>
              <w:rPr>
                <w:spacing w:val="-8"/>
                <w:szCs w:val="21"/>
              </w:rPr>
              <w:t>理的</w:t>
            </w:r>
            <w:r>
              <w:rPr>
                <w:spacing w:val="-5"/>
                <w:szCs w:val="21"/>
              </w:rPr>
              <w:t>园</w:t>
            </w:r>
            <w:r>
              <w:rPr>
                <w:spacing w:val="-4"/>
                <w:szCs w:val="21"/>
              </w:rPr>
              <w:t>区，要首先对重大危险源和</w:t>
            </w:r>
            <w:r>
              <w:rPr>
                <w:spacing w:val="4"/>
                <w:szCs w:val="21"/>
              </w:rPr>
              <w:t>关</w:t>
            </w:r>
            <w:r>
              <w:rPr>
                <w:spacing w:val="2"/>
                <w:szCs w:val="21"/>
              </w:rPr>
              <w:t>键生产区域进行封闭化管理，加</w:t>
            </w:r>
            <w:r>
              <w:rPr>
                <w:spacing w:val="-1"/>
                <w:szCs w:val="21"/>
              </w:rPr>
              <w:t>强安全</w:t>
            </w:r>
            <w:r>
              <w:rPr>
                <w:szCs w:val="21"/>
              </w:rPr>
              <w:t>防控。</w:t>
            </w:r>
          </w:p>
        </w:tc>
        <w:tc>
          <w:tcPr>
            <w:tcW w:w="1840" w:type="dxa"/>
          </w:tcPr>
          <w:p w14:paraId="5D931861">
            <w:pPr>
              <w:spacing w:line="266" w:lineRule="auto"/>
            </w:pPr>
          </w:p>
          <w:p w14:paraId="0B290DF4">
            <w:pPr>
              <w:spacing w:line="266" w:lineRule="auto"/>
            </w:pPr>
          </w:p>
          <w:p w14:paraId="7AEBD097">
            <w:pPr>
              <w:spacing w:line="266" w:lineRule="auto"/>
            </w:pPr>
          </w:p>
          <w:p w14:paraId="7D697300">
            <w:pPr>
              <w:spacing w:line="266" w:lineRule="auto"/>
            </w:pPr>
          </w:p>
          <w:p w14:paraId="121EED9B">
            <w:pPr>
              <w:spacing w:line="266" w:lineRule="auto"/>
            </w:pPr>
          </w:p>
          <w:p w14:paraId="4684014D">
            <w:pPr>
              <w:spacing w:line="267" w:lineRule="auto"/>
            </w:pPr>
          </w:p>
          <w:p w14:paraId="73CDB5EF">
            <w:pPr>
              <w:spacing w:line="267" w:lineRule="auto"/>
            </w:pPr>
          </w:p>
          <w:p w14:paraId="32BFA565">
            <w:pPr>
              <w:spacing w:line="267" w:lineRule="auto"/>
            </w:pPr>
          </w:p>
          <w:p w14:paraId="1A1CE296">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3E688106">
            <w:pPr>
              <w:spacing w:line="264" w:lineRule="auto"/>
            </w:pPr>
          </w:p>
          <w:p w14:paraId="0A3FDA07">
            <w:pPr>
              <w:spacing w:line="265" w:lineRule="auto"/>
            </w:pPr>
          </w:p>
          <w:p w14:paraId="1D2D2116">
            <w:pPr>
              <w:spacing w:line="265" w:lineRule="auto"/>
            </w:pPr>
          </w:p>
          <w:p w14:paraId="1331D9A7">
            <w:pPr>
              <w:spacing w:line="265" w:lineRule="auto"/>
            </w:pPr>
          </w:p>
          <w:p w14:paraId="2E71B770">
            <w:pPr>
              <w:spacing w:line="265" w:lineRule="auto"/>
            </w:pPr>
          </w:p>
          <w:p w14:paraId="0E97214E">
            <w:pPr>
              <w:spacing w:line="265" w:lineRule="auto"/>
            </w:pPr>
          </w:p>
          <w:p w14:paraId="3DB70B87">
            <w:pPr>
              <w:spacing w:before="68" w:line="244" w:lineRule="auto"/>
              <w:ind w:left="111" w:right="31" w:firstLine="1"/>
              <w:rPr>
                <w:szCs w:val="21"/>
              </w:rPr>
            </w:pPr>
            <w:r>
              <w:rPr>
                <w:spacing w:val="-4"/>
                <w:szCs w:val="21"/>
              </w:rPr>
              <w:t>化工园区规划封闭管理</w:t>
            </w:r>
            <w:r>
              <w:rPr>
                <w:spacing w:val="-8"/>
                <w:szCs w:val="21"/>
              </w:rPr>
              <w:t>，建立了信息平台</w:t>
            </w:r>
          </w:p>
        </w:tc>
        <w:tc>
          <w:tcPr>
            <w:tcW w:w="640" w:type="dxa"/>
          </w:tcPr>
          <w:p w14:paraId="5CFF7FE3">
            <w:pPr>
              <w:spacing w:line="244" w:lineRule="auto"/>
            </w:pPr>
          </w:p>
          <w:p w14:paraId="06A0850B">
            <w:pPr>
              <w:spacing w:line="244" w:lineRule="auto"/>
            </w:pPr>
          </w:p>
          <w:p w14:paraId="21A1C2B9">
            <w:pPr>
              <w:spacing w:line="244" w:lineRule="auto"/>
            </w:pPr>
          </w:p>
          <w:p w14:paraId="3AD5A14D">
            <w:pPr>
              <w:spacing w:line="244" w:lineRule="auto"/>
            </w:pPr>
          </w:p>
          <w:p w14:paraId="010C62E8">
            <w:pPr>
              <w:spacing w:line="244" w:lineRule="auto"/>
            </w:pPr>
          </w:p>
          <w:p w14:paraId="69CD56B7">
            <w:pPr>
              <w:spacing w:line="244" w:lineRule="auto"/>
            </w:pPr>
          </w:p>
          <w:p w14:paraId="229A127F">
            <w:pPr>
              <w:spacing w:line="244" w:lineRule="auto"/>
            </w:pPr>
          </w:p>
          <w:p w14:paraId="4B29B154">
            <w:pPr>
              <w:spacing w:line="244" w:lineRule="auto"/>
            </w:pPr>
          </w:p>
          <w:p w14:paraId="6B102B81">
            <w:pPr>
              <w:spacing w:line="244" w:lineRule="auto"/>
            </w:pPr>
          </w:p>
          <w:p w14:paraId="00971FF6">
            <w:pPr>
              <w:spacing w:line="245" w:lineRule="auto"/>
            </w:pPr>
          </w:p>
          <w:p w14:paraId="3EDBAED1">
            <w:pPr>
              <w:spacing w:before="60" w:line="187" w:lineRule="auto"/>
              <w:ind w:left="269"/>
              <w:rPr>
                <w:szCs w:val="21"/>
              </w:rPr>
            </w:pPr>
            <w:r>
              <w:rPr>
                <w:szCs w:val="21"/>
              </w:rPr>
              <w:t>90</w:t>
            </w:r>
          </w:p>
        </w:tc>
      </w:tr>
      <w:tr w14:paraId="7B9B56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3" w:hRule="atLeast"/>
        </w:trPr>
        <w:tc>
          <w:tcPr>
            <w:tcW w:w="679" w:type="dxa"/>
          </w:tcPr>
          <w:p w14:paraId="29810224">
            <w:pPr>
              <w:spacing w:line="372" w:lineRule="auto"/>
            </w:pPr>
          </w:p>
          <w:p w14:paraId="0697910C">
            <w:pPr>
              <w:spacing w:before="68" w:line="249" w:lineRule="auto"/>
              <w:ind w:left="135" w:right="124" w:firstLine="15"/>
              <w:rPr>
                <w:szCs w:val="21"/>
              </w:rPr>
            </w:pPr>
            <w:r>
              <w:rPr>
                <w:spacing w:val="-12"/>
                <w:szCs w:val="21"/>
              </w:rPr>
              <w:t>区</w:t>
            </w:r>
            <w:r>
              <w:rPr>
                <w:spacing w:val="-10"/>
                <w:szCs w:val="21"/>
              </w:rPr>
              <w:t>域</w:t>
            </w:r>
            <w:r>
              <w:rPr>
                <w:spacing w:val="-3"/>
                <w:szCs w:val="21"/>
              </w:rPr>
              <w:t>经济状况</w:t>
            </w:r>
          </w:p>
        </w:tc>
        <w:tc>
          <w:tcPr>
            <w:tcW w:w="3404" w:type="dxa"/>
          </w:tcPr>
          <w:p w14:paraId="3F36DA35">
            <w:pPr>
              <w:spacing w:before="32" w:line="236" w:lineRule="auto"/>
              <w:ind w:left="108" w:right="109" w:firstLine="3"/>
              <w:rPr>
                <w:szCs w:val="21"/>
              </w:rPr>
            </w:pPr>
            <w:r>
              <w:rPr>
                <w:spacing w:val="2"/>
                <w:szCs w:val="21"/>
              </w:rPr>
              <w:t>各地区要加强园区安全生产规范</w:t>
            </w:r>
            <w:r>
              <w:rPr>
                <w:szCs w:val="21"/>
              </w:rPr>
              <w:t xml:space="preserve">化 </w:t>
            </w:r>
            <w:r>
              <w:rPr>
                <w:spacing w:val="3"/>
                <w:szCs w:val="21"/>
              </w:rPr>
              <w:t>建</w:t>
            </w:r>
            <w:r>
              <w:rPr>
                <w:spacing w:val="2"/>
                <w:szCs w:val="21"/>
              </w:rPr>
              <w:t>设和安全生产管理机构建设，从政策、资金等方面给予大力支持</w:t>
            </w:r>
            <w:r>
              <w:rPr>
                <w:szCs w:val="21"/>
              </w:rPr>
              <w:t>，</w:t>
            </w:r>
            <w:r>
              <w:rPr>
                <w:spacing w:val="3"/>
                <w:szCs w:val="21"/>
              </w:rPr>
              <w:t>以</w:t>
            </w:r>
            <w:r>
              <w:rPr>
                <w:spacing w:val="2"/>
                <w:szCs w:val="21"/>
              </w:rPr>
              <w:t>专业人员充实基层监管力量，加</w:t>
            </w:r>
            <w:r>
              <w:rPr>
                <w:spacing w:val="3"/>
                <w:szCs w:val="21"/>
              </w:rPr>
              <w:t>强</w:t>
            </w:r>
            <w:r>
              <w:rPr>
                <w:spacing w:val="2"/>
                <w:szCs w:val="21"/>
              </w:rPr>
              <w:t>技术装备和资金投入、创新安全</w:t>
            </w:r>
            <w:r>
              <w:rPr>
                <w:spacing w:val="3"/>
                <w:szCs w:val="21"/>
              </w:rPr>
              <w:t>监</w:t>
            </w:r>
            <w:r>
              <w:rPr>
                <w:spacing w:val="2"/>
                <w:szCs w:val="21"/>
              </w:rPr>
              <w:t>管工作机制，加强业务培训，提</w:t>
            </w:r>
            <w:r>
              <w:rPr>
                <w:spacing w:val="-1"/>
                <w:szCs w:val="21"/>
              </w:rPr>
              <w:t>高园区安全生产及应</w:t>
            </w:r>
            <w:r>
              <w:rPr>
                <w:szCs w:val="21"/>
              </w:rPr>
              <w:t>急保障能力</w:t>
            </w:r>
          </w:p>
        </w:tc>
        <w:tc>
          <w:tcPr>
            <w:tcW w:w="1840" w:type="dxa"/>
          </w:tcPr>
          <w:p w14:paraId="62FA998D">
            <w:pPr>
              <w:spacing w:line="372" w:lineRule="auto"/>
            </w:pPr>
          </w:p>
          <w:p w14:paraId="4AC3E3DB">
            <w:pPr>
              <w:spacing w:before="68" w:line="249" w:lineRule="auto"/>
              <w:ind w:left="115" w:right="58" w:firstLine="74"/>
              <w:jc w:val="right"/>
              <w:rPr>
                <w:szCs w:val="21"/>
              </w:rPr>
            </w:pPr>
            <w:r>
              <w:rPr>
                <w:spacing w:val="-1"/>
                <w:szCs w:val="21"/>
              </w:rPr>
              <w:t>《关于进一步</w:t>
            </w:r>
            <w:r>
              <w:rPr>
                <w:szCs w:val="21"/>
              </w:rPr>
              <w:t xml:space="preserve">加 </w:t>
            </w:r>
            <w:r>
              <w:rPr>
                <w:spacing w:val="14"/>
                <w:szCs w:val="21"/>
              </w:rPr>
              <w:t>强</w:t>
            </w:r>
            <w:r>
              <w:rPr>
                <w:spacing w:val="9"/>
                <w:szCs w:val="21"/>
              </w:rPr>
              <w:t>化工园区安全</w:t>
            </w:r>
            <w:r>
              <w:rPr>
                <w:spacing w:val="-4"/>
                <w:szCs w:val="21"/>
              </w:rPr>
              <w:t>管</w:t>
            </w:r>
            <w:r>
              <w:rPr>
                <w:spacing w:val="-3"/>
                <w:szCs w:val="21"/>
              </w:rPr>
              <w:t>理</w:t>
            </w:r>
            <w:r>
              <w:rPr>
                <w:spacing w:val="-2"/>
                <w:szCs w:val="21"/>
              </w:rPr>
              <w:t>的指导意见》</w:t>
            </w:r>
          </w:p>
        </w:tc>
        <w:tc>
          <w:tcPr>
            <w:tcW w:w="2843" w:type="dxa"/>
          </w:tcPr>
          <w:p w14:paraId="15E4A96C">
            <w:pPr>
              <w:spacing w:line="254" w:lineRule="auto"/>
            </w:pPr>
          </w:p>
          <w:p w14:paraId="12D9848B">
            <w:pPr>
              <w:spacing w:line="254" w:lineRule="auto"/>
            </w:pPr>
          </w:p>
          <w:p w14:paraId="7C3DADA9">
            <w:pPr>
              <w:spacing w:before="68" w:line="255" w:lineRule="auto"/>
              <w:ind w:left="115" w:right="106" w:hanging="2"/>
              <w:rPr>
                <w:szCs w:val="21"/>
              </w:rPr>
            </w:pPr>
            <w:r>
              <w:rPr>
                <w:spacing w:val="10"/>
                <w:szCs w:val="21"/>
              </w:rPr>
              <w:t>化工园区</w:t>
            </w:r>
            <w:r>
              <w:rPr>
                <w:spacing w:val="8"/>
                <w:szCs w:val="21"/>
              </w:rPr>
              <w:t>技术装备和监管</w:t>
            </w:r>
            <w:r>
              <w:rPr>
                <w:spacing w:val="-2"/>
                <w:szCs w:val="21"/>
              </w:rPr>
              <w:t>力量</w:t>
            </w:r>
            <w:r>
              <w:rPr>
                <w:spacing w:val="-1"/>
                <w:szCs w:val="21"/>
              </w:rPr>
              <w:t>较薄弱。</w:t>
            </w:r>
          </w:p>
        </w:tc>
        <w:tc>
          <w:tcPr>
            <w:tcW w:w="640" w:type="dxa"/>
          </w:tcPr>
          <w:p w14:paraId="315FBBA3">
            <w:pPr>
              <w:spacing w:line="341" w:lineRule="auto"/>
            </w:pPr>
          </w:p>
          <w:p w14:paraId="527F400E">
            <w:pPr>
              <w:spacing w:line="341" w:lineRule="auto"/>
            </w:pPr>
          </w:p>
          <w:p w14:paraId="191FCA32">
            <w:pPr>
              <w:spacing w:before="60" w:line="187" w:lineRule="auto"/>
              <w:ind w:left="218"/>
              <w:rPr>
                <w:rFonts w:eastAsia="Times New Roman"/>
                <w:szCs w:val="21"/>
              </w:rPr>
            </w:pPr>
            <w:r>
              <w:rPr>
                <w:spacing w:val="-2"/>
                <w:szCs w:val="21"/>
              </w:rPr>
              <w:t>9</w:t>
            </w:r>
            <w:r>
              <w:rPr>
                <w:rFonts w:eastAsia="Times New Roman"/>
                <w:spacing w:val="-2"/>
                <w:szCs w:val="21"/>
              </w:rPr>
              <w:t>0</w:t>
            </w:r>
          </w:p>
        </w:tc>
      </w:tr>
      <w:tr w14:paraId="45C542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79" w:type="dxa"/>
          </w:tcPr>
          <w:p w14:paraId="4D85C10C">
            <w:pPr>
              <w:spacing w:before="68" w:line="249" w:lineRule="auto"/>
              <w:ind w:left="135" w:right="124" w:firstLine="15"/>
              <w:rPr>
                <w:spacing w:val="-12"/>
                <w:szCs w:val="21"/>
              </w:rPr>
            </w:pPr>
          </w:p>
        </w:tc>
        <w:tc>
          <w:tcPr>
            <w:tcW w:w="3404" w:type="dxa"/>
          </w:tcPr>
          <w:p w14:paraId="23302DEB">
            <w:pPr>
              <w:spacing w:before="32" w:line="236" w:lineRule="auto"/>
              <w:ind w:left="108" w:right="109" w:firstLine="3"/>
              <w:rPr>
                <w:spacing w:val="2"/>
                <w:szCs w:val="21"/>
              </w:rPr>
            </w:pPr>
            <w:r>
              <w:rPr>
                <w:rFonts w:hint="eastAsia"/>
                <w:spacing w:val="2"/>
                <w:szCs w:val="21"/>
              </w:rPr>
              <w:t>合计</w:t>
            </w:r>
          </w:p>
        </w:tc>
        <w:tc>
          <w:tcPr>
            <w:tcW w:w="1840" w:type="dxa"/>
          </w:tcPr>
          <w:p w14:paraId="179D89A7">
            <w:pPr>
              <w:spacing w:before="68" w:line="249" w:lineRule="auto"/>
              <w:ind w:left="115" w:right="58" w:firstLine="74"/>
              <w:jc w:val="right"/>
              <w:rPr>
                <w:spacing w:val="-1"/>
                <w:szCs w:val="21"/>
              </w:rPr>
            </w:pPr>
          </w:p>
        </w:tc>
        <w:tc>
          <w:tcPr>
            <w:tcW w:w="2843" w:type="dxa"/>
          </w:tcPr>
          <w:p w14:paraId="246E97C9">
            <w:pPr>
              <w:spacing w:before="68" w:line="255" w:lineRule="auto"/>
              <w:ind w:left="115" w:right="106" w:hanging="2"/>
              <w:rPr>
                <w:spacing w:val="10"/>
                <w:szCs w:val="21"/>
              </w:rPr>
            </w:pPr>
          </w:p>
        </w:tc>
        <w:tc>
          <w:tcPr>
            <w:tcW w:w="640" w:type="dxa"/>
          </w:tcPr>
          <w:p w14:paraId="3AC308E3">
            <w:pPr>
              <w:spacing w:before="60" w:line="187" w:lineRule="auto"/>
              <w:ind w:left="218"/>
              <w:rPr>
                <w:spacing w:val="-2"/>
                <w:szCs w:val="21"/>
              </w:rPr>
            </w:pPr>
            <w:r>
              <w:rPr>
                <w:spacing w:val="-2"/>
                <w:szCs w:val="21"/>
              </w:rPr>
              <w:t>1780</w:t>
            </w:r>
          </w:p>
        </w:tc>
      </w:tr>
    </w:tbl>
    <w:p w14:paraId="4B4BDF55">
      <w:pPr>
        <w:spacing w:before="213" w:line="358" w:lineRule="auto"/>
        <w:ind w:left="123" w:right="238" w:firstLine="557"/>
        <w:rPr>
          <w:sz w:val="24"/>
          <w:szCs w:val="24"/>
        </w:rPr>
      </w:pPr>
      <w:r>
        <w:rPr>
          <w:spacing w:val="4"/>
          <w:sz w:val="24"/>
          <w:szCs w:val="24"/>
        </w:rPr>
        <w:t>采</w:t>
      </w:r>
      <w:r>
        <w:rPr>
          <w:spacing w:val="3"/>
          <w:sz w:val="24"/>
          <w:szCs w:val="24"/>
        </w:rPr>
        <w:t>用德尔菲法咨询通过安全检查表法对各层分值进行赋值，计算各变</w:t>
      </w:r>
      <w:r>
        <w:rPr>
          <w:spacing w:val="-1"/>
          <w:sz w:val="24"/>
          <w:szCs w:val="24"/>
        </w:rPr>
        <w:t>量的分值见下表。</w:t>
      </w:r>
    </w:p>
    <w:p w14:paraId="2FDDF022">
      <w:pPr>
        <w:spacing w:before="1" w:line="219" w:lineRule="auto"/>
        <w:ind w:left="2936"/>
        <w:rPr>
          <w:sz w:val="24"/>
          <w:szCs w:val="24"/>
        </w:rPr>
      </w:pPr>
      <w:r>
        <w:rPr>
          <w:spacing w:val="-6"/>
          <w:sz w:val="24"/>
          <w:szCs w:val="24"/>
        </w:rPr>
        <w:t>表9.5-3</w:t>
      </w:r>
      <w:r>
        <w:rPr>
          <w:spacing w:val="-3"/>
          <w:sz w:val="24"/>
          <w:szCs w:val="24"/>
        </w:rPr>
        <w:t>、园区安全容量影响因素</w:t>
      </w:r>
    </w:p>
    <w:p w14:paraId="2FE3E902">
      <w:pPr>
        <w:spacing w:line="146" w:lineRule="exact"/>
      </w:pPr>
    </w:p>
    <w:tbl>
      <w:tblPr>
        <w:tblStyle w:val="58"/>
        <w:tblW w:w="8806" w:type="dxa"/>
        <w:tblInd w:w="3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70"/>
        <w:gridCol w:w="2403"/>
        <w:gridCol w:w="3433"/>
      </w:tblGrid>
      <w:tr w14:paraId="642D5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70" w:type="dxa"/>
          </w:tcPr>
          <w:p w14:paraId="1F2F3081">
            <w:pPr>
              <w:spacing w:before="96" w:line="220" w:lineRule="auto"/>
              <w:ind w:left="964"/>
              <w:rPr>
                <w:szCs w:val="21"/>
              </w:rPr>
            </w:pPr>
            <w:r>
              <w:rPr>
                <w:spacing w:val="-1"/>
                <w:szCs w:val="21"/>
              </w:rPr>
              <w:t>准则层指</w:t>
            </w:r>
            <w:r>
              <w:rPr>
                <w:szCs w:val="21"/>
              </w:rPr>
              <w:t>标</w:t>
            </w:r>
          </w:p>
        </w:tc>
        <w:tc>
          <w:tcPr>
            <w:tcW w:w="2403" w:type="dxa"/>
          </w:tcPr>
          <w:p w14:paraId="5E5913CC">
            <w:pPr>
              <w:spacing w:before="96" w:line="221" w:lineRule="auto"/>
              <w:ind w:left="995"/>
              <w:rPr>
                <w:szCs w:val="21"/>
              </w:rPr>
            </w:pPr>
            <w:r>
              <w:rPr>
                <w:spacing w:val="-2"/>
                <w:szCs w:val="21"/>
              </w:rPr>
              <w:t>权</w:t>
            </w:r>
            <w:r>
              <w:rPr>
                <w:spacing w:val="-1"/>
                <w:szCs w:val="21"/>
              </w:rPr>
              <w:t>重</w:t>
            </w:r>
          </w:p>
        </w:tc>
        <w:tc>
          <w:tcPr>
            <w:tcW w:w="3433" w:type="dxa"/>
          </w:tcPr>
          <w:p w14:paraId="2F0C4792">
            <w:pPr>
              <w:spacing w:before="96" w:line="221" w:lineRule="auto"/>
              <w:ind w:left="1512"/>
              <w:rPr>
                <w:szCs w:val="21"/>
              </w:rPr>
            </w:pPr>
            <w:r>
              <w:rPr>
                <w:spacing w:val="-3"/>
                <w:szCs w:val="21"/>
              </w:rPr>
              <w:t>分</w:t>
            </w:r>
            <w:r>
              <w:rPr>
                <w:spacing w:val="-2"/>
                <w:szCs w:val="21"/>
              </w:rPr>
              <w:t>值</w:t>
            </w:r>
          </w:p>
        </w:tc>
      </w:tr>
      <w:tr w14:paraId="5A778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70" w:type="dxa"/>
          </w:tcPr>
          <w:p w14:paraId="54E17E81">
            <w:pPr>
              <w:spacing w:before="90" w:line="221" w:lineRule="auto"/>
              <w:ind w:left="875"/>
              <w:rPr>
                <w:szCs w:val="21"/>
              </w:rPr>
            </w:pPr>
            <w:r>
              <w:rPr>
                <w:spacing w:val="-6"/>
                <w:szCs w:val="21"/>
              </w:rPr>
              <w:t>区</w:t>
            </w:r>
            <w:r>
              <w:rPr>
                <w:spacing w:val="-3"/>
                <w:szCs w:val="21"/>
              </w:rPr>
              <w:t>域整体规划</w:t>
            </w:r>
          </w:p>
        </w:tc>
        <w:tc>
          <w:tcPr>
            <w:tcW w:w="2403" w:type="dxa"/>
          </w:tcPr>
          <w:p w14:paraId="7F8E4E5B">
            <w:pPr>
              <w:spacing w:before="129" w:line="187" w:lineRule="auto"/>
              <w:ind w:left="1021"/>
              <w:rPr>
                <w:rFonts w:eastAsia="Times New Roman"/>
                <w:szCs w:val="21"/>
              </w:rPr>
            </w:pPr>
            <w:r>
              <w:rPr>
                <w:rFonts w:eastAsia="Times New Roman"/>
                <w:spacing w:val="-1"/>
                <w:szCs w:val="21"/>
              </w:rPr>
              <w:t>0.35</w:t>
            </w:r>
          </w:p>
        </w:tc>
        <w:tc>
          <w:tcPr>
            <w:tcW w:w="3433" w:type="dxa"/>
          </w:tcPr>
          <w:p w14:paraId="7ECBDB2A">
            <w:pPr>
              <w:spacing w:before="91" w:line="237" w:lineRule="auto"/>
              <w:ind w:left="110"/>
              <w:rPr>
                <w:rFonts w:eastAsia="Times New Roman"/>
                <w:szCs w:val="21"/>
              </w:rPr>
            </w:pPr>
            <w:r>
              <w:rPr>
                <w:rFonts w:eastAsia="Times New Roman"/>
                <w:spacing w:val="-1"/>
                <w:szCs w:val="21"/>
              </w:rPr>
              <w:t>=</w:t>
            </w:r>
            <w:r>
              <w:rPr>
                <w:szCs w:val="21"/>
              </w:rPr>
              <w:t>(</w:t>
            </w:r>
            <w:r>
              <w:rPr>
                <w:rFonts w:eastAsia="Times New Roman"/>
                <w:szCs w:val="21"/>
              </w:rPr>
              <w:t>70+30+90+90+90+60</w:t>
            </w:r>
            <w:r>
              <w:rPr>
                <w:szCs w:val="21"/>
              </w:rPr>
              <w:t>)</w:t>
            </w:r>
            <w:r>
              <w:rPr>
                <w:rFonts w:eastAsia="Times New Roman"/>
                <w:szCs w:val="21"/>
              </w:rPr>
              <w:t>/6=71.6</w:t>
            </w:r>
          </w:p>
        </w:tc>
      </w:tr>
      <w:tr w14:paraId="4D7C2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2970" w:type="dxa"/>
          </w:tcPr>
          <w:p w14:paraId="7FC62759">
            <w:pPr>
              <w:spacing w:before="91" w:line="221" w:lineRule="auto"/>
              <w:ind w:left="875"/>
              <w:rPr>
                <w:szCs w:val="21"/>
              </w:rPr>
            </w:pPr>
            <w:r>
              <w:rPr>
                <w:spacing w:val="-6"/>
                <w:szCs w:val="21"/>
              </w:rPr>
              <w:t>区</w:t>
            </w:r>
            <w:r>
              <w:rPr>
                <w:spacing w:val="-3"/>
                <w:szCs w:val="21"/>
              </w:rPr>
              <w:t>域应急管理</w:t>
            </w:r>
          </w:p>
        </w:tc>
        <w:tc>
          <w:tcPr>
            <w:tcW w:w="2403" w:type="dxa"/>
          </w:tcPr>
          <w:p w14:paraId="3512DFE4">
            <w:pPr>
              <w:spacing w:before="130" w:line="187" w:lineRule="auto"/>
              <w:ind w:left="969"/>
              <w:rPr>
                <w:rFonts w:eastAsia="Times New Roman"/>
                <w:szCs w:val="21"/>
              </w:rPr>
            </w:pPr>
            <w:r>
              <w:rPr>
                <w:rFonts w:eastAsia="Times New Roman"/>
                <w:spacing w:val="-1"/>
                <w:szCs w:val="21"/>
              </w:rPr>
              <w:t>0.22</w:t>
            </w:r>
            <w:r>
              <w:rPr>
                <w:rFonts w:eastAsia="Times New Roman"/>
                <w:szCs w:val="21"/>
              </w:rPr>
              <w:t>4</w:t>
            </w:r>
          </w:p>
        </w:tc>
        <w:tc>
          <w:tcPr>
            <w:tcW w:w="3433" w:type="dxa"/>
          </w:tcPr>
          <w:p w14:paraId="066C54A0">
            <w:pPr>
              <w:spacing w:before="92" w:line="237" w:lineRule="auto"/>
              <w:ind w:left="110"/>
              <w:rPr>
                <w:rFonts w:eastAsia="Times New Roman"/>
                <w:szCs w:val="21"/>
              </w:rPr>
            </w:pPr>
            <w:r>
              <w:rPr>
                <w:rFonts w:eastAsia="Times New Roman"/>
                <w:spacing w:val="-1"/>
                <w:szCs w:val="21"/>
              </w:rPr>
              <w:t>=</w:t>
            </w:r>
            <w:r>
              <w:rPr>
                <w:szCs w:val="21"/>
              </w:rPr>
              <w:t>(</w:t>
            </w:r>
            <w:r>
              <w:rPr>
                <w:rFonts w:eastAsia="Times New Roman"/>
                <w:szCs w:val="21"/>
              </w:rPr>
              <w:t>90+90+90+90+90+60</w:t>
            </w:r>
            <w:r>
              <w:rPr>
                <w:szCs w:val="21"/>
              </w:rPr>
              <w:t>)</w:t>
            </w:r>
            <w:r>
              <w:rPr>
                <w:rFonts w:eastAsia="Times New Roman"/>
                <w:szCs w:val="21"/>
              </w:rPr>
              <w:t>/6=85</w:t>
            </w:r>
          </w:p>
        </w:tc>
      </w:tr>
      <w:tr w14:paraId="4C6F09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970" w:type="dxa"/>
          </w:tcPr>
          <w:p w14:paraId="7562CF4A">
            <w:pPr>
              <w:spacing w:before="92" w:line="219" w:lineRule="auto"/>
              <w:ind w:left="875"/>
              <w:rPr>
                <w:szCs w:val="21"/>
              </w:rPr>
            </w:pPr>
            <w:r>
              <w:rPr>
                <w:spacing w:val="-6"/>
                <w:szCs w:val="21"/>
              </w:rPr>
              <w:t>区</w:t>
            </w:r>
            <w:r>
              <w:rPr>
                <w:spacing w:val="-3"/>
                <w:szCs w:val="21"/>
              </w:rPr>
              <w:t>域应急资源</w:t>
            </w:r>
          </w:p>
        </w:tc>
        <w:tc>
          <w:tcPr>
            <w:tcW w:w="2403" w:type="dxa"/>
          </w:tcPr>
          <w:p w14:paraId="2CA701A2">
            <w:pPr>
              <w:spacing w:before="131" w:line="187" w:lineRule="auto"/>
              <w:ind w:left="969"/>
              <w:rPr>
                <w:rFonts w:eastAsia="Times New Roman"/>
                <w:szCs w:val="21"/>
              </w:rPr>
            </w:pPr>
            <w:r>
              <w:rPr>
                <w:rFonts w:eastAsia="Times New Roman"/>
                <w:spacing w:val="-1"/>
                <w:szCs w:val="21"/>
              </w:rPr>
              <w:t>0.18</w:t>
            </w:r>
            <w:r>
              <w:rPr>
                <w:rFonts w:eastAsia="Times New Roman"/>
                <w:szCs w:val="21"/>
              </w:rPr>
              <w:t>5</w:t>
            </w:r>
          </w:p>
        </w:tc>
        <w:tc>
          <w:tcPr>
            <w:tcW w:w="3433" w:type="dxa"/>
          </w:tcPr>
          <w:p w14:paraId="6F76B378">
            <w:pPr>
              <w:spacing w:before="93" w:line="237" w:lineRule="auto"/>
              <w:ind w:left="110"/>
              <w:rPr>
                <w:rFonts w:eastAsia="Times New Roman"/>
                <w:szCs w:val="21"/>
              </w:rPr>
            </w:pPr>
            <w:r>
              <w:rPr>
                <w:rFonts w:eastAsia="Times New Roman"/>
                <w:spacing w:val="-1"/>
                <w:szCs w:val="21"/>
              </w:rPr>
              <w:t>=</w:t>
            </w:r>
            <w:r>
              <w:rPr>
                <w:szCs w:val="21"/>
              </w:rPr>
              <w:t>(</w:t>
            </w:r>
            <w:r>
              <w:rPr>
                <w:rFonts w:eastAsia="Times New Roman"/>
                <w:szCs w:val="21"/>
              </w:rPr>
              <w:t>90+90+80+90</w:t>
            </w:r>
            <w:r>
              <w:rPr>
                <w:szCs w:val="21"/>
              </w:rPr>
              <w:t>)</w:t>
            </w:r>
            <w:r>
              <w:rPr>
                <w:rFonts w:eastAsia="Times New Roman"/>
                <w:szCs w:val="21"/>
              </w:rPr>
              <w:t>/4=87.5</w:t>
            </w:r>
          </w:p>
        </w:tc>
      </w:tr>
      <w:tr w14:paraId="32B9D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2970" w:type="dxa"/>
          </w:tcPr>
          <w:p w14:paraId="58C55F34">
            <w:pPr>
              <w:spacing w:before="92" w:line="221" w:lineRule="auto"/>
              <w:ind w:left="875"/>
              <w:rPr>
                <w:szCs w:val="21"/>
              </w:rPr>
            </w:pPr>
            <w:r>
              <w:rPr>
                <w:spacing w:val="-6"/>
                <w:szCs w:val="21"/>
              </w:rPr>
              <w:t>区</w:t>
            </w:r>
            <w:r>
              <w:rPr>
                <w:spacing w:val="-3"/>
                <w:szCs w:val="21"/>
              </w:rPr>
              <w:t>域安全管理</w:t>
            </w:r>
          </w:p>
        </w:tc>
        <w:tc>
          <w:tcPr>
            <w:tcW w:w="2403" w:type="dxa"/>
          </w:tcPr>
          <w:p w14:paraId="25C438B9">
            <w:pPr>
              <w:spacing w:before="131" w:line="187" w:lineRule="auto"/>
              <w:ind w:left="969"/>
              <w:rPr>
                <w:rFonts w:eastAsia="Times New Roman"/>
                <w:szCs w:val="21"/>
              </w:rPr>
            </w:pPr>
            <w:r>
              <w:rPr>
                <w:rFonts w:eastAsia="Times New Roman"/>
                <w:spacing w:val="-1"/>
                <w:szCs w:val="21"/>
              </w:rPr>
              <w:t>0.21</w:t>
            </w:r>
            <w:r>
              <w:rPr>
                <w:rFonts w:eastAsia="Times New Roman"/>
                <w:szCs w:val="21"/>
              </w:rPr>
              <w:t>2</w:t>
            </w:r>
          </w:p>
        </w:tc>
        <w:tc>
          <w:tcPr>
            <w:tcW w:w="3433" w:type="dxa"/>
          </w:tcPr>
          <w:p w14:paraId="67EE88B6">
            <w:pPr>
              <w:spacing w:before="93" w:line="237" w:lineRule="auto"/>
              <w:ind w:left="110"/>
              <w:rPr>
                <w:szCs w:val="21"/>
              </w:rPr>
            </w:pPr>
            <w:r>
              <w:rPr>
                <w:rFonts w:eastAsia="Times New Roman"/>
                <w:szCs w:val="21"/>
              </w:rPr>
              <w:t>=</w:t>
            </w:r>
            <w:r>
              <w:rPr>
                <w:szCs w:val="21"/>
              </w:rPr>
              <w:t>(</w:t>
            </w:r>
            <w:r>
              <w:rPr>
                <w:rFonts w:eastAsia="Times New Roman"/>
                <w:szCs w:val="21"/>
              </w:rPr>
              <w:t>90+80+80+90</w:t>
            </w:r>
            <w:r>
              <w:rPr>
                <w:szCs w:val="21"/>
              </w:rPr>
              <w:t>+90)</w:t>
            </w:r>
            <w:r>
              <w:rPr>
                <w:rFonts w:eastAsia="Times New Roman"/>
                <w:szCs w:val="21"/>
              </w:rPr>
              <w:t>/5=</w:t>
            </w:r>
            <w:r>
              <w:rPr>
                <w:szCs w:val="21"/>
              </w:rPr>
              <w:t>86</w:t>
            </w:r>
          </w:p>
        </w:tc>
      </w:tr>
      <w:tr w14:paraId="2F9A6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2970" w:type="dxa"/>
          </w:tcPr>
          <w:p w14:paraId="73342E77">
            <w:pPr>
              <w:spacing w:before="93" w:line="221" w:lineRule="auto"/>
              <w:ind w:left="875"/>
              <w:rPr>
                <w:szCs w:val="21"/>
              </w:rPr>
            </w:pPr>
            <w:r>
              <w:rPr>
                <w:spacing w:val="-6"/>
                <w:szCs w:val="21"/>
              </w:rPr>
              <w:t>区</w:t>
            </w:r>
            <w:r>
              <w:rPr>
                <w:spacing w:val="-3"/>
                <w:szCs w:val="21"/>
              </w:rPr>
              <w:t>域经济状况</w:t>
            </w:r>
          </w:p>
        </w:tc>
        <w:tc>
          <w:tcPr>
            <w:tcW w:w="2403" w:type="dxa"/>
          </w:tcPr>
          <w:p w14:paraId="744030AD">
            <w:pPr>
              <w:spacing w:before="132" w:line="187" w:lineRule="auto"/>
              <w:ind w:left="969"/>
              <w:rPr>
                <w:rFonts w:eastAsia="Times New Roman"/>
                <w:szCs w:val="21"/>
              </w:rPr>
            </w:pPr>
            <w:r>
              <w:rPr>
                <w:rFonts w:eastAsia="Times New Roman"/>
                <w:spacing w:val="-1"/>
                <w:szCs w:val="21"/>
              </w:rPr>
              <w:t>0.02</w:t>
            </w:r>
            <w:r>
              <w:rPr>
                <w:rFonts w:eastAsia="Times New Roman"/>
                <w:szCs w:val="21"/>
              </w:rPr>
              <w:t>9</w:t>
            </w:r>
          </w:p>
        </w:tc>
        <w:tc>
          <w:tcPr>
            <w:tcW w:w="3433" w:type="dxa"/>
          </w:tcPr>
          <w:p w14:paraId="3315A716">
            <w:pPr>
              <w:spacing w:before="132" w:line="187" w:lineRule="auto"/>
              <w:ind w:left="116"/>
              <w:rPr>
                <w:szCs w:val="21"/>
              </w:rPr>
            </w:pPr>
            <w:r>
              <w:rPr>
                <w:spacing w:val="-2"/>
                <w:szCs w:val="21"/>
              </w:rPr>
              <w:t>90</w:t>
            </w:r>
          </w:p>
        </w:tc>
      </w:tr>
    </w:tbl>
    <w:p w14:paraId="527A750C">
      <w:pPr>
        <w:spacing w:before="39" w:line="359" w:lineRule="auto"/>
        <w:ind w:left="123" w:right="478" w:firstLine="565"/>
        <w:rPr>
          <w:spacing w:val="-3"/>
          <w:sz w:val="24"/>
          <w:szCs w:val="24"/>
        </w:rPr>
      </w:pPr>
      <w:r>
        <w:rPr>
          <w:spacing w:val="-10"/>
          <w:sz w:val="24"/>
          <w:szCs w:val="24"/>
        </w:rPr>
        <w:t>结</w:t>
      </w:r>
      <w:r>
        <w:rPr>
          <w:spacing w:val="-7"/>
          <w:sz w:val="24"/>
          <w:szCs w:val="24"/>
        </w:rPr>
        <w:t>合</w:t>
      </w:r>
      <w:r>
        <w:rPr>
          <w:spacing w:val="-5"/>
          <w:sz w:val="24"/>
          <w:szCs w:val="24"/>
        </w:rPr>
        <w:t>表中准则层权重及准则层分值，应用上述公式计算对安全库存量</w:t>
      </w:r>
      <w:r>
        <w:rPr>
          <w:spacing w:val="-3"/>
          <w:sz w:val="24"/>
          <w:szCs w:val="24"/>
        </w:rPr>
        <w:t>影响因素目标层加权分数为</w:t>
      </w:r>
      <w:r>
        <w:rPr>
          <w:rFonts w:hint="eastAsia"/>
          <w:spacing w:val="-3"/>
          <w:sz w:val="24"/>
          <w:szCs w:val="24"/>
        </w:rPr>
        <w:t>：</w:t>
      </w:r>
    </w:p>
    <w:p w14:paraId="225B18AE">
      <w:pPr>
        <w:spacing w:before="39" w:line="359" w:lineRule="auto"/>
        <w:ind w:left="123" w:right="478" w:firstLine="565"/>
        <w:rPr>
          <w:sz w:val="24"/>
          <w:szCs w:val="24"/>
        </w:rPr>
      </w:pPr>
      <w:r>
        <w:rPr>
          <w:rFonts w:eastAsia="Times New Roman"/>
          <w:spacing w:val="-3"/>
          <w:sz w:val="24"/>
          <w:szCs w:val="24"/>
        </w:rPr>
        <w:t>71.6×0.35+85×0.224+87.5×0.185+</w:t>
      </w:r>
      <w:r>
        <w:rPr>
          <w:spacing w:val="-3"/>
          <w:sz w:val="24"/>
          <w:szCs w:val="24"/>
        </w:rPr>
        <w:t>86</w:t>
      </w:r>
      <w:r>
        <w:rPr>
          <w:rFonts w:eastAsia="Times New Roman"/>
          <w:spacing w:val="-3"/>
          <w:sz w:val="24"/>
          <w:szCs w:val="24"/>
        </w:rPr>
        <w:t>×0.2</w:t>
      </w:r>
      <w:r>
        <w:rPr>
          <w:rFonts w:eastAsia="Times New Roman"/>
          <w:sz w:val="24"/>
          <w:szCs w:val="24"/>
        </w:rPr>
        <w:t>12+</w:t>
      </w:r>
      <w:r>
        <w:rPr>
          <w:spacing w:val="-4"/>
          <w:sz w:val="24"/>
          <w:szCs w:val="24"/>
        </w:rPr>
        <w:t>90</w:t>
      </w:r>
      <w:r>
        <w:rPr>
          <w:rFonts w:eastAsia="Times New Roman"/>
          <w:spacing w:val="-4"/>
          <w:sz w:val="24"/>
          <w:szCs w:val="24"/>
        </w:rPr>
        <w:t>×0.02</w:t>
      </w:r>
      <w:r>
        <w:rPr>
          <w:rFonts w:eastAsia="Times New Roman"/>
          <w:spacing w:val="-3"/>
          <w:sz w:val="24"/>
          <w:szCs w:val="24"/>
        </w:rPr>
        <w:t>9</w:t>
      </w:r>
      <w:r>
        <w:rPr>
          <w:rFonts w:eastAsia="Times New Roman"/>
          <w:spacing w:val="-2"/>
          <w:sz w:val="24"/>
          <w:szCs w:val="24"/>
        </w:rPr>
        <w:t>=</w:t>
      </w:r>
      <w:r>
        <w:rPr>
          <w:spacing w:val="-2"/>
          <w:sz w:val="24"/>
          <w:szCs w:val="24"/>
        </w:rPr>
        <w:t>81.13，得到园区安全容量贡献率为</w:t>
      </w:r>
      <w:r>
        <w:rPr>
          <w:rFonts w:eastAsia="Times New Roman"/>
          <w:spacing w:val="-2"/>
          <w:sz w:val="24"/>
          <w:szCs w:val="24"/>
        </w:rPr>
        <w:t>0.</w:t>
      </w:r>
      <w:r>
        <w:rPr>
          <w:spacing w:val="-2"/>
          <w:sz w:val="24"/>
          <w:szCs w:val="24"/>
        </w:rPr>
        <w:t>8113。</w:t>
      </w:r>
      <w:r>
        <w:rPr>
          <w:sz w:val="24"/>
          <w:szCs w:val="24"/>
        </w:rPr>
        <w:pict>
          <v:shape id="_x0000_s1030" o:spid="_x0000_s1030" o:spt="100" style="position:absolute;left:0pt;margin-left:410.65pt;margin-top:514.3pt;height:0.6pt;width:5.85pt;mso-position-horizontal-relative:page;mso-position-vertical-relative:page;z-index:251708416;mso-width-relative:page;mso-height-relative:page;" filled="f" coordsize="116,12" o:allowincell="f" o:gfxdata="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6cJm0doAAAANAQAADwAAAAAAAAABACAAAAAiAAAAZHJzL2Rvd25yZXYu&#10;eG1sUEsBAhQAFAAAAAgAh07iQGfPhQoyAgAAigQAAA4AAAAAAAAAAQAgAAAAKQEAAGRycy9lMm9E&#10;b2MueG1sUEsFBgAAAAAGAAYAWQEAAM0FAAAAAA==&#10;" path="m0,5l116,5e">
            <v:path o:connecttype="segments"/>
            <v:fill on="f" focussize="0,0"/>
            <v:stroke weight="0.56pt" joinstyle="round"/>
            <v:imagedata o:title=""/>
            <o:lock v:ext="edit"/>
          </v:shape>
        </w:pict>
      </w:r>
      <w:r>
        <w:rPr>
          <w:sz w:val="24"/>
          <w:szCs w:val="24"/>
        </w:rPr>
        <w:pict>
          <v:shape id="_x0000_s1029" o:spid="_x0000_s1029" o:spt="100" style="position:absolute;left:0pt;margin-left:88.45pt;margin-top:544.55pt;height:0.6pt;width:5.85pt;mso-position-horizontal-relative:page;mso-position-vertical-relative:page;z-index:251709440;mso-width-relative:page;mso-height-relative:page;" filled="f" coordsize="116,12" o:allowincell="f" o:gfxdata="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rMZYtkAAAANAQAADwAAAAAAAAABACAAAAAiAAAAZHJzL2Rvd25yZXYu&#10;eG1sUEsBAhQAFAAAAAgAh07iQHSu31MzAgAAigQAAA4AAAAAAAAAAQAgAAAAKAEAAGRycy9lMm9E&#10;b2MueG1sUEsFBgAAAAAGAAYAWQEAAM0FAAAAAA==&#10;" path="m0,5l116,5e">
            <v:path o:connecttype="segments"/>
            <v:fill on="f" focussize="0,0"/>
            <v:stroke weight="0.56pt" joinstyle="round"/>
            <v:imagedata o:title=""/>
            <o:lock v:ext="edit"/>
          </v:shape>
        </w:pict>
      </w:r>
      <w:r>
        <w:rPr>
          <w:sz w:val="24"/>
          <w:szCs w:val="24"/>
        </w:rPr>
        <w:pict>
          <v:shape id="_x0000_s1028" o:spid="_x0000_s1028" o:spt="100" style="position:absolute;left:0pt;margin-left:274.75pt;margin-top:634.8pt;height:0pt;width:5.95pt;mso-position-horizontal-relative:page;mso-position-vertical-relative:page;z-index:251707392;mso-width-relative:page;mso-height-relative:page;" filled="f" coordsize="119,1" o:allowincell="f" o:gfxdata="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WKKA1wAAAA0BAAAPAAAAAAAAAAEAIAAAACIAAABkcnMvZG93bnJldi54bWxQSwECFAAUAAAA&#10;CACHTuJAti3xTSgCAACABAAADgAAAAAAAAABACAAAAAmAQAAZHJzL2Uyb0RvYy54bWxQSwUGAAAA&#10;AAYABgBZAQAAwAUAAAAA&#10;" path="m0,0l119,0e">
            <v:path o:connecttype="segments"/>
            <v:fill on="f" focussize="0,0"/>
            <v:stroke weight="0.58pt" joinstyle="round"/>
            <v:imagedata o:title=""/>
            <o:lock v:ext="edit"/>
          </v:shape>
        </w:pict>
      </w:r>
      <w:r>
        <w:rPr>
          <w:sz w:val="24"/>
          <w:szCs w:val="24"/>
        </w:rPr>
        <w:pict>
          <v:shape id="_x0000_s1027" o:spid="_x0000_s1027" o:spt="100" style="position:absolute;left:0pt;margin-left:440.7pt;margin-top:634.8pt;height:0pt;width:5.95pt;mso-position-horizontal-relative:page;mso-position-vertical-relative:page;z-index:251706368;mso-width-relative:page;mso-height-relative:page;" filled="f" coordsize="119,1" o:allowincell="f" o:gfxdata="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DkA57XAAAADQEAAA8AAAAAAAAAAQAgAAAAIgAAAGRycy9kb3ducmV2LnhtbFBLAQIUABQAAAAI&#10;AIdO4kD/rYddJwIAAIAEAAAOAAAAAAAAAAEAIAAAACYBAABkcnMvZTJvRG9jLnhtbFBLBQYAAAAA&#10;BgAGAFkBAAC/BQAAAAA=&#10;" path="m0,0l119,0e">
            <v:path o:connecttype="segments"/>
            <v:fill on="f" focussize="0,0"/>
            <v:stroke weight="0.58pt" joinstyle="round"/>
            <v:imagedata o:title=""/>
            <o:lock v:ext="edit"/>
          </v:shape>
        </w:pict>
      </w:r>
    </w:p>
    <w:p w14:paraId="1E493A29">
      <w:pPr>
        <w:spacing w:line="360" w:lineRule="auto"/>
        <w:rPr>
          <w:rFonts w:eastAsia="黑体"/>
          <w:sz w:val="24"/>
          <w:szCs w:val="24"/>
        </w:rPr>
      </w:pPr>
      <w:bookmarkStart w:id="292" w:name="_bookmark101"/>
      <w:bookmarkEnd w:id="292"/>
      <w:r>
        <w:rPr>
          <w:spacing w:val="-1"/>
          <w:sz w:val="24"/>
          <w:szCs w:val="24"/>
        </w:rPr>
        <w:t>（3）、</w:t>
      </w:r>
      <w:r>
        <w:rPr>
          <w:rFonts w:eastAsia="黑体"/>
          <w:spacing w:val="-1"/>
          <w:sz w:val="24"/>
          <w:szCs w:val="24"/>
        </w:rPr>
        <w:t>园区</w:t>
      </w:r>
      <w:r>
        <w:rPr>
          <w:rFonts w:eastAsia="黑体"/>
          <w:sz w:val="24"/>
          <w:szCs w:val="24"/>
        </w:rPr>
        <w:t>安全容量计算结果</w:t>
      </w:r>
    </w:p>
    <w:p w14:paraId="7F1D915D">
      <w:pPr>
        <w:tabs>
          <w:tab w:val="left" w:pos="187"/>
        </w:tabs>
        <w:spacing w:line="360" w:lineRule="auto"/>
        <w:ind w:firstLine="420" w:firstLineChars="200"/>
        <w:rPr>
          <w:sz w:val="24"/>
          <w:szCs w:val="24"/>
        </w:rPr>
      </w:pPr>
      <w:r>
        <w:rPr>
          <w:spacing w:val="-15"/>
          <w:sz w:val="24"/>
          <w:szCs w:val="24"/>
        </w:rPr>
        <w:t>由</w:t>
      </w:r>
      <w:r>
        <w:rPr>
          <w:spacing w:val="-8"/>
          <w:sz w:val="24"/>
          <w:szCs w:val="24"/>
        </w:rPr>
        <w:t>实地调研所得数据可知，化工园区内德邦化工、恒诚制药、</w:t>
      </w:r>
      <w:r>
        <w:rPr>
          <w:spacing w:val="4"/>
          <w:sz w:val="24"/>
          <w:szCs w:val="24"/>
        </w:rPr>
        <w:t>国瑞药业、水卫士环保科</w:t>
      </w:r>
      <w:r>
        <w:rPr>
          <w:spacing w:val="2"/>
          <w:sz w:val="24"/>
          <w:szCs w:val="24"/>
        </w:rPr>
        <w:t>技四家化工企业，区块一员工总数</w:t>
      </w:r>
      <w:r>
        <w:rPr>
          <w:spacing w:val="-2"/>
          <w:sz w:val="24"/>
          <w:szCs w:val="24"/>
        </w:rPr>
        <w:t>量约为</w:t>
      </w:r>
      <w:r>
        <w:rPr>
          <w:rFonts w:eastAsia="Times New Roman"/>
          <w:spacing w:val="-2"/>
          <w:sz w:val="24"/>
          <w:szCs w:val="24"/>
        </w:rPr>
        <w:t>8</w:t>
      </w:r>
      <w:r>
        <w:rPr>
          <w:rFonts w:eastAsia="Times New Roman"/>
          <w:spacing w:val="-1"/>
          <w:sz w:val="24"/>
          <w:szCs w:val="24"/>
        </w:rPr>
        <w:t>00</w:t>
      </w:r>
      <w:r>
        <w:rPr>
          <w:spacing w:val="-1"/>
          <w:sz w:val="24"/>
          <w:szCs w:val="24"/>
        </w:rPr>
        <w:t>人，区块二员工总数量约为</w:t>
      </w:r>
      <w:r>
        <w:rPr>
          <w:rFonts w:eastAsia="Times New Roman"/>
          <w:spacing w:val="-1"/>
          <w:sz w:val="24"/>
          <w:szCs w:val="24"/>
        </w:rPr>
        <w:t>700</w:t>
      </w:r>
      <w:r>
        <w:rPr>
          <w:spacing w:val="-1"/>
          <w:sz w:val="24"/>
          <w:szCs w:val="24"/>
        </w:rPr>
        <w:t>人，化工园区</w:t>
      </w:r>
      <w:r>
        <w:rPr>
          <w:spacing w:val="1"/>
          <w:sz w:val="24"/>
          <w:szCs w:val="24"/>
        </w:rPr>
        <w:t>（区块一）最大当班员工人数约为</w:t>
      </w:r>
      <w:r>
        <w:rPr>
          <w:rFonts w:eastAsia="Times New Roman"/>
          <w:sz w:val="24"/>
          <w:szCs w:val="24"/>
        </w:rPr>
        <w:t>260</w:t>
      </w:r>
      <w:r>
        <w:rPr>
          <w:sz w:val="24"/>
          <w:szCs w:val="24"/>
        </w:rPr>
        <w:t>人，区块二最大当班员</w:t>
      </w:r>
      <w:r>
        <w:rPr>
          <w:spacing w:val="10"/>
          <w:sz w:val="24"/>
          <w:szCs w:val="24"/>
        </w:rPr>
        <w:t>工人</w:t>
      </w:r>
      <w:r>
        <w:rPr>
          <w:spacing w:val="9"/>
          <w:sz w:val="24"/>
          <w:szCs w:val="24"/>
        </w:rPr>
        <w:t>数</w:t>
      </w:r>
      <w:r>
        <w:rPr>
          <w:spacing w:val="5"/>
          <w:sz w:val="24"/>
          <w:szCs w:val="24"/>
        </w:rPr>
        <w:t>约为</w:t>
      </w:r>
      <w:r>
        <w:rPr>
          <w:rFonts w:eastAsia="Times New Roman"/>
          <w:spacing w:val="5"/>
          <w:sz w:val="24"/>
          <w:szCs w:val="24"/>
        </w:rPr>
        <w:t>240</w:t>
      </w:r>
      <w:r>
        <w:rPr>
          <w:spacing w:val="5"/>
          <w:sz w:val="24"/>
          <w:szCs w:val="24"/>
        </w:rPr>
        <w:t>人，按计算得到区块一相应的危</w:t>
      </w:r>
      <w:r>
        <w:rPr>
          <w:spacing w:val="-3"/>
          <w:sz w:val="24"/>
          <w:szCs w:val="24"/>
        </w:rPr>
        <w:t>险化学品当量为</w:t>
      </w:r>
      <w:r>
        <w:rPr>
          <w:rFonts w:eastAsia="Times New Roman"/>
          <w:spacing w:val="-3"/>
          <w:sz w:val="24"/>
          <w:szCs w:val="24"/>
        </w:rPr>
        <w:t>1120</w:t>
      </w:r>
      <w:r>
        <w:rPr>
          <w:spacing w:val="-3"/>
          <w:sz w:val="24"/>
          <w:szCs w:val="24"/>
        </w:rPr>
        <w:t>吨，区块二相应的危险化学品当量为</w:t>
      </w:r>
      <w:r>
        <w:rPr>
          <w:rFonts w:eastAsia="Times New Roman"/>
          <w:sz w:val="24"/>
          <w:szCs w:val="24"/>
        </w:rPr>
        <w:t>30</w:t>
      </w:r>
      <w:r>
        <w:rPr>
          <w:spacing w:val="-17"/>
          <w:sz w:val="24"/>
          <w:szCs w:val="24"/>
        </w:rPr>
        <w:t>吨</w:t>
      </w:r>
      <w:r>
        <w:rPr>
          <w:rFonts w:eastAsia="Times New Roman"/>
          <w:spacing w:val="1"/>
          <w:sz w:val="24"/>
          <w:szCs w:val="24"/>
        </w:rPr>
        <w:t>=260</w:t>
      </w:r>
      <w:r>
        <w:rPr>
          <w:spacing w:val="1"/>
          <w:sz w:val="24"/>
          <w:szCs w:val="24"/>
        </w:rPr>
        <w:t>人、</w:t>
      </w:r>
      <w:r>
        <w:rPr>
          <w:rFonts w:eastAsia="Times New Roman"/>
          <w:i/>
          <w:iCs/>
          <w:sz w:val="24"/>
          <w:szCs w:val="24"/>
        </w:rPr>
        <w:t>N</w:t>
      </w:r>
      <w:r>
        <w:rPr>
          <w:rFonts w:eastAsia="Times New Roman"/>
          <w:i/>
          <w:iCs/>
          <w:position w:val="-7"/>
          <w:sz w:val="24"/>
          <w:szCs w:val="24"/>
        </w:rPr>
        <w:t>t</w:t>
      </w:r>
      <w:r>
        <w:rPr>
          <w:spacing w:val="1"/>
          <w:sz w:val="24"/>
          <w:szCs w:val="24"/>
        </w:rPr>
        <w:t>(</w:t>
      </w:r>
      <w:r>
        <w:rPr>
          <w:spacing w:val="-3"/>
          <w:sz w:val="24"/>
          <w:szCs w:val="24"/>
        </w:rPr>
        <w:t>区块二</w:t>
      </w:r>
      <w:r>
        <w:rPr>
          <w:sz w:val="24"/>
          <w:szCs w:val="24"/>
        </w:rPr>
        <w:t>)</w:t>
      </w:r>
      <w:r>
        <w:rPr>
          <w:rFonts w:eastAsia="Times New Roman"/>
          <w:sz w:val="24"/>
          <w:szCs w:val="24"/>
        </w:rPr>
        <w:t>=240</w:t>
      </w:r>
      <w:r>
        <w:rPr>
          <w:sz w:val="24"/>
          <w:szCs w:val="24"/>
        </w:rPr>
        <w:t>人，化工园区风险容量</w:t>
      </w:r>
      <w:r>
        <w:rPr>
          <w:rFonts w:eastAsia="Times New Roman"/>
          <w:i/>
          <w:iCs/>
          <w:sz w:val="24"/>
          <w:szCs w:val="24"/>
        </w:rPr>
        <w:t>RC</w:t>
      </w:r>
      <w:r>
        <w:rPr>
          <w:sz w:val="24"/>
          <w:szCs w:val="24"/>
        </w:rPr>
        <w:t>(</w:t>
      </w:r>
      <w:r>
        <w:rPr>
          <w:spacing w:val="-3"/>
          <w:sz w:val="24"/>
          <w:szCs w:val="24"/>
        </w:rPr>
        <w:t>区块一</w:t>
      </w:r>
      <w:r>
        <w:rPr>
          <w:sz w:val="24"/>
          <w:szCs w:val="24"/>
        </w:rPr>
        <w:t>)</w:t>
      </w:r>
      <w:r>
        <w:rPr>
          <w:rFonts w:eastAsia="Times New Roman"/>
          <w:sz w:val="24"/>
          <w:szCs w:val="24"/>
        </w:rPr>
        <w:t>=8.9×10</w:t>
      </w:r>
      <w:r>
        <w:rPr>
          <w:sz w:val="24"/>
          <w:szCs w:val="24"/>
          <w:vertAlign w:val="superscript"/>
        </w:rPr>
        <w:t>-4</w:t>
      </w:r>
      <w:r>
        <w:rPr>
          <w:sz w:val="24"/>
          <w:szCs w:val="24"/>
        </w:rPr>
        <w:t>，</w:t>
      </w:r>
      <w:r>
        <w:rPr>
          <w:rFonts w:eastAsia="Times New Roman"/>
          <w:i/>
          <w:iCs/>
          <w:sz w:val="24"/>
          <w:szCs w:val="24"/>
        </w:rPr>
        <w:t>RC</w:t>
      </w:r>
      <w:r>
        <w:rPr>
          <w:spacing w:val="-1"/>
          <w:sz w:val="24"/>
          <w:szCs w:val="24"/>
        </w:rPr>
        <w:t>（区块二）</w:t>
      </w:r>
      <w:r>
        <w:rPr>
          <w:rFonts w:eastAsia="Times New Roman"/>
          <w:spacing w:val="-1"/>
          <w:sz w:val="24"/>
          <w:szCs w:val="24"/>
        </w:rPr>
        <w:t>=1.1×10</w:t>
      </w:r>
      <w:r>
        <w:rPr>
          <w:spacing w:val="-1"/>
          <w:sz w:val="24"/>
          <w:szCs w:val="24"/>
          <w:vertAlign w:val="superscript"/>
        </w:rPr>
        <w:t>-5</w:t>
      </w:r>
      <w:r>
        <w:rPr>
          <w:sz w:val="24"/>
          <w:szCs w:val="24"/>
        </w:rPr>
        <w:t>代入计算，得出现场当班人员平均风险值</w:t>
      </w:r>
      <w:r>
        <w:rPr>
          <w:rFonts w:eastAsia="Times New Roman"/>
          <w:i/>
          <w:iCs/>
          <w:sz w:val="24"/>
          <w:szCs w:val="24"/>
        </w:rPr>
        <w:t>R</w:t>
      </w:r>
      <w:r>
        <w:rPr>
          <w:rFonts w:eastAsia="Times New Roman"/>
          <w:i/>
          <w:iCs/>
          <w:position w:val="-7"/>
          <w:sz w:val="24"/>
          <w:szCs w:val="24"/>
        </w:rPr>
        <w:t>av</w:t>
      </w:r>
      <w:r>
        <w:rPr>
          <w:sz w:val="24"/>
          <w:szCs w:val="24"/>
        </w:rPr>
        <w:t>（区块一）</w:t>
      </w:r>
      <w:r>
        <w:rPr>
          <w:rFonts w:eastAsia="Times New Roman"/>
          <w:spacing w:val="-1"/>
          <w:sz w:val="24"/>
          <w:szCs w:val="24"/>
        </w:rPr>
        <w:t>=3.4×10</w:t>
      </w:r>
      <w:r>
        <w:rPr>
          <w:spacing w:val="-1"/>
          <w:sz w:val="24"/>
          <w:szCs w:val="24"/>
          <w:vertAlign w:val="superscript"/>
        </w:rPr>
        <w:t>-5</w:t>
      </w:r>
      <w:r>
        <w:rPr>
          <w:spacing w:val="-1"/>
          <w:sz w:val="24"/>
          <w:szCs w:val="24"/>
        </w:rPr>
        <w:t>，</w:t>
      </w:r>
      <w:r>
        <w:rPr>
          <w:rFonts w:eastAsia="Times New Roman"/>
          <w:i/>
          <w:iCs/>
          <w:sz w:val="24"/>
          <w:szCs w:val="24"/>
        </w:rPr>
        <w:t>R</w:t>
      </w:r>
      <w:r>
        <w:rPr>
          <w:rFonts w:eastAsia="Times New Roman"/>
          <w:i/>
          <w:iCs/>
          <w:position w:val="-6"/>
          <w:sz w:val="24"/>
          <w:szCs w:val="24"/>
        </w:rPr>
        <w:t>av</w:t>
      </w:r>
      <w:r>
        <w:rPr>
          <w:sz w:val="24"/>
          <w:szCs w:val="24"/>
        </w:rPr>
        <w:t>（区块二）</w:t>
      </w:r>
      <w:r>
        <w:rPr>
          <w:rFonts w:eastAsia="Times New Roman"/>
          <w:sz w:val="24"/>
          <w:szCs w:val="24"/>
        </w:rPr>
        <w:t>=4.6×1</w:t>
      </w:r>
      <w:r>
        <w:rPr>
          <w:rFonts w:eastAsia="Times New Roman"/>
          <w:spacing w:val="-1"/>
          <w:sz w:val="24"/>
          <w:szCs w:val="24"/>
        </w:rPr>
        <w:t>10</w:t>
      </w:r>
      <w:r>
        <w:rPr>
          <w:spacing w:val="-1"/>
          <w:sz w:val="24"/>
          <w:szCs w:val="24"/>
          <w:vertAlign w:val="superscript"/>
        </w:rPr>
        <w:t>-9</w:t>
      </w:r>
      <w:r>
        <w:rPr>
          <w:sz w:val="24"/>
          <w:szCs w:val="24"/>
        </w:rPr>
        <w:t>。危险化学品当量</w:t>
      </w:r>
      <w:r>
        <w:rPr>
          <w:rFonts w:eastAsia="Times New Roman"/>
          <w:i/>
          <w:iCs/>
          <w:sz w:val="24"/>
          <w:szCs w:val="24"/>
        </w:rPr>
        <w:t>C</w:t>
      </w:r>
      <w:r>
        <w:rPr>
          <w:rFonts w:eastAsia="Times New Roman"/>
          <w:i/>
          <w:iCs/>
          <w:position w:val="-5"/>
          <w:sz w:val="24"/>
          <w:szCs w:val="24"/>
        </w:rPr>
        <w:t>existing</w:t>
      </w:r>
      <w:r>
        <w:rPr>
          <w:spacing w:val="2"/>
          <w:sz w:val="24"/>
          <w:szCs w:val="24"/>
        </w:rPr>
        <w:t>（区块一）</w:t>
      </w:r>
      <w:r>
        <w:rPr>
          <w:rFonts w:eastAsia="Times New Roman"/>
          <w:spacing w:val="2"/>
          <w:sz w:val="24"/>
          <w:szCs w:val="24"/>
        </w:rPr>
        <w:t>=1120</w:t>
      </w:r>
      <w:r>
        <w:rPr>
          <w:spacing w:val="2"/>
          <w:sz w:val="24"/>
          <w:szCs w:val="24"/>
        </w:rPr>
        <w:t>吨、</w:t>
      </w:r>
      <w:r>
        <w:rPr>
          <w:rFonts w:eastAsia="Times New Roman"/>
          <w:i/>
          <w:iCs/>
          <w:sz w:val="24"/>
          <w:szCs w:val="24"/>
        </w:rPr>
        <w:t>C</w:t>
      </w:r>
      <w:r>
        <w:rPr>
          <w:rFonts w:eastAsia="Times New Roman"/>
          <w:i/>
          <w:iCs/>
          <w:position w:val="-5"/>
          <w:sz w:val="24"/>
          <w:szCs w:val="24"/>
        </w:rPr>
        <w:t>existing</w:t>
      </w:r>
      <w:r>
        <w:rPr>
          <w:spacing w:val="2"/>
          <w:sz w:val="24"/>
          <w:szCs w:val="24"/>
        </w:rPr>
        <w:t>（区块二）</w:t>
      </w:r>
      <w:r>
        <w:rPr>
          <w:rFonts w:eastAsia="Times New Roman"/>
          <w:spacing w:val="2"/>
          <w:sz w:val="24"/>
          <w:szCs w:val="24"/>
        </w:rPr>
        <w:t>=30</w:t>
      </w:r>
      <w:r>
        <w:rPr>
          <w:spacing w:val="2"/>
          <w:sz w:val="24"/>
          <w:szCs w:val="24"/>
        </w:rPr>
        <w:t>吨</w:t>
      </w:r>
      <w:r>
        <w:rPr>
          <w:spacing w:val="1"/>
          <w:sz w:val="24"/>
          <w:szCs w:val="24"/>
        </w:rPr>
        <w:t>，计算得出</w:t>
      </w:r>
      <w:r>
        <w:rPr>
          <w:rFonts w:eastAsia="Times New Roman"/>
          <w:i/>
          <w:iCs/>
          <w:sz w:val="24"/>
          <w:szCs w:val="24"/>
        </w:rPr>
        <w:t>R</w:t>
      </w:r>
      <w:r>
        <w:rPr>
          <w:spacing w:val="1"/>
          <w:sz w:val="24"/>
          <w:szCs w:val="24"/>
        </w:rPr>
        <w:t>（区块一）</w:t>
      </w:r>
      <w:r>
        <w:rPr>
          <w:rFonts w:eastAsia="Times New Roman"/>
          <w:spacing w:val="1"/>
          <w:sz w:val="24"/>
          <w:szCs w:val="24"/>
        </w:rPr>
        <w:t>=3×</w:t>
      </w:r>
      <w:r>
        <w:rPr>
          <w:rFonts w:eastAsia="Times New Roman"/>
          <w:spacing w:val="-1"/>
          <w:sz w:val="24"/>
          <w:szCs w:val="24"/>
        </w:rPr>
        <w:t>10</w:t>
      </w:r>
      <w:r>
        <w:rPr>
          <w:spacing w:val="-1"/>
          <w:sz w:val="24"/>
          <w:szCs w:val="24"/>
          <w:vertAlign w:val="superscript"/>
        </w:rPr>
        <w:t>-9</w:t>
      </w:r>
      <w:r>
        <w:rPr>
          <w:spacing w:val="1"/>
          <w:sz w:val="24"/>
          <w:szCs w:val="24"/>
        </w:rPr>
        <w:t>、</w:t>
      </w:r>
      <w:r>
        <w:rPr>
          <w:rFonts w:eastAsia="Times New Roman"/>
          <w:i/>
          <w:iCs/>
          <w:sz w:val="24"/>
          <w:szCs w:val="24"/>
        </w:rPr>
        <w:t>R</w:t>
      </w:r>
      <w:r>
        <w:rPr>
          <w:spacing w:val="-1"/>
          <w:sz w:val="24"/>
          <w:szCs w:val="24"/>
        </w:rPr>
        <w:t>（区块二）</w:t>
      </w:r>
      <w:r>
        <w:rPr>
          <w:rFonts w:eastAsia="Times New Roman"/>
          <w:spacing w:val="-1"/>
          <w:sz w:val="24"/>
          <w:szCs w:val="24"/>
        </w:rPr>
        <w:t>=1.5×10</w:t>
      </w:r>
      <w:r>
        <w:rPr>
          <w:spacing w:val="-1"/>
          <w:sz w:val="24"/>
          <w:szCs w:val="24"/>
          <w:vertAlign w:val="superscript"/>
        </w:rPr>
        <w:t>-10</w:t>
      </w:r>
      <w:r>
        <w:rPr>
          <w:spacing w:val="-1"/>
          <w:sz w:val="24"/>
          <w:szCs w:val="24"/>
        </w:rPr>
        <w:t>，将计算结果代入得出</w:t>
      </w:r>
      <w:r>
        <w:rPr>
          <w:rFonts w:eastAsia="Times New Roman"/>
          <w:i/>
          <w:iCs/>
          <w:sz w:val="24"/>
          <w:szCs w:val="24"/>
        </w:rPr>
        <w:t>C</w:t>
      </w:r>
      <w:r>
        <w:rPr>
          <w:rFonts w:eastAsia="Times New Roman"/>
          <w:position w:val="-5"/>
          <w:sz w:val="24"/>
          <w:szCs w:val="24"/>
        </w:rPr>
        <w:t>max</w:t>
      </w:r>
      <w:r>
        <w:rPr>
          <w:rFonts w:eastAsia="Times New Roman"/>
          <w:spacing w:val="-1"/>
          <w:position w:val="-5"/>
          <w:sz w:val="24"/>
          <w:szCs w:val="24"/>
        </w:rPr>
        <w:t>,</w:t>
      </w:r>
      <w:r>
        <w:rPr>
          <w:rFonts w:eastAsia="Times New Roman"/>
          <w:i/>
          <w:iCs/>
          <w:position w:val="-5"/>
          <w:sz w:val="24"/>
          <w:szCs w:val="24"/>
        </w:rPr>
        <w:t>existing</w:t>
      </w:r>
      <w:r>
        <w:rPr>
          <w:spacing w:val="-1"/>
          <w:sz w:val="24"/>
          <w:szCs w:val="24"/>
        </w:rPr>
        <w:t>（区块一）</w:t>
      </w:r>
      <w:r>
        <w:rPr>
          <w:rFonts w:eastAsia="Times New Roman"/>
          <w:sz w:val="24"/>
          <w:szCs w:val="24"/>
        </w:rPr>
        <w:t>=3333</w:t>
      </w:r>
      <w:r>
        <w:rPr>
          <w:spacing w:val="2"/>
          <w:sz w:val="24"/>
          <w:szCs w:val="24"/>
        </w:rPr>
        <w:t>吨、</w:t>
      </w:r>
      <w:r>
        <w:rPr>
          <w:rFonts w:eastAsia="Times New Roman"/>
          <w:i/>
          <w:iCs/>
          <w:position w:val="1"/>
          <w:sz w:val="24"/>
          <w:szCs w:val="24"/>
        </w:rPr>
        <w:t>C</w:t>
      </w:r>
      <w:r>
        <w:rPr>
          <w:rFonts w:eastAsia="Times New Roman"/>
          <w:position w:val="-5"/>
          <w:sz w:val="24"/>
          <w:szCs w:val="24"/>
        </w:rPr>
        <w:t>max</w:t>
      </w:r>
      <w:r>
        <w:rPr>
          <w:rFonts w:eastAsia="Times New Roman"/>
          <w:spacing w:val="2"/>
          <w:position w:val="-5"/>
          <w:sz w:val="24"/>
          <w:szCs w:val="24"/>
        </w:rPr>
        <w:t>,</w:t>
      </w:r>
      <w:r>
        <w:rPr>
          <w:rFonts w:eastAsia="Times New Roman"/>
          <w:i/>
          <w:iCs/>
          <w:position w:val="-5"/>
          <w:sz w:val="24"/>
          <w:szCs w:val="24"/>
        </w:rPr>
        <w:t>existing</w:t>
      </w:r>
      <w:r>
        <w:rPr>
          <w:spacing w:val="2"/>
          <w:sz w:val="24"/>
          <w:szCs w:val="24"/>
        </w:rPr>
        <w:t>（区块二）</w:t>
      </w:r>
      <w:r>
        <w:rPr>
          <w:rFonts w:eastAsia="Times New Roman"/>
          <w:spacing w:val="2"/>
          <w:sz w:val="24"/>
          <w:szCs w:val="24"/>
        </w:rPr>
        <w:t>=66666</w:t>
      </w:r>
      <w:r>
        <w:rPr>
          <w:spacing w:val="2"/>
          <w:sz w:val="24"/>
          <w:szCs w:val="24"/>
        </w:rPr>
        <w:t>吨。区块一总仓储面积</w:t>
      </w:r>
      <w:r>
        <w:rPr>
          <w:rFonts w:eastAsia="Times New Roman"/>
          <w:i/>
          <w:iCs/>
          <w:position w:val="1"/>
          <w:sz w:val="24"/>
          <w:szCs w:val="24"/>
        </w:rPr>
        <w:t>S</w:t>
      </w:r>
      <w:r>
        <w:rPr>
          <w:rFonts w:eastAsia="Times New Roman"/>
          <w:i/>
          <w:iCs/>
          <w:position w:val="-4"/>
          <w:sz w:val="24"/>
          <w:szCs w:val="24"/>
        </w:rPr>
        <w:t>existing</w:t>
      </w:r>
      <w:r>
        <w:rPr>
          <w:sz w:val="24"/>
          <w:szCs w:val="24"/>
        </w:rPr>
        <w:t>（区块一）</w:t>
      </w:r>
      <w:r>
        <w:rPr>
          <w:rFonts w:eastAsia="Times New Roman"/>
          <w:spacing w:val="3"/>
          <w:sz w:val="24"/>
          <w:szCs w:val="24"/>
        </w:rPr>
        <w:t>=23000</w:t>
      </w:r>
      <w:r>
        <w:rPr>
          <w:rFonts w:eastAsia="Times New Roman"/>
          <w:sz w:val="24"/>
          <w:szCs w:val="24"/>
        </w:rPr>
        <w:t>m</w:t>
      </w:r>
      <w:r>
        <w:rPr>
          <w:sz w:val="24"/>
          <w:szCs w:val="24"/>
          <w:vertAlign w:val="superscript"/>
        </w:rPr>
        <w:t>2</w:t>
      </w:r>
      <w:r>
        <w:rPr>
          <w:spacing w:val="3"/>
          <w:sz w:val="24"/>
          <w:szCs w:val="24"/>
        </w:rPr>
        <w:t>，区块二总仓储面积</w:t>
      </w:r>
      <w:r>
        <w:rPr>
          <w:rFonts w:eastAsia="Times New Roman"/>
          <w:i/>
          <w:iCs/>
          <w:sz w:val="24"/>
          <w:szCs w:val="24"/>
        </w:rPr>
        <w:t>S</w:t>
      </w:r>
      <w:r>
        <w:rPr>
          <w:rFonts w:eastAsia="Times New Roman"/>
          <w:i/>
          <w:iCs/>
          <w:position w:val="-5"/>
          <w:sz w:val="24"/>
          <w:szCs w:val="24"/>
        </w:rPr>
        <w:t>existing</w:t>
      </w:r>
      <w:r>
        <w:rPr>
          <w:spacing w:val="3"/>
          <w:sz w:val="24"/>
          <w:szCs w:val="24"/>
        </w:rPr>
        <w:t>（区块二）</w:t>
      </w:r>
      <w:r>
        <w:rPr>
          <w:rFonts w:eastAsia="Times New Roman"/>
          <w:spacing w:val="3"/>
          <w:sz w:val="24"/>
          <w:szCs w:val="24"/>
        </w:rPr>
        <w:t>=5500</w:t>
      </w:r>
      <w:r>
        <w:rPr>
          <w:rFonts w:eastAsia="Times New Roman"/>
          <w:sz w:val="24"/>
          <w:szCs w:val="24"/>
        </w:rPr>
        <w:t>m</w:t>
      </w:r>
      <w:r>
        <w:rPr>
          <w:sz w:val="24"/>
          <w:szCs w:val="24"/>
          <w:vertAlign w:val="superscript"/>
        </w:rPr>
        <w:t>2</w:t>
      </w:r>
      <w:r>
        <w:rPr>
          <w:spacing w:val="3"/>
          <w:sz w:val="24"/>
          <w:szCs w:val="24"/>
        </w:rPr>
        <w:t>，</w:t>
      </w:r>
      <w:r>
        <w:rPr>
          <w:spacing w:val="1"/>
          <w:sz w:val="24"/>
          <w:szCs w:val="24"/>
        </w:rPr>
        <w:t>将计算结果代入式(</w:t>
      </w:r>
      <w:r>
        <w:rPr>
          <w:rFonts w:eastAsia="Times New Roman"/>
          <w:spacing w:val="1"/>
          <w:sz w:val="24"/>
          <w:szCs w:val="24"/>
        </w:rPr>
        <w:t>6-</w:t>
      </w:r>
      <w:r>
        <w:rPr>
          <w:rFonts w:eastAsia="Times New Roman"/>
          <w:sz w:val="24"/>
          <w:szCs w:val="24"/>
        </w:rPr>
        <w:t>8</w:t>
      </w:r>
      <w:r>
        <w:rPr>
          <w:sz w:val="24"/>
          <w:szCs w:val="24"/>
        </w:rPr>
        <w:t>) 得出</w:t>
      </w:r>
      <w:r>
        <w:rPr>
          <w:rFonts w:eastAsia="Times New Roman"/>
          <w:i/>
          <w:iCs/>
          <w:position w:val="1"/>
          <w:sz w:val="24"/>
          <w:szCs w:val="24"/>
        </w:rPr>
        <w:t>C</w:t>
      </w:r>
      <w:r>
        <w:rPr>
          <w:rFonts w:eastAsia="Times New Roman"/>
          <w:position w:val="-4"/>
          <w:sz w:val="24"/>
          <w:szCs w:val="24"/>
        </w:rPr>
        <w:t>max,</w:t>
      </w:r>
      <w:r>
        <w:rPr>
          <w:rFonts w:eastAsia="Times New Roman"/>
          <w:i/>
          <w:iCs/>
          <w:position w:val="-4"/>
          <w:sz w:val="24"/>
          <w:szCs w:val="24"/>
        </w:rPr>
        <w:t>existing</w:t>
      </w:r>
      <w:r>
        <w:rPr>
          <w:sz w:val="24"/>
          <w:szCs w:val="24"/>
        </w:rPr>
        <w:t>（区块一）</w:t>
      </w:r>
      <w:r>
        <w:rPr>
          <w:rFonts w:eastAsia="Times New Roman"/>
          <w:sz w:val="24"/>
          <w:szCs w:val="24"/>
        </w:rPr>
        <w:t>=0.14</w:t>
      </w:r>
      <w:r>
        <w:rPr>
          <w:sz w:val="24"/>
          <w:szCs w:val="24"/>
        </w:rPr>
        <w:t>吨，</w:t>
      </w:r>
      <w:r>
        <w:rPr>
          <w:rFonts w:eastAsia="Times New Roman"/>
          <w:i/>
          <w:iCs/>
          <w:position w:val="1"/>
          <w:sz w:val="24"/>
          <w:szCs w:val="24"/>
        </w:rPr>
        <w:t>C</w:t>
      </w:r>
      <w:r>
        <w:rPr>
          <w:rFonts w:eastAsia="Times New Roman"/>
          <w:position w:val="-4"/>
          <w:sz w:val="24"/>
          <w:szCs w:val="24"/>
        </w:rPr>
        <w:t>max,</w:t>
      </w:r>
      <w:r>
        <w:rPr>
          <w:rFonts w:eastAsia="Times New Roman"/>
          <w:i/>
          <w:iCs/>
          <w:position w:val="-4"/>
          <w:sz w:val="24"/>
          <w:szCs w:val="24"/>
        </w:rPr>
        <w:t>existing</w:t>
      </w:r>
      <w:r>
        <w:rPr>
          <w:sz w:val="24"/>
          <w:szCs w:val="24"/>
        </w:rPr>
        <w:t>（区块二）</w:t>
      </w:r>
      <w:r>
        <w:rPr>
          <w:rFonts w:eastAsia="Times New Roman"/>
          <w:spacing w:val="12"/>
          <w:sz w:val="24"/>
          <w:szCs w:val="24"/>
        </w:rPr>
        <w:t>=12</w:t>
      </w:r>
      <w:r>
        <w:rPr>
          <w:rFonts w:eastAsia="Times New Roman"/>
          <w:spacing w:val="9"/>
          <w:sz w:val="24"/>
          <w:szCs w:val="24"/>
        </w:rPr>
        <w:t>.</w:t>
      </w:r>
      <w:r>
        <w:rPr>
          <w:rFonts w:eastAsia="Times New Roman"/>
          <w:spacing w:val="6"/>
          <w:sz w:val="24"/>
          <w:szCs w:val="24"/>
        </w:rPr>
        <w:t>1</w:t>
      </w:r>
      <w:r>
        <w:rPr>
          <w:spacing w:val="6"/>
          <w:sz w:val="24"/>
          <w:szCs w:val="24"/>
        </w:rPr>
        <w:t>吨，区块一已无发展用地，区块二产业</w:t>
      </w:r>
      <w:r>
        <w:rPr>
          <w:spacing w:val="2"/>
          <w:sz w:val="24"/>
          <w:szCs w:val="24"/>
        </w:rPr>
        <w:t>定位医药行</w:t>
      </w:r>
      <w:r>
        <w:rPr>
          <w:spacing w:val="1"/>
          <w:sz w:val="24"/>
          <w:szCs w:val="24"/>
        </w:rPr>
        <w:t>业，仓储面积约占厂区面积的</w:t>
      </w:r>
      <w:r>
        <w:rPr>
          <w:rFonts w:eastAsia="Times New Roman"/>
          <w:spacing w:val="1"/>
          <w:sz w:val="24"/>
          <w:szCs w:val="24"/>
        </w:rPr>
        <w:t>5%</w:t>
      </w:r>
      <w:r>
        <w:rPr>
          <w:spacing w:val="1"/>
          <w:sz w:val="24"/>
          <w:szCs w:val="24"/>
        </w:rPr>
        <w:t>，目前化工园区</w:t>
      </w:r>
      <w:r>
        <w:rPr>
          <w:spacing w:val="6"/>
          <w:sz w:val="24"/>
          <w:szCs w:val="24"/>
        </w:rPr>
        <w:t>区块二</w:t>
      </w:r>
      <w:r>
        <w:rPr>
          <w:spacing w:val="1"/>
          <w:sz w:val="24"/>
          <w:szCs w:val="24"/>
        </w:rPr>
        <w:t>未开</w:t>
      </w:r>
      <w:r>
        <w:rPr>
          <w:spacing w:val="12"/>
          <w:sz w:val="24"/>
          <w:szCs w:val="24"/>
        </w:rPr>
        <w:t>发</w:t>
      </w:r>
      <w:r>
        <w:rPr>
          <w:spacing w:val="9"/>
          <w:sz w:val="24"/>
          <w:szCs w:val="24"/>
        </w:rPr>
        <w:t>用</w:t>
      </w:r>
      <w:r>
        <w:rPr>
          <w:spacing w:val="6"/>
          <w:sz w:val="24"/>
          <w:szCs w:val="24"/>
        </w:rPr>
        <w:t>地约</w:t>
      </w:r>
      <w:r>
        <w:rPr>
          <w:rFonts w:eastAsia="Times New Roman"/>
          <w:spacing w:val="6"/>
          <w:sz w:val="24"/>
          <w:szCs w:val="24"/>
        </w:rPr>
        <w:t>987400</w:t>
      </w:r>
      <w:r>
        <w:rPr>
          <w:rFonts w:eastAsia="Times New Roman"/>
          <w:sz w:val="24"/>
          <w:szCs w:val="24"/>
        </w:rPr>
        <w:t>m</w:t>
      </w:r>
      <w:r>
        <w:rPr>
          <w:sz w:val="24"/>
          <w:szCs w:val="24"/>
          <w:vertAlign w:val="superscript"/>
        </w:rPr>
        <w:t>2</w:t>
      </w:r>
      <w:r>
        <w:rPr>
          <w:spacing w:val="6"/>
          <w:sz w:val="24"/>
          <w:szCs w:val="24"/>
        </w:rPr>
        <w:t>，因此预计新增仓储面积</w:t>
      </w:r>
      <w:r>
        <w:rPr>
          <w:rFonts w:eastAsia="Times New Roman"/>
          <w:i/>
          <w:iCs/>
          <w:sz w:val="24"/>
          <w:szCs w:val="24"/>
        </w:rPr>
        <w:t>S</w:t>
      </w:r>
      <w:r>
        <w:rPr>
          <w:rFonts w:eastAsia="Times New Roman"/>
          <w:position w:val="-5"/>
          <w:sz w:val="24"/>
          <w:szCs w:val="24"/>
        </w:rPr>
        <w:t>exp</w:t>
      </w:r>
      <w:r>
        <w:rPr>
          <w:rFonts w:eastAsia="Times New Roman"/>
          <w:i/>
          <w:iCs/>
          <w:position w:val="-5"/>
          <w:sz w:val="24"/>
          <w:szCs w:val="24"/>
        </w:rPr>
        <w:t>anding</w:t>
      </w:r>
      <w:r>
        <w:rPr>
          <w:spacing w:val="6"/>
          <w:sz w:val="24"/>
          <w:szCs w:val="24"/>
        </w:rPr>
        <w:t>（区块二）</w:t>
      </w:r>
      <w:r>
        <w:rPr>
          <w:rFonts w:eastAsia="Times New Roman"/>
          <w:spacing w:val="6"/>
          <w:sz w:val="24"/>
          <w:szCs w:val="24"/>
        </w:rPr>
        <w:t>=987400</w:t>
      </w:r>
      <w:r>
        <w:rPr>
          <w:spacing w:val="6"/>
          <w:sz w:val="24"/>
          <w:szCs w:val="24"/>
        </w:rPr>
        <w:t>×5%=</w:t>
      </w:r>
      <w:r>
        <w:rPr>
          <w:rFonts w:eastAsia="Times New Roman"/>
          <w:spacing w:val="6"/>
          <w:sz w:val="24"/>
          <w:szCs w:val="24"/>
        </w:rPr>
        <w:t>49370</w:t>
      </w:r>
      <w:r>
        <w:rPr>
          <w:rFonts w:eastAsia="Times New Roman"/>
          <w:sz w:val="24"/>
          <w:szCs w:val="24"/>
        </w:rPr>
        <w:t>m</w:t>
      </w:r>
      <w:r>
        <w:rPr>
          <w:sz w:val="24"/>
          <w:szCs w:val="24"/>
          <w:vertAlign w:val="superscript"/>
        </w:rPr>
        <w:t>2</w:t>
      </w:r>
      <w:r>
        <w:rPr>
          <w:spacing w:val="6"/>
          <w:sz w:val="24"/>
          <w:szCs w:val="24"/>
        </w:rPr>
        <w:t>，</w:t>
      </w:r>
      <w:r>
        <w:rPr>
          <w:spacing w:val="4"/>
          <w:sz w:val="24"/>
          <w:szCs w:val="24"/>
        </w:rPr>
        <w:t>将</w:t>
      </w:r>
      <w:r>
        <w:rPr>
          <w:spacing w:val="3"/>
          <w:sz w:val="24"/>
          <w:szCs w:val="24"/>
        </w:rPr>
        <w:t>计算结果得到区块二规划</w:t>
      </w:r>
      <w:r>
        <w:rPr>
          <w:spacing w:val="6"/>
          <w:sz w:val="24"/>
          <w:szCs w:val="24"/>
        </w:rPr>
        <w:t>空地最大安全容量</w:t>
      </w:r>
      <w:r>
        <w:rPr>
          <w:rFonts w:eastAsia="Times New Roman"/>
          <w:i/>
          <w:iCs/>
          <w:position w:val="12"/>
          <w:sz w:val="24"/>
          <w:szCs w:val="24"/>
        </w:rPr>
        <w:t>C</w:t>
      </w:r>
      <w:r>
        <w:rPr>
          <w:rFonts w:eastAsia="Times New Roman"/>
          <w:position w:val="6"/>
          <w:sz w:val="24"/>
          <w:szCs w:val="24"/>
        </w:rPr>
        <w:t>max</w:t>
      </w:r>
      <w:r>
        <w:rPr>
          <w:rFonts w:eastAsia="Times New Roman"/>
          <w:spacing w:val="2"/>
          <w:position w:val="6"/>
          <w:sz w:val="24"/>
          <w:szCs w:val="24"/>
        </w:rPr>
        <w:t>,</w:t>
      </w:r>
      <w:r>
        <w:rPr>
          <w:rFonts w:eastAsia="Times New Roman"/>
          <w:position w:val="6"/>
          <w:sz w:val="24"/>
          <w:szCs w:val="24"/>
        </w:rPr>
        <w:t>exp</w:t>
      </w:r>
      <w:r>
        <w:rPr>
          <w:rFonts w:eastAsia="Times New Roman"/>
          <w:i/>
          <w:iCs/>
          <w:position w:val="6"/>
          <w:sz w:val="24"/>
          <w:szCs w:val="24"/>
        </w:rPr>
        <w:t>anding</w:t>
      </w:r>
      <w:r>
        <w:rPr>
          <w:spacing w:val="1"/>
          <w:position w:val="-1"/>
          <w:sz w:val="24"/>
          <w:szCs w:val="24"/>
        </w:rPr>
        <w:t>（区块二）</w:t>
      </w:r>
      <w:r>
        <w:rPr>
          <w:rFonts w:eastAsia="Times New Roman"/>
          <w:spacing w:val="1"/>
          <w:position w:val="-1"/>
          <w:sz w:val="24"/>
          <w:szCs w:val="24"/>
        </w:rPr>
        <w:t>=597377</w:t>
      </w:r>
      <w:r>
        <w:rPr>
          <w:spacing w:val="1"/>
          <w:position w:val="-1"/>
          <w:sz w:val="24"/>
          <w:szCs w:val="24"/>
        </w:rPr>
        <w:t>吨。</w:t>
      </w:r>
    </w:p>
    <w:p w14:paraId="080AC6F1">
      <w:pPr>
        <w:spacing w:line="360" w:lineRule="auto"/>
        <w:ind w:firstLine="464" w:firstLineChars="200"/>
      </w:pPr>
      <w:r>
        <w:rPr>
          <w:spacing w:val="-4"/>
          <w:sz w:val="24"/>
          <w:szCs w:val="24"/>
        </w:rPr>
        <w:t>最后计算出的化工园区</w:t>
      </w:r>
      <w:r>
        <w:rPr>
          <w:spacing w:val="-2"/>
          <w:sz w:val="24"/>
          <w:szCs w:val="24"/>
        </w:rPr>
        <w:t>安全容量贡献率</w:t>
      </w:r>
      <w:r>
        <w:rPr>
          <w:rFonts w:eastAsia="Times New Roman"/>
          <w:spacing w:val="-2"/>
          <w:sz w:val="24"/>
          <w:szCs w:val="24"/>
        </w:rPr>
        <w:t>0.</w:t>
      </w:r>
      <w:r>
        <w:rPr>
          <w:spacing w:val="-2"/>
          <w:sz w:val="24"/>
          <w:szCs w:val="24"/>
        </w:rPr>
        <w:t>8113，计算得出化工园区（区块一）总安全容量为</w:t>
      </w:r>
      <w:r>
        <w:rPr>
          <w:rFonts w:eastAsia="Times New Roman"/>
          <w:spacing w:val="-2"/>
          <w:sz w:val="24"/>
          <w:szCs w:val="24"/>
        </w:rPr>
        <w:t>3333</w:t>
      </w:r>
      <w:r>
        <w:rPr>
          <w:spacing w:val="-2"/>
          <w:sz w:val="24"/>
          <w:szCs w:val="24"/>
        </w:rPr>
        <w:t>吨，剩余</w:t>
      </w:r>
      <w:r>
        <w:rPr>
          <w:rFonts w:eastAsia="Times New Roman"/>
          <w:spacing w:val="-2"/>
          <w:sz w:val="24"/>
          <w:szCs w:val="24"/>
        </w:rPr>
        <w:t>2213</w:t>
      </w:r>
      <w:r>
        <w:rPr>
          <w:spacing w:val="-1"/>
          <w:sz w:val="24"/>
          <w:szCs w:val="24"/>
        </w:rPr>
        <w:t>吨安全容量。化工园区(</w:t>
      </w:r>
      <w:r>
        <w:rPr>
          <w:spacing w:val="3"/>
          <w:sz w:val="24"/>
          <w:szCs w:val="24"/>
        </w:rPr>
        <w:t>区块二</w:t>
      </w:r>
      <w:r>
        <w:rPr>
          <w:spacing w:val="-14"/>
          <w:sz w:val="24"/>
          <w:szCs w:val="24"/>
        </w:rPr>
        <w:t>)总</w:t>
      </w:r>
      <w:r>
        <w:rPr>
          <w:spacing w:val="-7"/>
          <w:sz w:val="24"/>
          <w:szCs w:val="24"/>
        </w:rPr>
        <w:t>安全容量为</w:t>
      </w:r>
      <w:r>
        <w:rPr>
          <w:rFonts w:eastAsia="Times New Roman"/>
          <w:spacing w:val="-7"/>
          <w:sz w:val="24"/>
          <w:szCs w:val="24"/>
        </w:rPr>
        <w:t>66666</w:t>
      </w:r>
      <w:r>
        <w:rPr>
          <w:spacing w:val="-7"/>
          <w:sz w:val="24"/>
          <w:szCs w:val="24"/>
        </w:rPr>
        <w:t>吨，剩余</w:t>
      </w:r>
      <w:r>
        <w:rPr>
          <w:rFonts w:eastAsia="Times New Roman"/>
          <w:spacing w:val="-7"/>
          <w:sz w:val="24"/>
          <w:szCs w:val="24"/>
        </w:rPr>
        <w:t>66636</w:t>
      </w:r>
      <w:r>
        <w:rPr>
          <w:spacing w:val="-7"/>
          <w:sz w:val="24"/>
          <w:szCs w:val="24"/>
        </w:rPr>
        <w:t>吨安全容量，规划空地安全容量</w:t>
      </w:r>
      <w:r>
        <w:rPr>
          <w:spacing w:val="-11"/>
          <w:sz w:val="24"/>
          <w:szCs w:val="24"/>
        </w:rPr>
        <w:t>为</w:t>
      </w:r>
      <w:r>
        <w:rPr>
          <w:rFonts w:eastAsia="Times New Roman"/>
          <w:spacing w:val="-8"/>
          <w:sz w:val="24"/>
          <w:szCs w:val="24"/>
        </w:rPr>
        <w:t>597377</w:t>
      </w:r>
      <w:r>
        <w:rPr>
          <w:spacing w:val="-8"/>
          <w:sz w:val="24"/>
          <w:szCs w:val="24"/>
        </w:rPr>
        <w:t>吨。</w:t>
      </w:r>
    </w:p>
    <w:p w14:paraId="1380115D">
      <w:pPr>
        <w:spacing w:line="360" w:lineRule="auto"/>
        <w:ind w:firstLine="480" w:firstLineChars="200"/>
        <w:rPr>
          <w:sz w:val="24"/>
          <w:szCs w:val="24"/>
        </w:rPr>
      </w:pPr>
      <w:r>
        <w:rPr>
          <w:sz w:val="24"/>
          <w:szCs w:val="24"/>
        </w:rPr>
        <w:t>具体计算过程见安徽祥源科技股份有限公司2020年9月编制的《淮南经济技术开发区化工集中区整体性安全风险评估报告》。</w:t>
      </w:r>
    </w:p>
    <w:p w14:paraId="7A8D9157">
      <w:pPr>
        <w:pStyle w:val="12"/>
        <w:spacing w:line="360" w:lineRule="auto"/>
        <w:ind w:firstLine="0"/>
        <w:jc w:val="left"/>
        <w:outlineLvl w:val="2"/>
        <w:rPr>
          <w:b/>
          <w:sz w:val="24"/>
          <w:szCs w:val="24"/>
        </w:rPr>
      </w:pPr>
      <w:r>
        <w:rPr>
          <w:b/>
          <w:sz w:val="24"/>
          <w:szCs w:val="24"/>
        </w:rPr>
        <w:t>9.5.4化工园区交通枢纽区安全布局</w:t>
      </w:r>
    </w:p>
    <w:p w14:paraId="65E212E2">
      <w:pPr>
        <w:pStyle w:val="5"/>
        <w:spacing w:before="0" w:line="360" w:lineRule="auto"/>
        <w:rPr>
          <w:sz w:val="24"/>
          <w:szCs w:val="24"/>
        </w:rPr>
      </w:pPr>
      <w:r>
        <w:rPr>
          <w:sz w:val="24"/>
          <w:szCs w:val="24"/>
        </w:rPr>
        <w:t>9.5.4.1内外部交通现状</w:t>
      </w:r>
    </w:p>
    <w:p w14:paraId="57225ABD">
      <w:pPr>
        <w:spacing w:line="360" w:lineRule="auto"/>
        <w:ind w:firstLine="556" w:firstLineChars="200"/>
        <w:rPr>
          <w:sz w:val="24"/>
          <w:szCs w:val="24"/>
        </w:rPr>
      </w:pPr>
      <w:bookmarkStart w:id="293" w:name="_Toc533684527"/>
      <w:bookmarkStart w:id="294" w:name="_Toc531858048"/>
      <w:bookmarkStart w:id="295" w:name="_Toc17751948"/>
      <w:r>
        <w:rPr>
          <w:spacing w:val="19"/>
          <w:sz w:val="24"/>
          <w:szCs w:val="24"/>
        </w:rPr>
        <w:t>(</w:t>
      </w:r>
      <w:r>
        <w:rPr>
          <w:rFonts w:eastAsia="Times New Roman"/>
          <w:spacing w:val="15"/>
          <w:sz w:val="24"/>
          <w:szCs w:val="24"/>
        </w:rPr>
        <w:t>1</w:t>
      </w:r>
      <w:r>
        <w:rPr>
          <w:spacing w:val="15"/>
          <w:sz w:val="24"/>
          <w:szCs w:val="24"/>
        </w:rPr>
        <w:t>) 道路现状</w:t>
      </w:r>
    </w:p>
    <w:p w14:paraId="23CE1EA2">
      <w:pPr>
        <w:spacing w:line="360" w:lineRule="auto"/>
        <w:ind w:firstLine="500" w:firstLineChars="200"/>
        <w:rPr>
          <w:sz w:val="24"/>
          <w:szCs w:val="24"/>
        </w:rPr>
      </w:pPr>
      <w:r>
        <w:rPr>
          <w:spacing w:val="5"/>
          <w:sz w:val="24"/>
          <w:szCs w:val="24"/>
        </w:rPr>
        <w:t>区块一：田东路、建设北路、永兴路。</w:t>
      </w:r>
    </w:p>
    <w:p w14:paraId="5A99FBA4">
      <w:pPr>
        <w:tabs>
          <w:tab w:val="left" w:pos="187"/>
        </w:tabs>
        <w:spacing w:line="360" w:lineRule="auto"/>
        <w:ind w:firstLine="500" w:firstLineChars="200"/>
        <w:rPr>
          <w:sz w:val="24"/>
          <w:szCs w:val="24"/>
        </w:rPr>
      </w:pPr>
      <w:r>
        <w:rPr>
          <w:spacing w:val="5"/>
          <w:sz w:val="24"/>
          <w:szCs w:val="24"/>
        </w:rPr>
        <w:t>区块二</w:t>
      </w:r>
      <w:r>
        <w:rPr>
          <w:sz w:val="24"/>
          <w:szCs w:val="24"/>
        </w:rPr>
        <w:t>：长宁路(园区内西段已建，园区内东段</w:t>
      </w:r>
      <w:r>
        <w:rPr>
          <w:spacing w:val="12"/>
          <w:sz w:val="24"/>
          <w:szCs w:val="24"/>
        </w:rPr>
        <w:t>未建)</w:t>
      </w:r>
      <w:r>
        <w:rPr>
          <w:spacing w:val="7"/>
          <w:sz w:val="24"/>
          <w:szCs w:val="24"/>
        </w:rPr>
        <w:t>、</w:t>
      </w:r>
      <w:r>
        <w:rPr>
          <w:spacing w:val="6"/>
          <w:sz w:val="24"/>
          <w:szCs w:val="24"/>
        </w:rPr>
        <w:t>吉安路、长富路(园区内西段在建，园区内东段未建)、洛九路</w:t>
      </w:r>
      <w:r>
        <w:rPr>
          <w:spacing w:val="7"/>
          <w:sz w:val="24"/>
          <w:szCs w:val="24"/>
        </w:rPr>
        <w:t>(</w:t>
      </w:r>
      <w:r>
        <w:rPr>
          <w:rFonts w:eastAsia="Times New Roman"/>
          <w:sz w:val="24"/>
          <w:szCs w:val="24"/>
        </w:rPr>
        <w:t>G</w:t>
      </w:r>
      <w:r>
        <w:rPr>
          <w:rFonts w:eastAsia="Times New Roman"/>
          <w:spacing w:val="7"/>
          <w:sz w:val="24"/>
          <w:szCs w:val="24"/>
        </w:rPr>
        <w:t>206</w:t>
      </w:r>
      <w:r>
        <w:rPr>
          <w:spacing w:val="7"/>
          <w:sz w:val="24"/>
          <w:szCs w:val="24"/>
        </w:rPr>
        <w:t>)、东兴路(园区内段未建)</w:t>
      </w:r>
      <w:r>
        <w:rPr>
          <w:spacing w:val="6"/>
          <w:sz w:val="24"/>
          <w:szCs w:val="24"/>
        </w:rPr>
        <w:t>。</w:t>
      </w:r>
      <w:r>
        <w:rPr>
          <w:spacing w:val="4"/>
          <w:sz w:val="24"/>
          <w:szCs w:val="24"/>
        </w:rPr>
        <w:t>朝阳东路、吉兴路、庆兴路(园区内段</w:t>
      </w:r>
      <w:r>
        <w:rPr>
          <w:spacing w:val="-8"/>
          <w:sz w:val="24"/>
          <w:szCs w:val="24"/>
        </w:rPr>
        <w:t>未建)。</w:t>
      </w:r>
    </w:p>
    <w:p w14:paraId="4506C81C">
      <w:pPr>
        <w:spacing w:line="360" w:lineRule="auto"/>
        <w:ind w:firstLine="556" w:firstLineChars="200"/>
        <w:rPr>
          <w:sz w:val="24"/>
          <w:szCs w:val="24"/>
        </w:rPr>
      </w:pPr>
      <w:r>
        <w:rPr>
          <w:spacing w:val="19"/>
          <w:sz w:val="24"/>
          <w:szCs w:val="24"/>
        </w:rPr>
        <w:t>(</w:t>
      </w:r>
      <w:r>
        <w:rPr>
          <w:rFonts w:eastAsia="Times New Roman"/>
          <w:spacing w:val="15"/>
          <w:sz w:val="24"/>
          <w:szCs w:val="24"/>
        </w:rPr>
        <w:t>2</w:t>
      </w:r>
      <w:r>
        <w:rPr>
          <w:spacing w:val="15"/>
          <w:sz w:val="24"/>
          <w:szCs w:val="24"/>
        </w:rPr>
        <w:t>) 道路规划</w:t>
      </w:r>
    </w:p>
    <w:p w14:paraId="22C0A76B">
      <w:pPr>
        <w:tabs>
          <w:tab w:val="left" w:pos="187"/>
        </w:tabs>
        <w:spacing w:line="360" w:lineRule="auto"/>
        <w:ind w:firstLine="496" w:firstLineChars="200"/>
        <w:rPr>
          <w:spacing w:val="4"/>
          <w:sz w:val="24"/>
          <w:szCs w:val="24"/>
        </w:rPr>
      </w:pPr>
      <w:r>
        <w:rPr>
          <w:spacing w:val="4"/>
          <w:sz w:val="24"/>
          <w:szCs w:val="24"/>
        </w:rPr>
        <w:t>区块一规划主干道为建设路，次干道为电厂路和田东路，规划支路为永兴路，规划道路图见附图</w:t>
      </w:r>
      <w:r>
        <w:rPr>
          <w:rFonts w:hint="eastAsia"/>
          <w:spacing w:val="4"/>
          <w:sz w:val="24"/>
          <w:szCs w:val="24"/>
        </w:rPr>
        <w:t>9.</w:t>
      </w:r>
      <w:r>
        <w:rPr>
          <w:spacing w:val="4"/>
          <w:sz w:val="24"/>
          <w:szCs w:val="24"/>
        </w:rPr>
        <w:t>区块一道路交通规划图（图号：</w:t>
      </w:r>
      <w:r>
        <w:rPr>
          <w:rFonts w:hint="eastAsia"/>
          <w:spacing w:val="4"/>
          <w:sz w:val="24"/>
          <w:szCs w:val="24"/>
        </w:rPr>
        <w:t>Z-28-9</w:t>
      </w:r>
      <w:r>
        <w:rPr>
          <w:spacing w:val="4"/>
          <w:sz w:val="24"/>
          <w:szCs w:val="24"/>
        </w:rPr>
        <w:t>）。</w:t>
      </w:r>
    </w:p>
    <w:p w14:paraId="6B01DBEC">
      <w:pPr>
        <w:tabs>
          <w:tab w:val="left" w:pos="187"/>
        </w:tabs>
        <w:spacing w:line="360" w:lineRule="auto"/>
        <w:ind w:firstLine="496" w:firstLineChars="200"/>
        <w:rPr>
          <w:spacing w:val="4"/>
          <w:sz w:val="24"/>
          <w:szCs w:val="24"/>
        </w:rPr>
      </w:pPr>
      <w:r>
        <w:rPr>
          <w:spacing w:val="4"/>
          <w:sz w:val="24"/>
          <w:szCs w:val="24"/>
        </w:rPr>
        <w:t>区块二东面的道路网为“三横三纵”，棋盘式布局。“三横”为长宁路、吉安路、长富路，“三纵”为华兴路、洛九路(G206)、东兴路。</w:t>
      </w:r>
    </w:p>
    <w:p w14:paraId="3F99C9B5">
      <w:pPr>
        <w:tabs>
          <w:tab w:val="left" w:pos="187"/>
        </w:tabs>
        <w:spacing w:line="360" w:lineRule="auto"/>
        <w:ind w:firstLine="496" w:firstLineChars="200"/>
        <w:rPr>
          <w:spacing w:val="4"/>
          <w:sz w:val="24"/>
          <w:szCs w:val="24"/>
        </w:rPr>
      </w:pPr>
      <w:r>
        <w:rPr>
          <w:spacing w:val="4"/>
          <w:sz w:val="24"/>
          <w:szCs w:val="24"/>
        </w:rPr>
        <w:t>区块二西面的道路网为“两横一纵”，棋盘式布局。“两横”为朝阳东路、庆兴北路，“一纵”为吉兴路。</w:t>
      </w:r>
    </w:p>
    <w:p w14:paraId="604619B2">
      <w:pPr>
        <w:tabs>
          <w:tab w:val="left" w:pos="187"/>
        </w:tabs>
        <w:spacing w:line="360" w:lineRule="auto"/>
        <w:ind w:firstLine="496" w:firstLineChars="200"/>
        <w:rPr>
          <w:spacing w:val="4"/>
          <w:sz w:val="24"/>
          <w:szCs w:val="24"/>
        </w:rPr>
      </w:pPr>
      <w:r>
        <w:rPr>
          <w:spacing w:val="4"/>
          <w:sz w:val="24"/>
          <w:szCs w:val="24"/>
        </w:rPr>
        <w:t>化工园区内道路按主干道、次干道二级设置，路网间距250-690米。朝阳东路主干道红线宽度24米，长宁路、长富路、华兴路、东兴路、吉兴路、庆兴路次干道红线宽度16米，田东路、建设北路、永兴路、吉安路支路红线宽度8米，化工园区道路远期规划图见附图</w:t>
      </w:r>
      <w:r>
        <w:rPr>
          <w:rFonts w:hint="eastAsia"/>
          <w:spacing w:val="4"/>
          <w:sz w:val="24"/>
          <w:szCs w:val="24"/>
        </w:rPr>
        <w:t>21</w:t>
      </w:r>
      <w:r>
        <w:rPr>
          <w:spacing w:val="4"/>
          <w:sz w:val="24"/>
          <w:szCs w:val="24"/>
        </w:rPr>
        <w:t>.区块二道路交通规划图（图号：</w:t>
      </w:r>
      <w:r>
        <w:rPr>
          <w:rFonts w:hint="eastAsia"/>
          <w:spacing w:val="4"/>
          <w:sz w:val="24"/>
          <w:szCs w:val="24"/>
        </w:rPr>
        <w:t>Z-28-21</w:t>
      </w:r>
      <w:r>
        <w:rPr>
          <w:spacing w:val="4"/>
          <w:sz w:val="24"/>
          <w:szCs w:val="24"/>
        </w:rPr>
        <w:t>）。</w:t>
      </w:r>
    </w:p>
    <w:bookmarkEnd w:id="293"/>
    <w:bookmarkEnd w:id="294"/>
    <w:bookmarkEnd w:id="295"/>
    <w:p w14:paraId="1971F1BD">
      <w:pPr>
        <w:pStyle w:val="5"/>
        <w:rPr>
          <w:sz w:val="24"/>
          <w:szCs w:val="24"/>
        </w:rPr>
      </w:pPr>
      <w:bookmarkStart w:id="296" w:name="_Toc17751949"/>
      <w:r>
        <w:rPr>
          <w:sz w:val="24"/>
          <w:szCs w:val="24"/>
        </w:rPr>
        <w:t>9.5.4.2化工园区危险化学品运输</w:t>
      </w:r>
      <w:bookmarkEnd w:id="296"/>
    </w:p>
    <w:p w14:paraId="55A29A96">
      <w:pPr>
        <w:spacing w:line="360" w:lineRule="auto"/>
        <w:ind w:firstLine="480" w:firstLineChars="200"/>
        <w:rPr>
          <w:sz w:val="24"/>
          <w:szCs w:val="24"/>
        </w:rPr>
      </w:pPr>
      <w:r>
        <w:rPr>
          <w:sz w:val="24"/>
          <w:szCs w:val="24"/>
        </w:rPr>
        <w:t>(1) 危化品运输现状</w:t>
      </w:r>
    </w:p>
    <w:p w14:paraId="1F54D6F6">
      <w:pPr>
        <w:spacing w:line="360" w:lineRule="auto"/>
        <w:ind w:firstLine="480" w:firstLineChars="200"/>
        <w:rPr>
          <w:sz w:val="24"/>
          <w:szCs w:val="24"/>
        </w:rPr>
      </w:pPr>
      <w:r>
        <w:rPr>
          <w:sz w:val="24"/>
          <w:szCs w:val="24"/>
        </w:rPr>
        <w:t>区块一：目前德邦化工、恒诚制药、水卫士环保科技运输 量较大危化品主要包括甲醇、甲苯、盐酸、氢氧化钠，进企业运输路线主要 依托蚌淮高速进入洞山东路再进入洛九路(G206)再进入朝阳东路再进入建设南路和建设北路进入区块一。</w:t>
      </w:r>
    </w:p>
    <w:p w14:paraId="28B61827">
      <w:pPr>
        <w:spacing w:line="360" w:lineRule="auto"/>
        <w:ind w:firstLine="480" w:firstLineChars="200"/>
        <w:rPr>
          <w:sz w:val="24"/>
          <w:szCs w:val="24"/>
        </w:rPr>
      </w:pPr>
      <w:r>
        <w:rPr>
          <w:sz w:val="24"/>
          <w:szCs w:val="24"/>
        </w:rPr>
        <w:t>区块一：目前国瑞药业输量较大危化品主要包括乙醇，进企业运</w:t>
      </w:r>
    </w:p>
    <w:p w14:paraId="3E37ABEF">
      <w:pPr>
        <w:spacing w:line="360" w:lineRule="auto"/>
        <w:ind w:firstLine="480" w:firstLineChars="200"/>
        <w:rPr>
          <w:sz w:val="24"/>
          <w:szCs w:val="24"/>
        </w:rPr>
      </w:pPr>
      <w:r>
        <w:rPr>
          <w:sz w:val="24"/>
          <w:szCs w:val="24"/>
        </w:rPr>
        <w:t>输路线主要依托蚌淮高速进入洞山东路再进入洛九路(G206)进入。进企业运输路线主要依托蚌淮高速进入洞山东路再进入洛九路(G206)再进入朝阳东路进入区块一。</w:t>
      </w:r>
    </w:p>
    <w:p w14:paraId="1D5201AD">
      <w:pPr>
        <w:spacing w:line="360" w:lineRule="auto"/>
        <w:ind w:firstLine="480" w:firstLineChars="200"/>
        <w:rPr>
          <w:sz w:val="24"/>
          <w:szCs w:val="24"/>
        </w:rPr>
      </w:pPr>
      <w:r>
        <w:rPr>
          <w:sz w:val="24"/>
          <w:szCs w:val="24"/>
        </w:rPr>
        <w:t>(2)危化品运输规划</w:t>
      </w:r>
    </w:p>
    <w:p w14:paraId="5E7AE8DF">
      <w:pPr>
        <w:spacing w:line="360" w:lineRule="auto"/>
        <w:ind w:firstLine="480" w:firstLineChars="200"/>
        <w:rPr>
          <w:sz w:val="24"/>
          <w:szCs w:val="24"/>
        </w:rPr>
      </w:pPr>
      <w:r>
        <w:rPr>
          <w:sz w:val="24"/>
          <w:szCs w:val="24"/>
        </w:rPr>
        <w:t>危化品运输车辆主要通过蚌淮高速、洞山东路(G206)、建设北路、朝阳东路进入化工园区，再通过化工园区内部道路进入企业厂区，确保大型危险化学品运输车辆不穿越产业园中其他类型用地，消除移动的危险源因素。化工园区支路由各危险化学品使用企业根据企业所在区域提出申请运输路线，报管委会安全生产监督管理部门审批。</w:t>
      </w:r>
    </w:p>
    <w:p w14:paraId="5959019D">
      <w:pPr>
        <w:spacing w:line="360" w:lineRule="auto"/>
        <w:ind w:firstLine="480" w:firstLineChars="200"/>
        <w:rPr>
          <w:sz w:val="24"/>
          <w:szCs w:val="24"/>
        </w:rPr>
      </w:pPr>
      <w:r>
        <w:rPr>
          <w:sz w:val="24"/>
          <w:szCs w:val="24"/>
        </w:rPr>
        <w:t>规划在化工园区监控站设置交通监控系统，并逐步实现危险化学品运输车辆安全监控系统的区域联网，对危险化学品运输车辆安装符合标准要求的车载监控终端，防超载、超速，防止因交通事故形成剧毒、易燃易爆危化品重大事故。空车临时停车进入园区危化品专用停车场。</w:t>
      </w:r>
    </w:p>
    <w:p w14:paraId="4F54AEE4">
      <w:pPr>
        <w:spacing w:line="360" w:lineRule="auto"/>
        <w:ind w:firstLine="480" w:firstLineChars="200"/>
        <w:rPr>
          <w:sz w:val="24"/>
          <w:szCs w:val="24"/>
        </w:rPr>
      </w:pPr>
      <w:r>
        <w:rPr>
          <w:sz w:val="24"/>
          <w:szCs w:val="24"/>
        </w:rPr>
        <w:t>在上下班高峰期间，园区各道路上人流量较大，规划时在各道路出入口出设置标识牌，明确限定危险化学品运输车辆的运输时间，避开此时间段，避免因发生事故时伤及路边行人。</w:t>
      </w:r>
    </w:p>
    <w:p w14:paraId="7832AB76">
      <w:pPr>
        <w:spacing w:line="360" w:lineRule="auto"/>
        <w:ind w:firstLine="480" w:firstLineChars="200"/>
      </w:pPr>
      <w:r>
        <w:rPr>
          <w:sz w:val="24"/>
          <w:szCs w:val="24"/>
        </w:rPr>
        <w:t>危险化学品运输车辆在主要路线上时速限制在40km/h以下，各支路上时速限制在20km/h以下，进入生产企业按照企业内部制定的限速标准控制车速。雨天、雪天、雾天等恶劣天气，最高车速不超过每小时20km/h的标准，各危险化学品运输单位须严格执行。所有危险化学品运输车辆严禁超载行驶运输。化工园区内危化品主要运输道路出口设置地磅，控制运输车辆载重。</w:t>
      </w:r>
      <w:bookmarkStart w:id="297" w:name="_bookmark35"/>
      <w:bookmarkEnd w:id="297"/>
    </w:p>
    <w:p w14:paraId="16D03FEE">
      <w:pPr>
        <w:pStyle w:val="12"/>
        <w:spacing w:line="360" w:lineRule="auto"/>
        <w:ind w:firstLine="0"/>
        <w:jc w:val="left"/>
        <w:outlineLvl w:val="2"/>
        <w:rPr>
          <w:b/>
          <w:sz w:val="24"/>
          <w:szCs w:val="24"/>
        </w:rPr>
      </w:pPr>
      <w:r>
        <w:rPr>
          <w:b/>
          <w:sz w:val="24"/>
          <w:szCs w:val="24"/>
        </w:rPr>
        <w:t>9.5.5化工园区周边文物古迹安全布局</w:t>
      </w:r>
    </w:p>
    <w:p w14:paraId="63E06F3E">
      <w:pPr>
        <w:pStyle w:val="12"/>
        <w:spacing w:line="360" w:lineRule="auto"/>
        <w:ind w:firstLine="480" w:firstLineChars="200"/>
        <w:jc w:val="left"/>
        <w:outlineLvl w:val="2"/>
        <w:rPr>
          <w:sz w:val="24"/>
          <w:szCs w:val="24"/>
        </w:rPr>
      </w:pPr>
      <w:r>
        <w:rPr>
          <w:sz w:val="24"/>
          <w:szCs w:val="24"/>
        </w:rPr>
        <w:t>经搜集、查阅相关资料与开展实地调查,本次规划未在化工园区评估区域内发现古代文化遗存及其他文物线索。从本次调查结果来看，化工园区建设对文物保护的影响不是很大，不存在因为文物保护而追使开发区建设停滞的问题。</w:t>
      </w:r>
    </w:p>
    <w:p w14:paraId="613CE992">
      <w:pPr>
        <w:pStyle w:val="12"/>
        <w:spacing w:line="360" w:lineRule="auto"/>
        <w:ind w:firstLine="0"/>
        <w:jc w:val="left"/>
        <w:outlineLvl w:val="2"/>
        <w:rPr>
          <w:b/>
          <w:sz w:val="24"/>
          <w:szCs w:val="24"/>
        </w:rPr>
      </w:pPr>
      <w:r>
        <w:rPr>
          <w:b/>
          <w:sz w:val="24"/>
          <w:szCs w:val="24"/>
        </w:rPr>
        <w:t>9.5.6避难、疏散场所安全布局</w:t>
      </w:r>
    </w:p>
    <w:p w14:paraId="42329FEC">
      <w:pPr>
        <w:spacing w:line="360" w:lineRule="auto"/>
        <w:ind w:firstLine="480" w:firstLineChars="200"/>
        <w:rPr>
          <w:sz w:val="24"/>
          <w:szCs w:val="24"/>
        </w:rPr>
      </w:pPr>
      <w:r>
        <w:rPr>
          <w:sz w:val="24"/>
          <w:szCs w:val="24"/>
        </w:rPr>
        <w:t>化工园区应强化园区应急保障能力建设，构建一体化应急管理系统，现提出以下有关园区应急救援方面的安全对策措施与建议。</w:t>
      </w:r>
    </w:p>
    <w:p w14:paraId="150FCEA1">
      <w:pPr>
        <w:spacing w:line="360" w:lineRule="auto"/>
        <w:ind w:firstLine="480" w:firstLineChars="200"/>
        <w:rPr>
          <w:sz w:val="24"/>
          <w:szCs w:val="24"/>
        </w:rPr>
      </w:pPr>
      <w:r>
        <w:rPr>
          <w:sz w:val="24"/>
          <w:szCs w:val="24"/>
        </w:rPr>
        <w:t>（1）园区安全生产管理机构要全面掌握园区及企业应急救援相关信息，及时修订园区总体应急救援预案及专项预案。督促企业修订完善应急救援预案并与园区总体应急救援预案相衔接，做好预案登记、备案、评审等工作。园区安全生产管理机构每年要组织一次园区整体性应急救援演练。</w:t>
      </w:r>
    </w:p>
    <w:p w14:paraId="213BD6B6">
      <w:pPr>
        <w:spacing w:line="360" w:lineRule="auto"/>
        <w:ind w:firstLine="480" w:firstLineChars="200"/>
        <w:rPr>
          <w:sz w:val="24"/>
          <w:szCs w:val="24"/>
        </w:rPr>
      </w:pPr>
      <w:r>
        <w:rPr>
          <w:sz w:val="24"/>
          <w:szCs w:val="24"/>
        </w:rPr>
        <w:t>（2）园区安全生产管理机构要全面掌握园区内所有化工企业可能发生的事故类型及应急处置所需的器材、装备、专业技术力量等。有针对性的建立应急救援资料库。</w:t>
      </w:r>
    </w:p>
    <w:p w14:paraId="2EB685DE">
      <w:pPr>
        <w:spacing w:line="360" w:lineRule="auto"/>
        <w:ind w:firstLine="480" w:firstLineChars="200"/>
        <w:rPr>
          <w:sz w:val="24"/>
          <w:szCs w:val="24"/>
        </w:rPr>
      </w:pPr>
      <w:r>
        <w:rPr>
          <w:sz w:val="24"/>
          <w:szCs w:val="24"/>
        </w:rPr>
        <w:t>（3）园区附近的医疗机构</w:t>
      </w:r>
      <w:r>
        <w:rPr>
          <w:rFonts w:hint="eastAsia"/>
          <w:sz w:val="24"/>
          <w:szCs w:val="24"/>
        </w:rPr>
        <w:t>淮南济民医院急救中心</w:t>
      </w:r>
      <w:r>
        <w:rPr>
          <w:sz w:val="24"/>
          <w:szCs w:val="24"/>
        </w:rPr>
        <w:t>（</w:t>
      </w:r>
      <w:r>
        <w:rPr>
          <w:rFonts w:hint="eastAsia"/>
          <w:sz w:val="24"/>
          <w:szCs w:val="24"/>
        </w:rPr>
        <w:t>淮南经开化工园区应急救援医疗救护协议单位</w:t>
      </w:r>
      <w:r>
        <w:rPr>
          <w:sz w:val="24"/>
          <w:szCs w:val="24"/>
        </w:rPr>
        <w:t>），具备进行烧伤、外伤和呼吸道中毒等事故的应急救治能力，并备足用于上述伤害救治的特种医疗物资。</w:t>
      </w:r>
    </w:p>
    <w:p w14:paraId="4044A222">
      <w:pPr>
        <w:spacing w:line="360" w:lineRule="auto"/>
        <w:ind w:firstLine="480" w:firstLineChars="200"/>
        <w:rPr>
          <w:sz w:val="24"/>
          <w:szCs w:val="24"/>
        </w:rPr>
      </w:pPr>
      <w:r>
        <w:rPr>
          <w:sz w:val="24"/>
          <w:szCs w:val="24"/>
        </w:rPr>
        <w:t>（4）园区设立了</w:t>
      </w:r>
      <w:r>
        <w:rPr>
          <w:rFonts w:hint="eastAsia"/>
          <w:sz w:val="24"/>
          <w:szCs w:val="24"/>
        </w:rPr>
        <w:t>一级</w:t>
      </w:r>
      <w:r>
        <w:rPr>
          <w:sz w:val="24"/>
          <w:szCs w:val="24"/>
        </w:rPr>
        <w:t>消防站，配备了相应消防器材物资和人员，满足危险化学品事故应急救援需求。</w:t>
      </w:r>
    </w:p>
    <w:p w14:paraId="5C5A011F">
      <w:pPr>
        <w:spacing w:line="360" w:lineRule="auto"/>
        <w:ind w:firstLine="480" w:firstLineChars="200"/>
        <w:rPr>
          <w:sz w:val="24"/>
          <w:szCs w:val="24"/>
        </w:rPr>
      </w:pPr>
      <w:r>
        <w:rPr>
          <w:sz w:val="24"/>
          <w:szCs w:val="24"/>
        </w:rPr>
        <w:t>（5）园区企业目前未设置气防站，主要依托园区主要企业的气防站。建议在未来规划中根据进园企业实际情况适时布置气防站。</w:t>
      </w:r>
    </w:p>
    <w:p w14:paraId="7C3B648A">
      <w:pPr>
        <w:spacing w:line="360" w:lineRule="auto"/>
        <w:ind w:firstLine="480" w:firstLineChars="200"/>
        <w:rPr>
          <w:sz w:val="24"/>
          <w:szCs w:val="24"/>
        </w:rPr>
      </w:pPr>
      <w:r>
        <w:rPr>
          <w:sz w:val="24"/>
          <w:szCs w:val="24"/>
        </w:rPr>
        <w:t>（6）园区应注重在紧急状态下与周边企业或人员密集场所的应急响应和联动，根据风向做好人员疏散工作。</w:t>
      </w:r>
    </w:p>
    <w:p w14:paraId="1E0596D5">
      <w:pPr>
        <w:spacing w:line="360" w:lineRule="auto"/>
        <w:ind w:firstLine="480" w:firstLineChars="200"/>
        <w:rPr>
          <w:sz w:val="24"/>
          <w:szCs w:val="24"/>
        </w:rPr>
      </w:pPr>
      <w:r>
        <w:rPr>
          <w:sz w:val="24"/>
          <w:szCs w:val="24"/>
        </w:rPr>
        <w:t>（7）各有关企业单位要建立企地应急联动机制，加强安全培训和应急演练，确保熟练掌握应急处置要点和现场救援基本技能，不断提高应急处置能力。</w:t>
      </w:r>
    </w:p>
    <w:p w14:paraId="5EDF1D84">
      <w:pPr>
        <w:pStyle w:val="12"/>
        <w:spacing w:beforeLines="50" w:afterLines="50" w:line="360" w:lineRule="auto"/>
        <w:ind w:firstLine="0"/>
        <w:jc w:val="left"/>
        <w:outlineLvl w:val="1"/>
        <w:rPr>
          <w:b/>
          <w:sz w:val="24"/>
          <w:szCs w:val="24"/>
        </w:rPr>
      </w:pPr>
      <w:bookmarkStart w:id="298" w:name="_Toc11545"/>
      <w:bookmarkStart w:id="299" w:name="_Toc22404"/>
      <w:bookmarkStart w:id="300" w:name="_Toc24556"/>
      <w:bookmarkStart w:id="301" w:name="_Toc29839"/>
      <w:bookmarkStart w:id="302" w:name="_Toc11590"/>
      <w:bookmarkStart w:id="303" w:name="_Toc8277"/>
      <w:bookmarkStart w:id="304" w:name="_Toc17526"/>
      <w:r>
        <w:rPr>
          <w:b/>
          <w:sz w:val="24"/>
          <w:szCs w:val="24"/>
        </w:rPr>
        <w:t>9.6重大事故应急救援体系建设</w:t>
      </w:r>
      <w:bookmarkEnd w:id="298"/>
      <w:bookmarkEnd w:id="299"/>
      <w:bookmarkEnd w:id="300"/>
      <w:bookmarkEnd w:id="301"/>
      <w:bookmarkEnd w:id="302"/>
      <w:bookmarkEnd w:id="303"/>
      <w:bookmarkEnd w:id="304"/>
    </w:p>
    <w:p w14:paraId="4338B0EC">
      <w:pPr>
        <w:spacing w:line="360" w:lineRule="auto"/>
        <w:ind w:firstLine="480" w:firstLineChars="200"/>
        <w:rPr>
          <w:bCs/>
          <w:sz w:val="24"/>
          <w:szCs w:val="24"/>
        </w:rPr>
      </w:pPr>
      <w:r>
        <w:rPr>
          <w:sz w:val="24"/>
          <w:szCs w:val="24"/>
        </w:rPr>
        <w:t>淮南经济开发区管理委员会编制了《淮南经开化工园区生产安全事故应急预案》建立</w:t>
      </w:r>
      <w:r>
        <w:rPr>
          <w:bCs/>
          <w:sz w:val="24"/>
          <w:szCs w:val="24"/>
        </w:rPr>
        <w:t>重大事故应急救援体系</w:t>
      </w:r>
      <w:bookmarkStart w:id="305" w:name="_Toc10441"/>
      <w:r>
        <w:rPr>
          <w:rFonts w:hint="eastAsia"/>
          <w:bCs/>
          <w:sz w:val="24"/>
          <w:szCs w:val="24"/>
        </w:rPr>
        <w:t>，</w:t>
      </w:r>
      <w:r>
        <w:rPr>
          <w:bCs/>
          <w:sz w:val="24"/>
          <w:szCs w:val="24"/>
        </w:rPr>
        <w:t>并至少每2年组织开展1次应急演练。</w:t>
      </w:r>
    </w:p>
    <w:p w14:paraId="2F0905AD">
      <w:pPr>
        <w:spacing w:line="360" w:lineRule="auto"/>
        <w:ind w:firstLine="482" w:firstLineChars="200"/>
        <w:rPr>
          <w:b/>
          <w:sz w:val="24"/>
          <w:szCs w:val="24"/>
        </w:rPr>
      </w:pPr>
      <w:r>
        <w:rPr>
          <w:b/>
          <w:sz w:val="24"/>
          <w:szCs w:val="24"/>
        </w:rPr>
        <w:t>9.6.1应急预案体系</w:t>
      </w:r>
      <w:bookmarkEnd w:id="305"/>
    </w:p>
    <w:p w14:paraId="79476DE6">
      <w:pPr>
        <w:spacing w:line="360" w:lineRule="auto"/>
        <w:ind w:firstLine="480" w:firstLineChars="200"/>
        <w:rPr>
          <w:bCs/>
          <w:sz w:val="24"/>
          <w:szCs w:val="24"/>
        </w:rPr>
      </w:pPr>
      <w:r>
        <w:rPr>
          <w:bCs/>
          <w:sz w:val="24"/>
          <w:szCs w:val="24"/>
        </w:rPr>
        <w:t>应急预案体系包括园区管委会、企业制定的各类突发事件应急预案。园区应急预案包括总体应急预案、专项应急预案等。总体应急预案是应急预案体系的总纲，是园区管委会组织应对突发事件的总体制度安排。专项应急预案是为应对涉及面广、情况复杂的某一类型突发事件，预先制定的涉及多个部门职责的工作方案。园区管委会根据园区实际，组织编制重要基础设施保护、重大活动保障和跨区域应急预案。</w:t>
      </w:r>
    </w:p>
    <w:p w14:paraId="663D0F96">
      <w:pPr>
        <w:spacing w:line="360" w:lineRule="auto"/>
        <w:ind w:firstLine="480" w:firstLineChars="200"/>
        <w:rPr>
          <w:bCs/>
          <w:sz w:val="24"/>
          <w:szCs w:val="24"/>
        </w:rPr>
      </w:pPr>
      <w:r>
        <w:rPr>
          <w:bCs/>
          <w:sz w:val="24"/>
          <w:szCs w:val="24"/>
        </w:rPr>
        <w:t>应急预案体系</w:t>
      </w:r>
      <w:r>
        <w:rPr>
          <w:rFonts w:hint="eastAsia"/>
          <w:bCs/>
          <w:sz w:val="24"/>
          <w:szCs w:val="24"/>
        </w:rPr>
        <w:t>包括</w:t>
      </w:r>
      <w:r>
        <w:rPr>
          <w:bCs/>
          <w:sz w:val="24"/>
          <w:szCs w:val="24"/>
        </w:rPr>
        <w:t>加强对台风、雷电、洪水、泥石流、滑坡等自然灾害的监测和预警，并落实有关灾害的防范措施，防范因自然灾害引发危险化学品次生灾害。化工园区应建立规范的针对自身特点的自然灾害应急管理预案，提高自然灾害应急管理质量，提升应急救援能力。化工园区应与地方政府防灾减灾系统建立互联互通，资源共享，将国家地方应急防灾减灾信息系统中台风、雷电、洪水、泥石流、滑坡等自然灾害评估预警信息，及时报送给园区企业、员工，督促企业落实相关灾害防范措施。</w:t>
      </w:r>
    </w:p>
    <w:p w14:paraId="5D875159">
      <w:pPr>
        <w:spacing w:line="360" w:lineRule="auto"/>
        <w:ind w:firstLine="480" w:firstLineChars="200"/>
        <w:rPr>
          <w:bCs/>
          <w:sz w:val="24"/>
          <w:szCs w:val="24"/>
        </w:rPr>
      </w:pPr>
      <w:r>
        <w:rPr>
          <w:bCs/>
          <w:sz w:val="24"/>
          <w:szCs w:val="24"/>
        </w:rPr>
        <w:t>园区企业应当针对可能发生的突发事件的特点和危害，进行风险辨识和评估，制定相应的突发事件应急预案。</w:t>
      </w:r>
    </w:p>
    <w:p w14:paraId="558C3D0F">
      <w:pPr>
        <w:spacing w:line="360" w:lineRule="auto"/>
        <w:ind w:firstLine="482" w:firstLineChars="200"/>
        <w:rPr>
          <w:b/>
          <w:sz w:val="24"/>
          <w:szCs w:val="24"/>
        </w:rPr>
      </w:pPr>
      <w:bookmarkStart w:id="306" w:name="_Toc3720"/>
      <w:r>
        <w:rPr>
          <w:b/>
          <w:sz w:val="24"/>
          <w:szCs w:val="24"/>
        </w:rPr>
        <w:t>9.6.2应急系统</w:t>
      </w:r>
      <w:bookmarkEnd w:id="306"/>
    </w:p>
    <w:p w14:paraId="1DA0382D">
      <w:pPr>
        <w:spacing w:line="360" w:lineRule="auto"/>
        <w:ind w:firstLine="480" w:firstLineChars="200"/>
        <w:rPr>
          <w:bCs/>
          <w:sz w:val="24"/>
          <w:szCs w:val="24"/>
        </w:rPr>
      </w:pPr>
      <w:r>
        <w:rPr>
          <w:bCs/>
          <w:sz w:val="24"/>
          <w:szCs w:val="24"/>
        </w:rPr>
        <w:t>园区管委会应将应急管理“监测预警、指挥调度、抢险救援”三大系统建设工作摆在突出位置，为突发事件风险防控、监测预警、应急处置与救援、恢复与重建等应对全过程提供高效支撑。</w:t>
      </w:r>
    </w:p>
    <w:p w14:paraId="06935C89">
      <w:pPr>
        <w:spacing w:line="360" w:lineRule="auto"/>
        <w:ind w:firstLine="480" w:firstLineChars="200"/>
        <w:rPr>
          <w:bCs/>
          <w:sz w:val="24"/>
          <w:szCs w:val="24"/>
        </w:rPr>
      </w:pPr>
      <w:r>
        <w:rPr>
          <w:bCs/>
          <w:sz w:val="24"/>
          <w:szCs w:val="24"/>
        </w:rPr>
        <w:t>（1）监测预警系统</w:t>
      </w:r>
    </w:p>
    <w:p w14:paraId="58054C84">
      <w:pPr>
        <w:spacing w:line="360" w:lineRule="auto"/>
        <w:ind w:firstLine="480" w:firstLineChars="200"/>
        <w:rPr>
          <w:bCs/>
          <w:sz w:val="24"/>
          <w:szCs w:val="24"/>
        </w:rPr>
      </w:pPr>
      <w:r>
        <w:rPr>
          <w:bCs/>
          <w:sz w:val="24"/>
          <w:szCs w:val="24"/>
        </w:rPr>
        <w:t>全方位采集信息，实现对园区企业应急管理事项的全覆盖，实行信息动态监测，加强数据分析，提高安全风险早期识别研判和预报预警能力。</w:t>
      </w:r>
    </w:p>
    <w:p w14:paraId="4457B20B">
      <w:pPr>
        <w:spacing w:line="360" w:lineRule="auto"/>
        <w:ind w:firstLine="480" w:firstLineChars="200"/>
        <w:rPr>
          <w:bCs/>
          <w:sz w:val="24"/>
          <w:szCs w:val="24"/>
        </w:rPr>
      </w:pPr>
      <w:r>
        <w:rPr>
          <w:bCs/>
          <w:sz w:val="24"/>
          <w:szCs w:val="24"/>
        </w:rPr>
        <w:t>（2）指挥调度系统</w:t>
      </w:r>
    </w:p>
    <w:p w14:paraId="46CFC1F2">
      <w:pPr>
        <w:spacing w:line="360" w:lineRule="auto"/>
        <w:ind w:firstLine="480" w:firstLineChars="200"/>
        <w:rPr>
          <w:bCs/>
          <w:sz w:val="24"/>
          <w:szCs w:val="24"/>
        </w:rPr>
      </w:pPr>
      <w:r>
        <w:rPr>
          <w:bCs/>
          <w:sz w:val="24"/>
          <w:szCs w:val="24"/>
        </w:rPr>
        <w:t>针对各类安全风险预警信息，制定相应指挥调度方案，建立健全应对突发事件的应急决策支持体系，形成上下贯通、联动高效的指挥协调机制，规范操作流程方式，促进指挥调度迅速快捷、科学有序。</w:t>
      </w:r>
    </w:p>
    <w:p w14:paraId="77E57463">
      <w:pPr>
        <w:spacing w:line="360" w:lineRule="auto"/>
        <w:ind w:firstLine="480" w:firstLineChars="200"/>
        <w:rPr>
          <w:bCs/>
          <w:sz w:val="24"/>
          <w:szCs w:val="24"/>
        </w:rPr>
      </w:pPr>
      <w:r>
        <w:rPr>
          <w:bCs/>
          <w:sz w:val="24"/>
          <w:szCs w:val="24"/>
        </w:rPr>
        <w:t>（3）抢险救援系统</w:t>
      </w:r>
    </w:p>
    <w:p w14:paraId="088DC49E">
      <w:pPr>
        <w:spacing w:line="360" w:lineRule="auto"/>
        <w:ind w:firstLine="480" w:firstLineChars="200"/>
        <w:rPr>
          <w:bCs/>
          <w:sz w:val="24"/>
          <w:szCs w:val="24"/>
        </w:rPr>
      </w:pPr>
      <w:r>
        <w:rPr>
          <w:bCs/>
          <w:sz w:val="24"/>
          <w:szCs w:val="24"/>
        </w:rPr>
        <w:t>统筹推进综合性消防救援队伍、专业应急救援队伍和企业应急力量建设发展，强化装备配备和能力建设，加强应急物资储备，合理布局应急救援队伍和应急装备物资，突出队伍组织、装备能力、技术方案等功能，全面提升抢险救援响应速度、处置效率。</w:t>
      </w:r>
    </w:p>
    <w:p w14:paraId="7B38BFB0">
      <w:pPr>
        <w:spacing w:line="360" w:lineRule="auto"/>
        <w:ind w:firstLine="482" w:firstLineChars="200"/>
        <w:rPr>
          <w:b/>
          <w:sz w:val="24"/>
          <w:szCs w:val="24"/>
        </w:rPr>
      </w:pPr>
      <w:bookmarkStart w:id="307" w:name="_Toc11320"/>
      <w:r>
        <w:rPr>
          <w:b/>
          <w:sz w:val="24"/>
          <w:szCs w:val="24"/>
        </w:rPr>
        <w:t>9.6.2组织指挥体系</w:t>
      </w:r>
      <w:bookmarkEnd w:id="307"/>
    </w:p>
    <w:p w14:paraId="15A35DC5">
      <w:pPr>
        <w:spacing w:line="360" w:lineRule="auto"/>
        <w:ind w:firstLine="480" w:firstLineChars="200"/>
        <w:rPr>
          <w:bCs/>
          <w:sz w:val="24"/>
          <w:szCs w:val="24"/>
        </w:rPr>
      </w:pPr>
      <w:bookmarkStart w:id="308" w:name="_Toc17106"/>
      <w:r>
        <w:rPr>
          <w:bCs/>
          <w:sz w:val="24"/>
          <w:szCs w:val="24"/>
        </w:rPr>
        <w:t>（1）领导机构</w:t>
      </w:r>
      <w:bookmarkEnd w:id="308"/>
    </w:p>
    <w:p w14:paraId="1CC519C9">
      <w:pPr>
        <w:spacing w:line="360" w:lineRule="auto"/>
        <w:ind w:firstLine="480" w:firstLineChars="200"/>
        <w:rPr>
          <w:bCs/>
          <w:sz w:val="24"/>
          <w:szCs w:val="24"/>
        </w:rPr>
      </w:pPr>
      <w:r>
        <w:rPr>
          <w:bCs/>
          <w:sz w:val="24"/>
          <w:szCs w:val="24"/>
        </w:rPr>
        <w:t>淮南经济技术开发区管委会、党工委是负责园区内突发事件应急管理工作的行政领导机关，统筹制定园区应急管理工作发展规划和政策措施，研究解决园区风险防控、监测预警、处置救援、资源保障、恢复重建等重大问题，统一领导、协调指挥园区突发事件应急处置工作，指导园区企业突发事件应对工作。</w:t>
      </w:r>
    </w:p>
    <w:p w14:paraId="4470A582">
      <w:pPr>
        <w:spacing w:line="360" w:lineRule="auto"/>
        <w:ind w:firstLine="480" w:firstLineChars="200"/>
        <w:rPr>
          <w:bCs/>
          <w:sz w:val="24"/>
          <w:szCs w:val="24"/>
        </w:rPr>
      </w:pPr>
      <w:r>
        <w:rPr>
          <w:bCs/>
          <w:sz w:val="24"/>
          <w:szCs w:val="24"/>
        </w:rPr>
        <w:t>发生一般及以上突发事件时，成立淮南经济技术开发区（淮南经开化工园区）突发事件应急处置指挥部（以下简称“应急指挥部”），在淮南经济技术开发区管委会的统一领导下前往现场负责园区突发事件应急处置工作。当突发事件尚未达到一般等级时，由事发企业负责及时、果断处置，应急指挥部给予指导。</w:t>
      </w:r>
    </w:p>
    <w:p w14:paraId="6887DEED">
      <w:pPr>
        <w:spacing w:line="360" w:lineRule="auto"/>
        <w:ind w:firstLine="482" w:firstLineChars="200"/>
        <w:rPr>
          <w:bCs/>
          <w:sz w:val="24"/>
          <w:szCs w:val="24"/>
        </w:rPr>
      </w:pPr>
      <w:bookmarkStart w:id="309" w:name="_Toc23219"/>
      <w:r>
        <w:rPr>
          <w:b/>
          <w:sz w:val="24"/>
          <w:szCs w:val="24"/>
        </w:rPr>
        <w:t>（2）</w:t>
      </w:r>
      <w:r>
        <w:rPr>
          <w:bCs/>
          <w:sz w:val="24"/>
          <w:szCs w:val="24"/>
        </w:rPr>
        <w:t>办事机构</w:t>
      </w:r>
      <w:bookmarkEnd w:id="309"/>
    </w:p>
    <w:p w14:paraId="11770D94">
      <w:pPr>
        <w:spacing w:line="360" w:lineRule="auto"/>
        <w:ind w:firstLine="480" w:firstLineChars="200"/>
        <w:rPr>
          <w:bCs/>
          <w:sz w:val="24"/>
          <w:szCs w:val="24"/>
        </w:rPr>
      </w:pPr>
      <w:r>
        <w:rPr>
          <w:bCs/>
          <w:sz w:val="24"/>
          <w:szCs w:val="24"/>
        </w:rPr>
        <w:t>应急指挥部下设办事机构，作为应急指挥部的日常办事机构。办公地点设在园区管委会安监局，办事机构主任由应急管理局主要负责同志担任。</w:t>
      </w:r>
    </w:p>
    <w:p w14:paraId="4CCF4FCA">
      <w:pPr>
        <w:spacing w:line="360" w:lineRule="auto"/>
        <w:ind w:firstLine="480" w:firstLineChars="200"/>
        <w:rPr>
          <w:bCs/>
          <w:sz w:val="24"/>
          <w:szCs w:val="24"/>
        </w:rPr>
      </w:pPr>
      <w:r>
        <w:rPr>
          <w:bCs/>
          <w:sz w:val="24"/>
          <w:szCs w:val="24"/>
        </w:rPr>
        <w:t>办事机构的主要职责：</w:t>
      </w:r>
    </w:p>
    <w:p w14:paraId="58566EBB">
      <w:pPr>
        <w:spacing w:line="360" w:lineRule="auto"/>
        <w:ind w:firstLine="480" w:firstLineChars="200"/>
        <w:rPr>
          <w:bCs/>
          <w:sz w:val="24"/>
          <w:szCs w:val="24"/>
        </w:rPr>
      </w:pPr>
      <w:r>
        <w:rPr>
          <w:bCs/>
          <w:sz w:val="24"/>
          <w:szCs w:val="24"/>
        </w:rPr>
        <w:t>1）执行应急指挥部的决定和指示；</w:t>
      </w:r>
    </w:p>
    <w:p w14:paraId="7E436CD5">
      <w:pPr>
        <w:spacing w:line="360" w:lineRule="auto"/>
        <w:ind w:firstLine="480" w:firstLineChars="200"/>
        <w:rPr>
          <w:bCs/>
          <w:sz w:val="24"/>
          <w:szCs w:val="24"/>
        </w:rPr>
      </w:pPr>
      <w:r>
        <w:rPr>
          <w:bCs/>
          <w:sz w:val="24"/>
          <w:szCs w:val="24"/>
        </w:rPr>
        <w:t>2）负责园区突发事件应急处置工作的综合协调，承办园区应急管理的专题会议；</w:t>
      </w:r>
    </w:p>
    <w:p w14:paraId="61B54928">
      <w:pPr>
        <w:spacing w:line="360" w:lineRule="auto"/>
        <w:ind w:firstLine="480" w:firstLineChars="200"/>
        <w:rPr>
          <w:bCs/>
          <w:sz w:val="24"/>
          <w:szCs w:val="24"/>
        </w:rPr>
      </w:pPr>
      <w:r>
        <w:rPr>
          <w:bCs/>
          <w:sz w:val="24"/>
          <w:szCs w:val="24"/>
        </w:rPr>
        <w:t>3）接收、汇总、分析有关突发事件的重要信息，向应急指挥部提出处置建议；</w:t>
      </w:r>
    </w:p>
    <w:p w14:paraId="24D66B96">
      <w:pPr>
        <w:spacing w:line="360" w:lineRule="auto"/>
        <w:ind w:firstLine="480" w:firstLineChars="200"/>
        <w:rPr>
          <w:bCs/>
          <w:sz w:val="24"/>
          <w:szCs w:val="24"/>
        </w:rPr>
      </w:pPr>
      <w:r>
        <w:rPr>
          <w:bCs/>
          <w:sz w:val="24"/>
          <w:szCs w:val="24"/>
        </w:rPr>
        <w:t>4）承担组织编制、评估、修订园区突发事件总体应急预案的具体工作；</w:t>
      </w:r>
    </w:p>
    <w:p w14:paraId="5E03A633">
      <w:pPr>
        <w:spacing w:line="360" w:lineRule="auto"/>
        <w:ind w:firstLine="480" w:firstLineChars="200"/>
        <w:rPr>
          <w:bCs/>
          <w:sz w:val="24"/>
          <w:szCs w:val="24"/>
        </w:rPr>
      </w:pPr>
      <w:r>
        <w:rPr>
          <w:bCs/>
          <w:sz w:val="24"/>
          <w:szCs w:val="24"/>
        </w:rPr>
        <w:t>5）加强与毗邻区、镇的联系，建立健全应急工作协作机制。</w:t>
      </w:r>
    </w:p>
    <w:p w14:paraId="0B5BE502">
      <w:pPr>
        <w:spacing w:line="360" w:lineRule="auto"/>
        <w:ind w:firstLine="480" w:firstLineChars="200"/>
        <w:rPr>
          <w:bCs/>
          <w:sz w:val="24"/>
          <w:szCs w:val="24"/>
        </w:rPr>
      </w:pPr>
      <w:bookmarkStart w:id="310" w:name="_Toc16372"/>
      <w:r>
        <w:rPr>
          <w:bCs/>
          <w:sz w:val="24"/>
          <w:szCs w:val="24"/>
        </w:rPr>
        <w:t>（3）专项指挥机构</w:t>
      </w:r>
      <w:bookmarkEnd w:id="310"/>
    </w:p>
    <w:p w14:paraId="53253D72">
      <w:pPr>
        <w:spacing w:line="360" w:lineRule="auto"/>
        <w:ind w:firstLine="480" w:firstLineChars="200"/>
        <w:rPr>
          <w:bCs/>
          <w:sz w:val="24"/>
          <w:szCs w:val="24"/>
        </w:rPr>
      </w:pPr>
      <w:r>
        <w:rPr>
          <w:bCs/>
          <w:sz w:val="24"/>
          <w:szCs w:val="24"/>
        </w:rPr>
        <w:t>各类突发事件应对由各类专项应急预案确立的指挥机构组织指导协调或视情设立的专项指挥机构负责，专项指挥机构总指挥由园区管委会主要负责同志担任，成员由承担突发事件防范处置职责的园区管委会有关部门负责同志组成。</w:t>
      </w:r>
    </w:p>
    <w:p w14:paraId="72D1C166">
      <w:pPr>
        <w:spacing w:line="360" w:lineRule="auto"/>
        <w:ind w:firstLine="480" w:firstLineChars="200"/>
        <w:rPr>
          <w:bCs/>
          <w:sz w:val="24"/>
          <w:szCs w:val="24"/>
        </w:rPr>
      </w:pPr>
      <w:r>
        <w:rPr>
          <w:bCs/>
          <w:sz w:val="24"/>
          <w:szCs w:val="24"/>
        </w:rPr>
        <w:t>园区管委会各相关专项指挥机构应与毗邻区、镇专项指挥机构建立应急联动机制，强化突发事件协同应急响应能力和应急救援力量增援调度，积极开展跨区域联合演练，协同处置各类突发事件，共同做好区域性、流域性、关联性强的突发事件防范应对工作。</w:t>
      </w:r>
    </w:p>
    <w:p w14:paraId="005F4899">
      <w:pPr>
        <w:spacing w:line="360" w:lineRule="auto"/>
        <w:ind w:firstLine="480" w:firstLineChars="200"/>
        <w:rPr>
          <w:bCs/>
          <w:sz w:val="24"/>
          <w:szCs w:val="24"/>
        </w:rPr>
      </w:pPr>
      <w:bookmarkStart w:id="311" w:name="_Toc2489"/>
      <w:r>
        <w:rPr>
          <w:bCs/>
          <w:sz w:val="24"/>
          <w:szCs w:val="24"/>
        </w:rPr>
        <w:t>（4）工作机构</w:t>
      </w:r>
      <w:bookmarkEnd w:id="311"/>
    </w:p>
    <w:p w14:paraId="5C40CAFE">
      <w:pPr>
        <w:spacing w:line="360" w:lineRule="auto"/>
        <w:ind w:firstLine="480" w:firstLineChars="200"/>
        <w:rPr>
          <w:bCs/>
          <w:sz w:val="24"/>
          <w:szCs w:val="24"/>
        </w:rPr>
      </w:pPr>
      <w:r>
        <w:rPr>
          <w:bCs/>
          <w:sz w:val="24"/>
          <w:szCs w:val="24"/>
        </w:rPr>
        <w:t>园区管委会有关部门负责其职责范围内突发事件应急管理工作，承担相关类别突发事件专项应急预案的起草和实施，组织协调指导风险防控、应急准备、监测预警、应急处置与救援、资源保障、恢复与重建等工作；承担相关专项指挥机构综合工作。</w:t>
      </w:r>
    </w:p>
    <w:p w14:paraId="7F6B7A38">
      <w:pPr>
        <w:spacing w:line="360" w:lineRule="auto"/>
        <w:ind w:firstLine="480" w:firstLineChars="200"/>
        <w:rPr>
          <w:bCs/>
          <w:sz w:val="24"/>
          <w:szCs w:val="24"/>
        </w:rPr>
      </w:pPr>
      <w:bookmarkStart w:id="312" w:name="_Toc16851"/>
      <w:bookmarkStart w:id="313" w:name="_Toc32574"/>
      <w:r>
        <w:rPr>
          <w:bCs/>
          <w:sz w:val="24"/>
          <w:szCs w:val="24"/>
        </w:rPr>
        <w:t>（5）现场指挥</w:t>
      </w:r>
      <w:bookmarkEnd w:id="312"/>
      <w:r>
        <w:rPr>
          <w:bCs/>
          <w:sz w:val="24"/>
          <w:szCs w:val="24"/>
        </w:rPr>
        <w:t>部</w:t>
      </w:r>
      <w:bookmarkEnd w:id="313"/>
    </w:p>
    <w:p w14:paraId="7E9D40E1">
      <w:pPr>
        <w:spacing w:line="360" w:lineRule="auto"/>
        <w:ind w:firstLine="480" w:firstLineChars="200"/>
        <w:rPr>
          <w:bCs/>
          <w:sz w:val="24"/>
          <w:szCs w:val="24"/>
        </w:rPr>
      </w:pPr>
      <w:r>
        <w:rPr>
          <w:bCs/>
          <w:sz w:val="24"/>
          <w:szCs w:val="24"/>
        </w:rPr>
        <w:t>突发事件发生后，根据应对需要，设立由淮南经济技术开发区管委会分管负责同志、相关部门负责同志等组成的现场指挥部，组织、指挥、协调突发事件现场应急处置工作。现场指挥部可根据需要设立综合协调、灾害监测、抢险救援、交通管制、医疗卫生、善后处置、信息发布及新闻宣传、群众生活、基础设施保障和生产恢复、专家支持、调查评估等工作组。</w:t>
      </w:r>
    </w:p>
    <w:p w14:paraId="76499B26">
      <w:pPr>
        <w:spacing w:line="360" w:lineRule="auto"/>
        <w:ind w:firstLine="480" w:firstLineChars="200"/>
        <w:rPr>
          <w:bCs/>
          <w:sz w:val="24"/>
          <w:szCs w:val="24"/>
        </w:rPr>
      </w:pPr>
      <w:r>
        <w:rPr>
          <w:bCs/>
          <w:sz w:val="24"/>
          <w:szCs w:val="24"/>
        </w:rPr>
        <w:t>当上级突发事件现场指挥机构进驻现场后，园区管委会现场指挥部应在上级现场指挥机构的统一领导下开展应急处置工作。</w:t>
      </w:r>
      <w:bookmarkStart w:id="314" w:name="_Toc305"/>
    </w:p>
    <w:p w14:paraId="3AB4A165">
      <w:pPr>
        <w:spacing w:line="360" w:lineRule="auto"/>
        <w:ind w:firstLine="480" w:firstLineChars="200"/>
        <w:rPr>
          <w:bCs/>
          <w:sz w:val="24"/>
          <w:szCs w:val="24"/>
        </w:rPr>
      </w:pPr>
      <w:bookmarkStart w:id="315" w:name="_Toc10211"/>
      <w:r>
        <w:rPr>
          <w:bCs/>
          <w:sz w:val="24"/>
          <w:szCs w:val="24"/>
        </w:rPr>
        <w:t>（6）专家组</w:t>
      </w:r>
      <w:bookmarkEnd w:id="314"/>
      <w:bookmarkEnd w:id="315"/>
    </w:p>
    <w:p w14:paraId="0420ADCA">
      <w:pPr>
        <w:spacing w:line="360" w:lineRule="auto"/>
        <w:ind w:firstLine="480" w:firstLineChars="200"/>
        <w:rPr>
          <w:bCs/>
          <w:sz w:val="24"/>
          <w:szCs w:val="24"/>
        </w:rPr>
      </w:pPr>
      <w:r>
        <w:rPr>
          <w:bCs/>
          <w:sz w:val="24"/>
          <w:szCs w:val="24"/>
        </w:rPr>
        <w:t>各专项指挥机构应建立突发事件防范应对专家库，也可依托市突发事件防范应对专家库，在突发事件发生后根据需要抽调有关专家组成专家组，为突发事件应急处置、调查评估等工作提供决策咨询等技术支持。</w:t>
      </w:r>
    </w:p>
    <w:p w14:paraId="52D01CA8">
      <w:pPr>
        <w:pStyle w:val="12"/>
        <w:spacing w:beforeLines="50" w:afterLines="50" w:line="360" w:lineRule="auto"/>
        <w:ind w:firstLine="0"/>
        <w:jc w:val="left"/>
        <w:outlineLvl w:val="1"/>
        <w:rPr>
          <w:b/>
          <w:szCs w:val="28"/>
        </w:rPr>
      </w:pPr>
      <w:bookmarkStart w:id="316" w:name="_Toc24241"/>
      <w:bookmarkStart w:id="317" w:name="_Toc17195"/>
      <w:bookmarkStart w:id="318" w:name="_Toc1227"/>
      <w:bookmarkStart w:id="319" w:name="_Toc10744"/>
      <w:bookmarkStart w:id="320" w:name="_Toc10116"/>
      <w:bookmarkStart w:id="321" w:name="_Toc26497"/>
      <w:bookmarkStart w:id="322" w:name="_Toc7830"/>
      <w:r>
        <w:rPr>
          <w:b/>
          <w:szCs w:val="28"/>
        </w:rPr>
        <w:t>9.7监督管理</w:t>
      </w:r>
      <w:bookmarkEnd w:id="316"/>
      <w:bookmarkEnd w:id="317"/>
      <w:bookmarkEnd w:id="318"/>
      <w:bookmarkEnd w:id="319"/>
      <w:bookmarkEnd w:id="320"/>
      <w:bookmarkEnd w:id="321"/>
      <w:bookmarkEnd w:id="322"/>
    </w:p>
    <w:p w14:paraId="2E38242B">
      <w:pPr>
        <w:pStyle w:val="12"/>
        <w:spacing w:line="360" w:lineRule="auto"/>
        <w:ind w:firstLine="480" w:firstLineChars="200"/>
        <w:jc w:val="left"/>
        <w:rPr>
          <w:bCs/>
          <w:sz w:val="24"/>
          <w:szCs w:val="24"/>
        </w:rPr>
      </w:pPr>
      <w:r>
        <w:rPr>
          <w:sz w:val="24"/>
          <w:szCs w:val="24"/>
        </w:rPr>
        <w:t>淮南经开化工园区的监督管理</w:t>
      </w:r>
      <w:r>
        <w:rPr>
          <w:bCs/>
          <w:sz w:val="24"/>
          <w:szCs w:val="24"/>
        </w:rPr>
        <w:t>包括存在重大危险源企业的安全管理和区政府有关部门的监督管理两部分内容</w:t>
      </w:r>
    </w:p>
    <w:p w14:paraId="1A31B89F">
      <w:pPr>
        <w:pStyle w:val="12"/>
        <w:spacing w:line="360" w:lineRule="auto"/>
        <w:ind w:firstLine="480" w:firstLineChars="200"/>
        <w:jc w:val="left"/>
        <w:rPr>
          <w:bCs/>
          <w:sz w:val="24"/>
          <w:szCs w:val="24"/>
        </w:rPr>
      </w:pPr>
      <w:r>
        <w:rPr>
          <w:bCs/>
          <w:sz w:val="24"/>
          <w:szCs w:val="24"/>
        </w:rPr>
        <w:t>1)、存在重大危险源企业的责任：向当地安全监督管理部门上交详细描述危险源状况的安全报告。</w:t>
      </w:r>
    </w:p>
    <w:p w14:paraId="720D1E76">
      <w:pPr>
        <w:pStyle w:val="12"/>
        <w:spacing w:line="360" w:lineRule="auto"/>
        <w:ind w:firstLine="480" w:firstLineChars="200"/>
        <w:jc w:val="left"/>
        <w:rPr>
          <w:bCs/>
          <w:sz w:val="24"/>
          <w:szCs w:val="24"/>
        </w:rPr>
      </w:pPr>
      <w:r>
        <w:rPr>
          <w:bCs/>
          <w:sz w:val="24"/>
          <w:szCs w:val="24"/>
        </w:rPr>
        <w:t>2)、建立重大危险源安全管理体系：重大危险源的安全管理体系应当是总管理体系的一部分，它包括重大事故预防方法的支持和实施所需的组织机构、职责、相关程序和资源。</w:t>
      </w:r>
    </w:p>
    <w:p w14:paraId="6FB2E381">
      <w:pPr>
        <w:pStyle w:val="12"/>
        <w:spacing w:line="360" w:lineRule="auto"/>
        <w:ind w:firstLine="480" w:firstLineChars="200"/>
        <w:jc w:val="left"/>
        <w:rPr>
          <w:bCs/>
          <w:sz w:val="24"/>
          <w:szCs w:val="24"/>
        </w:rPr>
      </w:pPr>
      <w:r>
        <w:rPr>
          <w:bCs/>
          <w:sz w:val="24"/>
          <w:szCs w:val="24"/>
        </w:rPr>
        <w:t>3)、政府有关部门的监督检查：主要包括对重大危险源的监督管理(监察)和城市重大事故的应急救援两个方面。</w:t>
      </w:r>
    </w:p>
    <w:p w14:paraId="66A084A7">
      <w:pPr>
        <w:spacing w:beforeLines="50" w:afterLines="50" w:line="360" w:lineRule="auto"/>
        <w:jc w:val="center"/>
        <w:outlineLvl w:val="0"/>
        <w:rPr>
          <w:b/>
          <w:sz w:val="32"/>
          <w:szCs w:val="32"/>
        </w:rPr>
      </w:pPr>
    </w:p>
    <w:p w14:paraId="10ECFE72">
      <w:pPr>
        <w:rPr>
          <w:b/>
          <w:sz w:val="32"/>
          <w:szCs w:val="32"/>
        </w:rPr>
      </w:pPr>
      <w:r>
        <w:rPr>
          <w:b/>
          <w:sz w:val="32"/>
          <w:szCs w:val="32"/>
        </w:rPr>
        <w:br w:type="page"/>
      </w:r>
    </w:p>
    <w:p w14:paraId="7DD563CE">
      <w:pPr>
        <w:spacing w:beforeLines="50" w:afterLines="50" w:line="360" w:lineRule="auto"/>
        <w:jc w:val="center"/>
        <w:outlineLvl w:val="0"/>
        <w:rPr>
          <w:b/>
          <w:sz w:val="32"/>
          <w:szCs w:val="32"/>
        </w:rPr>
      </w:pPr>
      <w:bookmarkStart w:id="323" w:name="_Toc22037"/>
      <w:r>
        <w:rPr>
          <w:b/>
          <w:sz w:val="32"/>
          <w:szCs w:val="32"/>
        </w:rPr>
        <w:t>10、基础设施规划</w:t>
      </w:r>
      <w:bookmarkEnd w:id="201"/>
      <w:bookmarkEnd w:id="323"/>
    </w:p>
    <w:p w14:paraId="414146A7">
      <w:pPr>
        <w:pStyle w:val="4"/>
        <w:spacing w:before="156" w:after="156"/>
        <w:rPr>
          <w:rFonts w:ascii="Times New Roman" w:hAnsi="Times New Roman"/>
          <w:sz w:val="24"/>
          <w:szCs w:val="24"/>
        </w:rPr>
      </w:pPr>
      <w:bookmarkStart w:id="324" w:name="_Toc10630"/>
      <w:bookmarkStart w:id="325" w:name="_Toc1628659"/>
      <w:r>
        <w:rPr>
          <w:rFonts w:ascii="Times New Roman" w:hAnsi="Times New Roman"/>
          <w:sz w:val="24"/>
          <w:szCs w:val="24"/>
        </w:rPr>
        <w:t>10.1 基础设施规划思路</w:t>
      </w:r>
      <w:bookmarkEnd w:id="324"/>
      <w:bookmarkEnd w:id="325"/>
    </w:p>
    <w:p w14:paraId="22BE812F">
      <w:pPr>
        <w:spacing w:line="360" w:lineRule="auto"/>
        <w:ind w:firstLine="480" w:firstLineChars="200"/>
        <w:rPr>
          <w:sz w:val="24"/>
          <w:szCs w:val="24"/>
        </w:rPr>
      </w:pPr>
      <w:r>
        <w:rPr>
          <w:sz w:val="24"/>
          <w:szCs w:val="24"/>
        </w:rPr>
        <w:t>基础设施先行是一个产业基地有序、健康、快速发展所必须遵循的客观规律。一个化工园区的基础设施建设</w:t>
      </w:r>
      <w:r>
        <w:rPr>
          <w:rFonts w:hint="eastAsia"/>
          <w:sz w:val="24"/>
          <w:szCs w:val="24"/>
          <w:lang w:eastAsia="zh-CN"/>
        </w:rPr>
        <w:t>涉及</w:t>
      </w:r>
      <w:r>
        <w:rPr>
          <w:sz w:val="24"/>
          <w:szCs w:val="24"/>
        </w:rPr>
        <w:t>方方面面，主要的有供排水、供电、供汽、仓储运输、“三废”处理设施、防灾工程、医疗卫生、学校教育等。</w:t>
      </w:r>
    </w:p>
    <w:p w14:paraId="5536FAF3">
      <w:pPr>
        <w:spacing w:line="360" w:lineRule="auto"/>
        <w:ind w:firstLine="480" w:firstLineChars="200"/>
        <w:jc w:val="left"/>
        <w:rPr>
          <w:sz w:val="24"/>
          <w:szCs w:val="24"/>
        </w:rPr>
      </w:pPr>
      <w:r>
        <w:rPr>
          <w:sz w:val="24"/>
          <w:szCs w:val="24"/>
        </w:rPr>
        <w:t>目前，本化工园区的基础设施建设</w:t>
      </w:r>
      <w:r>
        <w:rPr>
          <w:rFonts w:hint="eastAsia"/>
          <w:sz w:val="24"/>
          <w:szCs w:val="24"/>
        </w:rPr>
        <w:t>基本完成，</w:t>
      </w:r>
      <w:r>
        <w:rPr>
          <w:sz w:val="24"/>
          <w:szCs w:val="24"/>
        </w:rPr>
        <w:t>化工园区</w:t>
      </w:r>
      <w:r>
        <w:rPr>
          <w:sz w:val="24"/>
        </w:rPr>
        <w:t>目前区块一总规划面积</w:t>
      </w:r>
      <w:r>
        <w:rPr>
          <w:rFonts w:hint="eastAsia"/>
          <w:sz w:val="24"/>
        </w:rPr>
        <w:t>33.04公顷</w:t>
      </w:r>
      <w:r>
        <w:rPr>
          <w:sz w:val="24"/>
        </w:rPr>
        <w:t>，已开发面积30.71公顷，道路绿化0.66公顷，未开发面积1.6</w:t>
      </w:r>
      <w:r>
        <w:rPr>
          <w:rFonts w:hint="eastAsia"/>
          <w:sz w:val="24"/>
        </w:rPr>
        <w:t>7</w:t>
      </w:r>
      <w:r>
        <w:rPr>
          <w:sz w:val="24"/>
        </w:rPr>
        <w:t>公顷。区块二总规划面积</w:t>
      </w:r>
      <w:r>
        <w:rPr>
          <w:rFonts w:hint="eastAsia"/>
          <w:sz w:val="24"/>
        </w:rPr>
        <w:t>120.10公顷</w:t>
      </w:r>
      <w:r>
        <w:rPr>
          <w:sz w:val="24"/>
        </w:rPr>
        <w:t>，已开发面积</w:t>
      </w:r>
      <w:r>
        <w:rPr>
          <w:rFonts w:hint="eastAsia"/>
          <w:sz w:val="24"/>
        </w:rPr>
        <w:t>49.12</w:t>
      </w:r>
      <w:r>
        <w:rPr>
          <w:sz w:val="24"/>
        </w:rPr>
        <w:t>公顷，道路绿化及公共设施用地</w:t>
      </w:r>
      <w:r>
        <w:rPr>
          <w:rFonts w:hint="eastAsia"/>
          <w:sz w:val="24"/>
        </w:rPr>
        <w:t>19.88</w:t>
      </w:r>
      <w:r>
        <w:rPr>
          <w:sz w:val="24"/>
        </w:rPr>
        <w:t>公顷，未开发面积51.1公顷。</w:t>
      </w:r>
      <w:r>
        <w:rPr>
          <w:rFonts w:hint="eastAsia"/>
          <w:sz w:val="24"/>
        </w:rPr>
        <w:t>目前未开发面积较少，</w:t>
      </w:r>
      <w:r>
        <w:rPr>
          <w:sz w:val="24"/>
          <w:szCs w:val="24"/>
        </w:rPr>
        <w:t>规划用地现状主要为道路、企业已建成区及其已征和待征建设用地。</w:t>
      </w:r>
    </w:p>
    <w:p w14:paraId="7F20B5C9">
      <w:pPr>
        <w:spacing w:line="360" w:lineRule="auto"/>
        <w:ind w:firstLine="480" w:firstLineChars="200"/>
        <w:rPr>
          <w:sz w:val="24"/>
          <w:szCs w:val="24"/>
        </w:rPr>
      </w:pPr>
      <w:r>
        <w:rPr>
          <w:sz w:val="24"/>
          <w:szCs w:val="24"/>
        </w:rPr>
        <w:t>。本规划化工园区基础设施的规划思路是：</w:t>
      </w:r>
    </w:p>
    <w:p w14:paraId="4EE7BB43">
      <w:pPr>
        <w:spacing w:line="360" w:lineRule="auto"/>
        <w:ind w:firstLine="480" w:firstLineChars="200"/>
        <w:rPr>
          <w:sz w:val="24"/>
          <w:szCs w:val="24"/>
        </w:rPr>
      </w:pPr>
      <w:r>
        <w:rPr>
          <w:sz w:val="24"/>
          <w:szCs w:val="24"/>
        </w:rPr>
        <w:t>（1）道路网布局均衡，有利于地块划分，节省投资，满足化工园区交通需要，形成方便、快捷的交通网络。</w:t>
      </w:r>
    </w:p>
    <w:p w14:paraId="17F9F3C7">
      <w:pPr>
        <w:spacing w:line="360" w:lineRule="auto"/>
        <w:ind w:firstLine="480" w:firstLineChars="200"/>
        <w:rPr>
          <w:sz w:val="24"/>
          <w:szCs w:val="24"/>
        </w:rPr>
      </w:pPr>
      <w:r>
        <w:rPr>
          <w:sz w:val="24"/>
          <w:szCs w:val="24"/>
        </w:rPr>
        <w:t>（2）依据自身的物流品种和规模设置相应规模的仓储物流设施。</w:t>
      </w:r>
    </w:p>
    <w:p w14:paraId="53E38D0A">
      <w:pPr>
        <w:spacing w:line="360" w:lineRule="auto"/>
        <w:ind w:firstLine="480" w:firstLineChars="200"/>
        <w:rPr>
          <w:sz w:val="24"/>
          <w:szCs w:val="24"/>
        </w:rPr>
      </w:pPr>
      <w:r>
        <w:rPr>
          <w:sz w:val="24"/>
          <w:szCs w:val="24"/>
        </w:rPr>
        <w:t>（3）依据供排水负荷，设置相应规模的独立的供排水系统。</w:t>
      </w:r>
    </w:p>
    <w:p w14:paraId="00352F7E">
      <w:pPr>
        <w:spacing w:line="360" w:lineRule="auto"/>
        <w:ind w:firstLine="480" w:firstLineChars="200"/>
        <w:rPr>
          <w:sz w:val="24"/>
          <w:szCs w:val="24"/>
        </w:rPr>
      </w:pPr>
      <w:r>
        <w:rPr>
          <w:sz w:val="24"/>
          <w:szCs w:val="24"/>
        </w:rPr>
        <w:t>（4）依据用电负荷及等级，设置相应规模的独立的变电站。</w:t>
      </w:r>
    </w:p>
    <w:p w14:paraId="43C7D1CF">
      <w:pPr>
        <w:spacing w:line="360" w:lineRule="auto"/>
        <w:ind w:firstLine="480" w:firstLineChars="200"/>
        <w:rPr>
          <w:sz w:val="24"/>
          <w:szCs w:val="24"/>
        </w:rPr>
      </w:pPr>
      <w:r>
        <w:rPr>
          <w:sz w:val="24"/>
          <w:szCs w:val="24"/>
        </w:rPr>
        <w:t>（5）按照“产城互动”的原则，化工园区企业职工及家属的生活服务设施依托邻近的城市或城镇。</w:t>
      </w:r>
    </w:p>
    <w:p w14:paraId="7390DAC8">
      <w:pPr>
        <w:spacing w:line="360" w:lineRule="auto"/>
        <w:ind w:firstLine="480" w:firstLineChars="200"/>
        <w:rPr>
          <w:sz w:val="24"/>
          <w:szCs w:val="24"/>
        </w:rPr>
      </w:pPr>
      <w:r>
        <w:rPr>
          <w:sz w:val="24"/>
          <w:szCs w:val="24"/>
        </w:rPr>
        <w:t>配套的设施现状见下图（附图03：配套设施现状图</w:t>
      </w:r>
      <w:r>
        <w:rPr>
          <w:rFonts w:hint="eastAsia"/>
          <w:sz w:val="24"/>
          <w:szCs w:val="24"/>
        </w:rPr>
        <w:t>Z-28-</w:t>
      </w:r>
      <w:r>
        <w:rPr>
          <w:sz w:val="24"/>
          <w:szCs w:val="24"/>
        </w:rPr>
        <w:t>03）：</w:t>
      </w:r>
    </w:p>
    <w:p w14:paraId="38FEC285">
      <w:pPr>
        <w:widowControl/>
        <w:jc w:val="left"/>
        <w:rPr>
          <w:rFonts w:eastAsia="宋体"/>
        </w:rPr>
      </w:pPr>
      <w:r>
        <w:rPr>
          <w:rFonts w:hint="eastAsia" w:eastAsia="宋体"/>
        </w:rPr>
        <w:drawing>
          <wp:inline distT="0" distB="0" distL="114300" distR="114300">
            <wp:extent cx="5264150" cy="3754120"/>
            <wp:effectExtent l="0" t="0" r="12700" b="17780"/>
            <wp:docPr id="65" name="图片 65" descr="170536695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705366951341"/>
                    <pic:cNvPicPr>
                      <a:picLocks noChangeAspect="1"/>
                    </pic:cNvPicPr>
                  </pic:nvPicPr>
                  <pic:blipFill>
                    <a:blip r:embed="rId20"/>
                    <a:stretch>
                      <a:fillRect/>
                    </a:stretch>
                  </pic:blipFill>
                  <pic:spPr>
                    <a:xfrm>
                      <a:off x="0" y="0"/>
                      <a:ext cx="5264150" cy="3754120"/>
                    </a:xfrm>
                    <a:prstGeom prst="rect">
                      <a:avLst/>
                    </a:prstGeom>
                  </pic:spPr>
                </pic:pic>
              </a:graphicData>
            </a:graphic>
          </wp:inline>
        </w:drawing>
      </w:r>
    </w:p>
    <w:p w14:paraId="4F569850">
      <w:pPr>
        <w:pStyle w:val="4"/>
        <w:spacing w:before="156" w:after="156"/>
        <w:rPr>
          <w:rFonts w:ascii="Times New Roman" w:hAnsi="Times New Roman"/>
          <w:sz w:val="24"/>
          <w:szCs w:val="24"/>
        </w:rPr>
      </w:pPr>
      <w:bookmarkStart w:id="326" w:name="_Toc12664"/>
      <w:bookmarkStart w:id="327" w:name="_Toc1628660"/>
      <w:r>
        <w:rPr>
          <w:rFonts w:ascii="Times New Roman" w:hAnsi="Times New Roman"/>
          <w:sz w:val="24"/>
          <w:szCs w:val="24"/>
        </w:rPr>
        <w:t>10.2 交通基础设施规划</w:t>
      </w:r>
      <w:bookmarkEnd w:id="326"/>
      <w:bookmarkEnd w:id="327"/>
    </w:p>
    <w:p w14:paraId="1B26AE22">
      <w:pPr>
        <w:pStyle w:val="5"/>
        <w:spacing w:before="156" w:after="156"/>
        <w:rPr>
          <w:rFonts w:eastAsiaTheme="minorEastAsia"/>
          <w:sz w:val="24"/>
          <w:szCs w:val="24"/>
        </w:rPr>
      </w:pPr>
      <w:bookmarkStart w:id="328" w:name="_Toc4596080"/>
      <w:r>
        <w:rPr>
          <w:rFonts w:eastAsiaTheme="minorEastAsia"/>
          <w:sz w:val="24"/>
          <w:szCs w:val="24"/>
        </w:rPr>
        <w:t>10.2.1规划原则</w:t>
      </w:r>
      <w:bookmarkEnd w:id="328"/>
    </w:p>
    <w:p w14:paraId="1D90E74E">
      <w:pPr>
        <w:spacing w:line="360" w:lineRule="auto"/>
        <w:rPr>
          <w:sz w:val="24"/>
          <w:szCs w:val="24"/>
        </w:rPr>
      </w:pPr>
      <w:r>
        <w:rPr>
          <w:sz w:val="24"/>
          <w:szCs w:val="24"/>
        </w:rPr>
        <w:t>（1）、化工园区的道路网与对外交通道路之间衔接良好，与总体规划相协调，保证快速对外水路、公路和铁路交通的交通功能。</w:t>
      </w:r>
    </w:p>
    <w:p w14:paraId="78FBB47F">
      <w:pPr>
        <w:spacing w:line="360" w:lineRule="auto"/>
        <w:rPr>
          <w:sz w:val="24"/>
          <w:szCs w:val="24"/>
        </w:rPr>
      </w:pPr>
      <w:r>
        <w:rPr>
          <w:sz w:val="24"/>
          <w:szCs w:val="24"/>
        </w:rPr>
        <w:t>（2）、整个化工园区道路网规划成较为规则的方格网形式，主次干道道路间距比较均匀，保证土地使用效率，使道路能够发挥整体效益，路网密度适中。</w:t>
      </w:r>
    </w:p>
    <w:p w14:paraId="0F858FCE">
      <w:pPr>
        <w:spacing w:line="360" w:lineRule="auto"/>
        <w:rPr>
          <w:sz w:val="24"/>
          <w:szCs w:val="24"/>
        </w:rPr>
      </w:pPr>
      <w:r>
        <w:rPr>
          <w:sz w:val="24"/>
          <w:szCs w:val="24"/>
        </w:rPr>
        <w:t>（3）、结合化工园区交通构成的特点以及地质状况，合理设计道路断面。</w:t>
      </w:r>
    </w:p>
    <w:p w14:paraId="05C0B5A2">
      <w:pPr>
        <w:spacing w:line="360" w:lineRule="auto"/>
        <w:rPr>
          <w:sz w:val="24"/>
          <w:szCs w:val="24"/>
        </w:rPr>
      </w:pPr>
      <w:r>
        <w:rPr>
          <w:sz w:val="24"/>
          <w:szCs w:val="24"/>
        </w:rPr>
        <w:t>（4）、生活区域与产业、物流区域应采用不同的路网结构，以约束交通行为，达到客运、货运分离的目的。</w:t>
      </w:r>
    </w:p>
    <w:p w14:paraId="25F207B5">
      <w:pPr>
        <w:spacing w:line="360" w:lineRule="auto"/>
        <w:rPr>
          <w:sz w:val="24"/>
          <w:szCs w:val="24"/>
        </w:rPr>
      </w:pPr>
      <w:r>
        <w:rPr>
          <w:sz w:val="24"/>
          <w:szCs w:val="24"/>
        </w:rPr>
        <w:t>（5）、道路网应该保证项目用地、物流用地和公共设施用地之间存在一种既相（6）、互独立又相互联系的关系，使得化工园区的土地利用形成一个有机整体。</w:t>
      </w:r>
    </w:p>
    <w:p w14:paraId="1CAFC7BF">
      <w:pPr>
        <w:spacing w:line="360" w:lineRule="auto"/>
        <w:rPr>
          <w:sz w:val="24"/>
          <w:szCs w:val="24"/>
        </w:rPr>
      </w:pPr>
      <w:r>
        <w:rPr>
          <w:sz w:val="24"/>
          <w:szCs w:val="24"/>
        </w:rPr>
        <w:t>（7）、充分利用化工园区和社会道路，合理衔接，减少初期基础设施投资。</w:t>
      </w:r>
    </w:p>
    <w:p w14:paraId="31A80F5B">
      <w:pPr>
        <w:spacing w:line="360" w:lineRule="auto"/>
        <w:rPr>
          <w:sz w:val="24"/>
          <w:szCs w:val="24"/>
        </w:rPr>
      </w:pPr>
      <w:r>
        <w:rPr>
          <w:sz w:val="24"/>
          <w:szCs w:val="24"/>
        </w:rPr>
        <w:t>（8）、合理进行竖向设计，尽量减少土方量。</w:t>
      </w:r>
    </w:p>
    <w:p w14:paraId="1771303F">
      <w:pPr>
        <w:pStyle w:val="5"/>
        <w:spacing w:before="156" w:after="156"/>
        <w:rPr>
          <w:rFonts w:eastAsiaTheme="minorEastAsia"/>
          <w:sz w:val="24"/>
          <w:szCs w:val="24"/>
        </w:rPr>
      </w:pPr>
      <w:bookmarkStart w:id="329" w:name="_Toc4596081"/>
      <w:r>
        <w:rPr>
          <w:rFonts w:eastAsiaTheme="minorEastAsia"/>
          <w:sz w:val="24"/>
          <w:szCs w:val="24"/>
        </w:rPr>
        <w:t>10.2.2规划目标</w:t>
      </w:r>
      <w:bookmarkEnd w:id="329"/>
    </w:p>
    <w:p w14:paraId="06385BE2">
      <w:pPr>
        <w:widowControl/>
        <w:spacing w:line="360" w:lineRule="auto"/>
        <w:ind w:firstLine="480" w:firstLineChars="200"/>
        <w:jc w:val="left"/>
      </w:pPr>
      <w:r>
        <w:rPr>
          <w:kern w:val="0"/>
          <w:sz w:val="24"/>
          <w:szCs w:val="24"/>
        </w:rPr>
        <w:t>化工园区与周围区域交通相协调，满足区内物流运输需要，使物流顺畅、人流便捷。内部交通主要依托区内路网。</w:t>
      </w:r>
    </w:p>
    <w:p w14:paraId="4A7492EF">
      <w:pPr>
        <w:pStyle w:val="5"/>
        <w:spacing w:before="156" w:after="156"/>
        <w:rPr>
          <w:rFonts w:eastAsiaTheme="minorEastAsia"/>
          <w:sz w:val="24"/>
          <w:szCs w:val="24"/>
        </w:rPr>
      </w:pPr>
      <w:bookmarkStart w:id="330" w:name="_Toc4596082"/>
      <w:r>
        <w:rPr>
          <w:rFonts w:eastAsiaTheme="minorEastAsia"/>
          <w:sz w:val="24"/>
          <w:szCs w:val="24"/>
        </w:rPr>
        <w:t>10.2.3区内道路交通规划</w:t>
      </w:r>
      <w:bookmarkEnd w:id="330"/>
    </w:p>
    <w:p w14:paraId="4E1C1E56">
      <w:pPr>
        <w:widowControl/>
        <w:spacing w:line="360" w:lineRule="auto"/>
        <w:ind w:firstLine="480" w:firstLineChars="200"/>
        <w:jc w:val="left"/>
        <w:rPr>
          <w:kern w:val="0"/>
          <w:sz w:val="24"/>
          <w:szCs w:val="24"/>
        </w:rPr>
      </w:pPr>
      <w:bookmarkStart w:id="331" w:name="_Toc1628661"/>
      <w:r>
        <w:rPr>
          <w:kern w:val="0"/>
          <w:sz w:val="24"/>
          <w:szCs w:val="24"/>
        </w:rPr>
        <w:t>道路网结构由主干道、次干道、支路组成。整个规划地区道路网规划为自由式与方格网式结合的路网结构。线路较长的开发区主干道有朝阳路和洛九路。化工园区周边设置有园区次干道及支路，道路成环状布置且于园区内其他道路相连接。其园区主干道红线宽度40—60米，次干道红线宽度30—40米，支路红线宽度15—20米。朝阳东路主干道红线宽度24米，长宁路、长富路、华兴路、东兴路、吉兴路、庆兴路次干道红线宽度16米，田东路、建设北路、永兴路、吉安路支路红线宽度8米，</w:t>
      </w:r>
    </w:p>
    <w:p w14:paraId="4C8C44EA">
      <w:pPr>
        <w:widowControl/>
        <w:spacing w:line="360" w:lineRule="auto"/>
        <w:ind w:firstLine="480" w:firstLineChars="200"/>
        <w:jc w:val="left"/>
        <w:rPr>
          <w:kern w:val="0"/>
          <w:sz w:val="24"/>
          <w:szCs w:val="24"/>
        </w:rPr>
      </w:pPr>
      <w:r>
        <w:rPr>
          <w:kern w:val="0"/>
          <w:sz w:val="24"/>
          <w:szCs w:val="24"/>
        </w:rPr>
        <w:t>区块一规划主干道为建设路，次干道为电厂路和田东路，规划支路为永兴路。</w:t>
      </w:r>
    </w:p>
    <w:p w14:paraId="0A5514BE">
      <w:pPr>
        <w:widowControl/>
        <w:spacing w:line="360" w:lineRule="auto"/>
        <w:ind w:firstLine="480" w:firstLineChars="200"/>
        <w:jc w:val="left"/>
        <w:rPr>
          <w:kern w:val="0"/>
          <w:sz w:val="24"/>
          <w:szCs w:val="24"/>
        </w:rPr>
      </w:pPr>
      <w:r>
        <w:rPr>
          <w:kern w:val="0"/>
          <w:sz w:val="24"/>
          <w:szCs w:val="24"/>
        </w:rPr>
        <w:t>区块二东面的道路网为“三横三纵”，棋盘式布局。“三横”为长宁路、吉安路、长富路，“三纵”为华兴路、洛九路(G206)、东兴路。</w:t>
      </w:r>
    </w:p>
    <w:p w14:paraId="0D1108EA">
      <w:pPr>
        <w:widowControl/>
        <w:spacing w:line="360" w:lineRule="auto"/>
        <w:ind w:firstLine="480" w:firstLineChars="200"/>
        <w:jc w:val="left"/>
      </w:pPr>
      <w:r>
        <w:rPr>
          <w:kern w:val="0"/>
          <w:sz w:val="24"/>
          <w:szCs w:val="24"/>
        </w:rPr>
        <w:t>区块二西面的道路网为“两横一纵”，棋盘式布局。“两横”为朝阳东路、庆兴北路，“一纵”为吉兴路。</w:t>
      </w:r>
    </w:p>
    <w:p w14:paraId="08FDF8CC">
      <w:pPr>
        <w:spacing w:line="360" w:lineRule="auto"/>
        <w:ind w:firstLine="319" w:firstLineChars="133"/>
        <w:rPr>
          <w:kern w:val="0"/>
          <w:sz w:val="24"/>
          <w:szCs w:val="24"/>
        </w:rPr>
      </w:pPr>
      <w:r>
        <w:rPr>
          <w:kern w:val="0"/>
          <w:sz w:val="24"/>
          <w:szCs w:val="24"/>
        </w:rPr>
        <w:t>除本规划的道路外，地块内的其它辅路在企业入驻时根据需要确定。区块一和区块二道路交通规划图见下图：</w:t>
      </w:r>
    </w:p>
    <w:p w14:paraId="5A396646">
      <w:pPr>
        <w:pStyle w:val="47"/>
        <w:rPr>
          <w:rFonts w:hint="default" w:ascii="Times New Roman"/>
          <w:color w:val="auto"/>
        </w:rPr>
      </w:pPr>
      <w:r>
        <w:rPr>
          <w:rFonts w:ascii="Times New Roman"/>
          <w:color w:val="auto"/>
        </w:rPr>
        <w:drawing>
          <wp:inline distT="0" distB="0" distL="114300" distR="114300">
            <wp:extent cx="5271135" cy="3718560"/>
            <wp:effectExtent l="0" t="0" r="5715" b="15240"/>
            <wp:docPr id="15" name="图片 15" descr="1667888075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7888075265"/>
                    <pic:cNvPicPr>
                      <a:picLocks noChangeAspect="1"/>
                    </pic:cNvPicPr>
                  </pic:nvPicPr>
                  <pic:blipFill>
                    <a:blip r:embed="rId43"/>
                    <a:stretch>
                      <a:fillRect/>
                    </a:stretch>
                  </pic:blipFill>
                  <pic:spPr>
                    <a:xfrm>
                      <a:off x="0" y="0"/>
                      <a:ext cx="5271135" cy="3718560"/>
                    </a:xfrm>
                    <a:prstGeom prst="rect">
                      <a:avLst/>
                    </a:prstGeom>
                  </pic:spPr>
                </pic:pic>
              </a:graphicData>
            </a:graphic>
          </wp:inline>
        </w:drawing>
      </w:r>
    </w:p>
    <w:p w14:paraId="473764ED">
      <w:pPr>
        <w:pStyle w:val="47"/>
        <w:rPr>
          <w:rFonts w:hint="default" w:ascii="Times New Roman"/>
          <w:color w:val="auto"/>
        </w:rPr>
      </w:pPr>
      <w:r>
        <w:rPr>
          <w:rFonts w:ascii="Times New Roman"/>
          <w:color w:val="auto"/>
        </w:rPr>
        <w:drawing>
          <wp:inline distT="0" distB="0" distL="114300" distR="114300">
            <wp:extent cx="5271135" cy="3736340"/>
            <wp:effectExtent l="0" t="0" r="5715" b="16510"/>
            <wp:docPr id="63" name="图片 63" descr="168109089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81090896607"/>
                    <pic:cNvPicPr>
                      <a:picLocks noChangeAspect="1"/>
                    </pic:cNvPicPr>
                  </pic:nvPicPr>
                  <pic:blipFill>
                    <a:blip r:embed="rId44"/>
                    <a:stretch>
                      <a:fillRect/>
                    </a:stretch>
                  </pic:blipFill>
                  <pic:spPr>
                    <a:xfrm>
                      <a:off x="0" y="0"/>
                      <a:ext cx="5271135" cy="3736340"/>
                    </a:xfrm>
                    <a:prstGeom prst="rect">
                      <a:avLst/>
                    </a:prstGeom>
                  </pic:spPr>
                </pic:pic>
              </a:graphicData>
            </a:graphic>
          </wp:inline>
        </w:drawing>
      </w:r>
    </w:p>
    <w:p w14:paraId="7B0A6D0E">
      <w:pPr>
        <w:pStyle w:val="4"/>
        <w:spacing w:before="156" w:after="156"/>
        <w:rPr>
          <w:rFonts w:ascii="Times New Roman" w:hAnsi="Times New Roman"/>
          <w:sz w:val="24"/>
          <w:szCs w:val="24"/>
        </w:rPr>
      </w:pPr>
      <w:bookmarkStart w:id="332" w:name="_Toc29638"/>
      <w:r>
        <w:rPr>
          <w:rFonts w:ascii="Times New Roman" w:hAnsi="Times New Roman"/>
          <w:sz w:val="24"/>
          <w:szCs w:val="24"/>
        </w:rPr>
        <w:t>10.3 供热基础设施规划</w:t>
      </w:r>
      <w:bookmarkEnd w:id="331"/>
      <w:bookmarkEnd w:id="332"/>
      <w:r>
        <w:rPr>
          <w:rFonts w:ascii="Times New Roman" w:hAnsi="Times New Roman"/>
          <w:sz w:val="24"/>
          <w:szCs w:val="24"/>
        </w:rPr>
        <w:tab/>
      </w:r>
    </w:p>
    <w:p w14:paraId="4D814858">
      <w:pPr>
        <w:spacing w:line="360" w:lineRule="auto"/>
        <w:ind w:firstLine="480" w:firstLineChars="200"/>
        <w:rPr>
          <w:sz w:val="24"/>
          <w:szCs w:val="24"/>
        </w:rPr>
      </w:pPr>
      <w:bookmarkStart w:id="333" w:name="_Toc1628662"/>
      <w:r>
        <w:rPr>
          <w:sz w:val="24"/>
          <w:szCs w:val="24"/>
        </w:rPr>
        <w:t>目前淮南经济技术开发区内的蒸汽由田家庵电厂热力厂提供，蒸汽最大总供应能力</w:t>
      </w:r>
      <w:r>
        <w:rPr>
          <w:rFonts w:eastAsia="Times New Roman"/>
          <w:sz w:val="24"/>
          <w:szCs w:val="24"/>
        </w:rPr>
        <w:t>300t/h</w:t>
      </w:r>
      <w:r>
        <w:rPr>
          <w:sz w:val="24"/>
          <w:szCs w:val="24"/>
        </w:rPr>
        <w:t>，压力</w:t>
      </w:r>
      <w:r>
        <w:rPr>
          <w:rFonts w:eastAsia="Times New Roman"/>
          <w:sz w:val="24"/>
          <w:szCs w:val="24"/>
        </w:rPr>
        <w:t>1.0MPa(G)</w:t>
      </w:r>
      <w:r>
        <w:rPr>
          <w:sz w:val="24"/>
          <w:szCs w:val="24"/>
        </w:rPr>
        <w:t>，温度</w:t>
      </w:r>
      <w:r>
        <w:rPr>
          <w:rFonts w:eastAsia="Times New Roman"/>
          <w:sz w:val="24"/>
          <w:szCs w:val="24"/>
        </w:rPr>
        <w:t>250</w:t>
      </w:r>
      <w:r>
        <w:rPr>
          <w:sz w:val="24"/>
          <w:szCs w:val="24"/>
        </w:rPr>
        <w:t>℃。</w:t>
      </w:r>
    </w:p>
    <w:p w14:paraId="4AE74A8C">
      <w:pPr>
        <w:spacing w:line="360" w:lineRule="auto"/>
        <w:ind w:firstLine="480" w:firstLineChars="200"/>
        <w:rPr>
          <w:sz w:val="24"/>
          <w:szCs w:val="24"/>
        </w:rPr>
      </w:pPr>
      <w:r>
        <w:rPr>
          <w:sz w:val="24"/>
          <w:szCs w:val="24"/>
        </w:rPr>
        <w:t>(</w:t>
      </w:r>
      <w:r>
        <w:rPr>
          <w:rFonts w:eastAsia="Times New Roman"/>
          <w:sz w:val="24"/>
          <w:szCs w:val="24"/>
        </w:rPr>
        <w:t>1</w:t>
      </w:r>
      <w:r>
        <w:rPr>
          <w:sz w:val="24"/>
          <w:szCs w:val="24"/>
        </w:rPr>
        <w:t>)供热现状</w:t>
      </w:r>
    </w:p>
    <w:p w14:paraId="6BB837DE">
      <w:pPr>
        <w:spacing w:line="360" w:lineRule="auto"/>
        <w:ind w:firstLine="480" w:firstLineChars="200"/>
        <w:rPr>
          <w:sz w:val="24"/>
          <w:szCs w:val="24"/>
        </w:rPr>
      </w:pPr>
      <w:r>
        <w:rPr>
          <w:kern w:val="0"/>
          <w:sz w:val="24"/>
          <w:szCs w:val="24"/>
        </w:rPr>
        <w:t>区块一</w:t>
      </w:r>
      <w:r>
        <w:rPr>
          <w:sz w:val="24"/>
          <w:szCs w:val="24"/>
        </w:rPr>
        <w:t>：引自田家庵电厂2*320MW热电联产机组DN600供热管道</w:t>
      </w:r>
      <w:r>
        <w:rPr>
          <w:rFonts w:hint="eastAsia"/>
          <w:sz w:val="24"/>
          <w:szCs w:val="24"/>
        </w:rPr>
        <w:t>，</w:t>
      </w:r>
      <w:r>
        <w:rPr>
          <w:sz w:val="24"/>
          <w:szCs w:val="24"/>
        </w:rPr>
        <w:t>德邦化工的蒸汽需求来源于自建的</w:t>
      </w:r>
      <w:r>
        <w:rPr>
          <w:rFonts w:eastAsia="Times New Roman"/>
          <w:sz w:val="24"/>
          <w:szCs w:val="24"/>
        </w:rPr>
        <w:t>75t/h</w:t>
      </w:r>
      <w:r>
        <w:rPr>
          <w:sz w:val="24"/>
          <w:szCs w:val="24"/>
        </w:rPr>
        <w:t>锅炉和田家庵电厂热力提供蒸汽，总需求量</w:t>
      </w:r>
      <w:r>
        <w:rPr>
          <w:rFonts w:eastAsia="Times New Roman"/>
          <w:sz w:val="24"/>
          <w:szCs w:val="24"/>
        </w:rPr>
        <w:t>130t/h</w:t>
      </w:r>
      <w:r>
        <w:rPr>
          <w:sz w:val="24"/>
          <w:szCs w:val="24"/>
        </w:rPr>
        <w:t>。恒诚制药、水卫士环保科技蒸汽由田家庵电厂热力厂、中润热电厂提供蒸汽，恒诚制药蒸汽用量为</w:t>
      </w:r>
      <w:r>
        <w:rPr>
          <w:rFonts w:eastAsia="Times New Roman"/>
          <w:sz w:val="24"/>
          <w:szCs w:val="24"/>
        </w:rPr>
        <w:t>0.6t/h</w:t>
      </w:r>
      <w:r>
        <w:rPr>
          <w:sz w:val="24"/>
          <w:szCs w:val="24"/>
        </w:rPr>
        <w:t>，水卫士环保科技蒸汽用量为</w:t>
      </w:r>
      <w:r>
        <w:rPr>
          <w:rFonts w:eastAsia="Times New Roman"/>
          <w:sz w:val="24"/>
          <w:szCs w:val="24"/>
        </w:rPr>
        <w:t>0.5t/h</w:t>
      </w:r>
      <w:r>
        <w:rPr>
          <w:sz w:val="24"/>
          <w:szCs w:val="24"/>
        </w:rPr>
        <w:t>。</w:t>
      </w:r>
      <w:r>
        <w:rPr>
          <w:rFonts w:hint="eastAsia"/>
          <w:sz w:val="24"/>
          <w:szCs w:val="24"/>
        </w:rPr>
        <w:t>目前</w:t>
      </w:r>
      <w:r>
        <w:rPr>
          <w:kern w:val="0"/>
          <w:sz w:val="24"/>
          <w:szCs w:val="24"/>
        </w:rPr>
        <w:t>区块一</w:t>
      </w:r>
      <w:r>
        <w:rPr>
          <w:sz w:val="24"/>
          <w:szCs w:val="24"/>
        </w:rPr>
        <w:t>蒸汽</w:t>
      </w:r>
      <w:r>
        <w:rPr>
          <w:rFonts w:hint="eastAsia"/>
          <w:sz w:val="24"/>
          <w:szCs w:val="24"/>
        </w:rPr>
        <w:t>余量较大，且剩余发展空间不大，故能满足规划要求。</w:t>
      </w:r>
    </w:p>
    <w:p w14:paraId="1AE34CD7">
      <w:pPr>
        <w:spacing w:line="360" w:lineRule="auto"/>
        <w:ind w:firstLine="480" w:firstLineChars="200"/>
        <w:rPr>
          <w:sz w:val="24"/>
          <w:szCs w:val="24"/>
        </w:rPr>
      </w:pPr>
      <w:r>
        <w:rPr>
          <w:kern w:val="0"/>
          <w:sz w:val="24"/>
          <w:szCs w:val="24"/>
        </w:rPr>
        <w:t>区块二</w:t>
      </w:r>
      <w:r>
        <w:rPr>
          <w:sz w:val="24"/>
          <w:szCs w:val="24"/>
        </w:rPr>
        <w:t>：国瑞药业的蒸汽需求来源于田家庵电厂热力厂DN</w:t>
      </w:r>
      <w:r>
        <w:rPr>
          <w:rFonts w:hint="eastAsia"/>
          <w:sz w:val="24"/>
          <w:szCs w:val="24"/>
        </w:rPr>
        <w:t>5</w:t>
      </w:r>
      <w:r>
        <w:rPr>
          <w:sz w:val="24"/>
          <w:szCs w:val="24"/>
        </w:rPr>
        <w:t>00供热管道提供蒸汽，</w:t>
      </w:r>
      <w:r>
        <w:rPr>
          <w:rFonts w:hint="eastAsia"/>
          <w:sz w:val="24"/>
          <w:szCs w:val="24"/>
        </w:rPr>
        <w:t>供汽能约为</w:t>
      </w:r>
      <w:r>
        <w:rPr>
          <w:rFonts w:eastAsia="Times New Roman"/>
          <w:sz w:val="24"/>
          <w:szCs w:val="24"/>
        </w:rPr>
        <w:t>130t/h</w:t>
      </w:r>
      <w:r>
        <w:rPr>
          <w:rFonts w:hint="eastAsia"/>
          <w:sz w:val="24"/>
          <w:szCs w:val="24"/>
        </w:rPr>
        <w:t>，目前</w:t>
      </w:r>
      <w:r>
        <w:rPr>
          <w:sz w:val="24"/>
          <w:szCs w:val="24"/>
        </w:rPr>
        <w:t>国瑞药业需求</w:t>
      </w:r>
      <w:r>
        <w:rPr>
          <w:rFonts w:eastAsia="Times New Roman"/>
          <w:sz w:val="24"/>
          <w:szCs w:val="24"/>
        </w:rPr>
        <w:t>2</w:t>
      </w:r>
      <w:r>
        <w:rPr>
          <w:rFonts w:hint="eastAsia"/>
          <w:sz w:val="24"/>
          <w:szCs w:val="24"/>
        </w:rPr>
        <w:t>1</w:t>
      </w:r>
      <w:r>
        <w:rPr>
          <w:rFonts w:eastAsia="Times New Roman"/>
          <w:sz w:val="24"/>
          <w:szCs w:val="24"/>
        </w:rPr>
        <w:t>t/h</w:t>
      </w:r>
      <w:r>
        <w:rPr>
          <w:rFonts w:hint="eastAsia"/>
          <w:sz w:val="24"/>
          <w:szCs w:val="24"/>
        </w:rPr>
        <w:t>，其他已建企业需求15</w:t>
      </w:r>
      <w:r>
        <w:rPr>
          <w:rFonts w:eastAsia="Times New Roman"/>
          <w:sz w:val="24"/>
          <w:szCs w:val="24"/>
        </w:rPr>
        <w:t>t/h</w:t>
      </w:r>
      <w:r>
        <w:rPr>
          <w:rFonts w:hint="eastAsia"/>
          <w:sz w:val="24"/>
          <w:szCs w:val="24"/>
        </w:rPr>
        <w:t>。富裕94</w:t>
      </w:r>
      <w:r>
        <w:rPr>
          <w:rFonts w:eastAsia="Times New Roman"/>
          <w:sz w:val="24"/>
          <w:szCs w:val="24"/>
        </w:rPr>
        <w:t>t/h</w:t>
      </w:r>
      <w:r>
        <w:rPr>
          <w:rFonts w:hint="eastAsia"/>
          <w:sz w:val="24"/>
          <w:szCs w:val="24"/>
        </w:rPr>
        <w:t>，根据预测，能满足园区未来入园企业需求</w:t>
      </w:r>
      <w:r>
        <w:rPr>
          <w:sz w:val="24"/>
          <w:szCs w:val="24"/>
        </w:rPr>
        <w:t>。</w:t>
      </w:r>
    </w:p>
    <w:p w14:paraId="46BC4975">
      <w:pPr>
        <w:spacing w:line="360" w:lineRule="auto"/>
        <w:ind w:firstLine="480" w:firstLineChars="200"/>
        <w:rPr>
          <w:sz w:val="24"/>
          <w:szCs w:val="24"/>
        </w:rPr>
      </w:pPr>
      <w:r>
        <w:rPr>
          <w:sz w:val="24"/>
          <w:szCs w:val="24"/>
        </w:rPr>
        <w:t>(</w:t>
      </w:r>
      <w:r>
        <w:rPr>
          <w:rFonts w:eastAsia="Times New Roman"/>
          <w:sz w:val="24"/>
          <w:szCs w:val="24"/>
        </w:rPr>
        <w:t>2</w:t>
      </w:r>
      <w:r>
        <w:rPr>
          <w:sz w:val="24"/>
          <w:szCs w:val="24"/>
        </w:rPr>
        <w:t>)供热规划</w:t>
      </w:r>
    </w:p>
    <w:p w14:paraId="35B28EBF">
      <w:pPr>
        <w:widowControl/>
        <w:spacing w:line="360" w:lineRule="auto"/>
        <w:ind w:firstLine="480" w:firstLineChars="200"/>
        <w:jc w:val="left"/>
        <w:rPr>
          <w:sz w:val="24"/>
          <w:szCs w:val="24"/>
        </w:rPr>
      </w:pPr>
      <w:r>
        <w:rPr>
          <w:kern w:val="0"/>
          <w:sz w:val="24"/>
          <w:szCs w:val="24"/>
        </w:rPr>
        <w:t>区块一</w:t>
      </w:r>
      <w:r>
        <w:rPr>
          <w:sz w:val="24"/>
          <w:szCs w:val="24"/>
        </w:rPr>
        <w:t>蒸汽管道来自田家庵电厂热力厂，蒸汽管道沿振兴北路由南向北铺设，供热规划见附图1</w:t>
      </w:r>
      <w:r>
        <w:rPr>
          <w:rFonts w:hint="eastAsia"/>
          <w:sz w:val="24"/>
          <w:szCs w:val="24"/>
        </w:rPr>
        <w:t>5</w:t>
      </w:r>
      <w:r>
        <w:rPr>
          <w:sz w:val="24"/>
          <w:szCs w:val="24"/>
        </w:rPr>
        <w:t>.区块一供热工程规划图（图号：</w:t>
      </w:r>
      <w:r>
        <w:rPr>
          <w:rFonts w:hint="eastAsia"/>
          <w:sz w:val="24"/>
          <w:szCs w:val="24"/>
        </w:rPr>
        <w:t>Z-28-15</w:t>
      </w:r>
      <w:r>
        <w:rPr>
          <w:sz w:val="24"/>
          <w:szCs w:val="24"/>
        </w:rPr>
        <w:t>）。</w:t>
      </w:r>
    </w:p>
    <w:p w14:paraId="35507FEB">
      <w:pPr>
        <w:pStyle w:val="47"/>
        <w:rPr>
          <w:rFonts w:hint="default" w:ascii="Times New Roman"/>
          <w:color w:val="auto"/>
        </w:rPr>
      </w:pPr>
      <w:r>
        <w:rPr>
          <w:rFonts w:ascii="Times New Roman"/>
          <w:color w:val="auto"/>
        </w:rPr>
        <w:drawing>
          <wp:inline distT="0" distB="0" distL="114300" distR="114300">
            <wp:extent cx="5267960" cy="3699510"/>
            <wp:effectExtent l="0" t="0" r="8890" b="15240"/>
            <wp:docPr id="66" name="图片 66" descr="170536701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05367014219"/>
                    <pic:cNvPicPr>
                      <a:picLocks noChangeAspect="1"/>
                    </pic:cNvPicPr>
                  </pic:nvPicPr>
                  <pic:blipFill>
                    <a:blip r:embed="rId45"/>
                    <a:stretch>
                      <a:fillRect/>
                    </a:stretch>
                  </pic:blipFill>
                  <pic:spPr>
                    <a:xfrm>
                      <a:off x="0" y="0"/>
                      <a:ext cx="5267960" cy="3699510"/>
                    </a:xfrm>
                    <a:prstGeom prst="rect">
                      <a:avLst/>
                    </a:prstGeom>
                  </pic:spPr>
                </pic:pic>
              </a:graphicData>
            </a:graphic>
          </wp:inline>
        </w:drawing>
      </w:r>
    </w:p>
    <w:p w14:paraId="46BBA337">
      <w:pPr>
        <w:widowControl/>
        <w:spacing w:line="360" w:lineRule="auto"/>
        <w:ind w:firstLine="480" w:firstLineChars="200"/>
        <w:jc w:val="left"/>
        <w:rPr>
          <w:sz w:val="24"/>
          <w:szCs w:val="24"/>
        </w:rPr>
      </w:pPr>
      <w:r>
        <w:rPr>
          <w:kern w:val="0"/>
          <w:sz w:val="24"/>
          <w:szCs w:val="24"/>
        </w:rPr>
        <w:t>区块二</w:t>
      </w:r>
      <w:r>
        <w:rPr>
          <w:sz w:val="24"/>
          <w:szCs w:val="24"/>
        </w:rPr>
        <w:t>蒸汽管道来自田家庵电厂热力厂，蒸汽管道沿长宁路铺设，总管径为</w:t>
      </w:r>
      <w:r>
        <w:rPr>
          <w:rFonts w:eastAsia="Times New Roman"/>
          <w:sz w:val="24"/>
          <w:szCs w:val="24"/>
        </w:rPr>
        <w:t>DN500</w:t>
      </w:r>
      <w:r>
        <w:rPr>
          <w:sz w:val="24"/>
          <w:szCs w:val="24"/>
        </w:rPr>
        <w:t>，沿吉兴路铺设至</w:t>
      </w:r>
      <w:r>
        <w:rPr>
          <w:kern w:val="0"/>
          <w:sz w:val="24"/>
          <w:szCs w:val="24"/>
        </w:rPr>
        <w:t>区块二</w:t>
      </w:r>
      <w:r>
        <w:rPr>
          <w:sz w:val="24"/>
          <w:szCs w:val="24"/>
        </w:rPr>
        <w:t>西片管径为</w:t>
      </w:r>
      <w:r>
        <w:rPr>
          <w:rFonts w:eastAsia="Times New Roman"/>
          <w:sz w:val="24"/>
          <w:szCs w:val="24"/>
        </w:rPr>
        <w:t>DN200</w:t>
      </w:r>
      <w:r>
        <w:rPr>
          <w:sz w:val="24"/>
          <w:szCs w:val="24"/>
        </w:rPr>
        <w:t>，由长宁路接入</w:t>
      </w:r>
      <w:r>
        <w:rPr>
          <w:kern w:val="0"/>
          <w:sz w:val="24"/>
          <w:szCs w:val="24"/>
        </w:rPr>
        <w:t>区块二</w:t>
      </w:r>
      <w:r>
        <w:rPr>
          <w:sz w:val="24"/>
          <w:szCs w:val="24"/>
        </w:rPr>
        <w:t>东片区管径为</w:t>
      </w:r>
      <w:r>
        <w:rPr>
          <w:rFonts w:eastAsia="Times New Roman"/>
          <w:sz w:val="24"/>
          <w:szCs w:val="24"/>
        </w:rPr>
        <w:t>DN200</w:t>
      </w:r>
      <w:r>
        <w:rPr>
          <w:sz w:val="24"/>
          <w:szCs w:val="24"/>
        </w:rPr>
        <w:t>，最大供热能力</w:t>
      </w:r>
      <w:r>
        <w:rPr>
          <w:rFonts w:eastAsia="Times New Roman"/>
          <w:sz w:val="24"/>
          <w:szCs w:val="24"/>
        </w:rPr>
        <w:t>300t/h</w:t>
      </w:r>
      <w:r>
        <w:rPr>
          <w:sz w:val="24"/>
          <w:szCs w:val="24"/>
        </w:rPr>
        <w:t>。化工园区各企业供热以自建燃气锅炉、余热锅炉、燃气导热油炉供热为备用热源，供热规划见附图2</w:t>
      </w:r>
      <w:r>
        <w:rPr>
          <w:rFonts w:hint="eastAsia"/>
          <w:sz w:val="24"/>
          <w:szCs w:val="24"/>
        </w:rPr>
        <w:t>7</w:t>
      </w:r>
      <w:r>
        <w:rPr>
          <w:sz w:val="24"/>
          <w:szCs w:val="24"/>
        </w:rPr>
        <w:t>.区块二供热工程规划图（图号：</w:t>
      </w:r>
      <w:r>
        <w:rPr>
          <w:rFonts w:hint="eastAsia"/>
          <w:sz w:val="24"/>
          <w:szCs w:val="24"/>
        </w:rPr>
        <w:t>Z-28-27</w:t>
      </w:r>
      <w:r>
        <w:rPr>
          <w:sz w:val="24"/>
          <w:szCs w:val="24"/>
        </w:rPr>
        <w:t>）。</w:t>
      </w:r>
      <w:bookmarkStart w:id="334" w:name="_Toc15258"/>
    </w:p>
    <w:p w14:paraId="76F3FB39">
      <w:pPr>
        <w:pStyle w:val="47"/>
        <w:rPr>
          <w:rFonts w:hint="default" w:ascii="Times New Roman"/>
          <w:color w:val="auto"/>
        </w:rPr>
      </w:pPr>
      <w:r>
        <w:rPr>
          <w:rFonts w:ascii="Times New Roman"/>
          <w:color w:val="auto"/>
        </w:rPr>
        <w:drawing>
          <wp:inline distT="0" distB="0" distL="114300" distR="114300">
            <wp:extent cx="5267325" cy="3729355"/>
            <wp:effectExtent l="0" t="0" r="9525" b="4445"/>
            <wp:docPr id="67" name="图片 67" descr="170536703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705367038380"/>
                    <pic:cNvPicPr>
                      <a:picLocks noChangeAspect="1"/>
                    </pic:cNvPicPr>
                  </pic:nvPicPr>
                  <pic:blipFill>
                    <a:blip r:embed="rId46"/>
                    <a:stretch>
                      <a:fillRect/>
                    </a:stretch>
                  </pic:blipFill>
                  <pic:spPr>
                    <a:xfrm>
                      <a:off x="0" y="0"/>
                      <a:ext cx="5267325" cy="3729355"/>
                    </a:xfrm>
                    <a:prstGeom prst="rect">
                      <a:avLst/>
                    </a:prstGeom>
                  </pic:spPr>
                </pic:pic>
              </a:graphicData>
            </a:graphic>
          </wp:inline>
        </w:drawing>
      </w:r>
    </w:p>
    <w:p w14:paraId="6A1D3F6B">
      <w:pPr>
        <w:widowControl/>
        <w:spacing w:line="360" w:lineRule="auto"/>
        <w:jc w:val="left"/>
        <w:rPr>
          <w:b/>
          <w:bCs/>
          <w:sz w:val="24"/>
          <w:szCs w:val="24"/>
        </w:rPr>
      </w:pPr>
      <w:r>
        <w:rPr>
          <w:b/>
          <w:bCs/>
          <w:sz w:val="24"/>
          <w:szCs w:val="24"/>
        </w:rPr>
        <w:t>10.4 供排水基础设施规划</w:t>
      </w:r>
      <w:bookmarkEnd w:id="333"/>
      <w:bookmarkEnd w:id="334"/>
    </w:p>
    <w:p w14:paraId="7A1D631E">
      <w:pPr>
        <w:pStyle w:val="5"/>
        <w:spacing w:line="360" w:lineRule="auto"/>
        <w:rPr>
          <w:rFonts w:eastAsiaTheme="minorEastAsia"/>
          <w:sz w:val="24"/>
          <w:szCs w:val="24"/>
        </w:rPr>
      </w:pPr>
      <w:bookmarkStart w:id="335" w:name="_Toc4596085"/>
      <w:bookmarkStart w:id="336" w:name="_Toc250483915"/>
      <w:r>
        <w:rPr>
          <w:rFonts w:eastAsiaTheme="minorEastAsia"/>
          <w:sz w:val="24"/>
          <w:szCs w:val="24"/>
        </w:rPr>
        <w:t>10.4.1 供水工程规划</w:t>
      </w:r>
      <w:bookmarkEnd w:id="335"/>
    </w:p>
    <w:bookmarkEnd w:id="336"/>
    <w:p w14:paraId="4382E89B">
      <w:pPr>
        <w:spacing w:line="360" w:lineRule="auto"/>
        <w:ind w:firstLine="576" w:firstLineChars="200"/>
        <w:rPr>
          <w:sz w:val="24"/>
          <w:szCs w:val="24"/>
        </w:rPr>
      </w:pPr>
      <w:r>
        <w:rPr>
          <w:spacing w:val="24"/>
          <w:sz w:val="24"/>
          <w:szCs w:val="24"/>
        </w:rPr>
        <w:t>(</w:t>
      </w:r>
      <w:r>
        <w:rPr>
          <w:rFonts w:eastAsia="Times New Roman"/>
          <w:spacing w:val="21"/>
          <w:sz w:val="24"/>
          <w:szCs w:val="24"/>
        </w:rPr>
        <w:t>1</w:t>
      </w:r>
      <w:r>
        <w:rPr>
          <w:spacing w:val="21"/>
          <w:sz w:val="24"/>
          <w:szCs w:val="24"/>
        </w:rPr>
        <w:t>)水源</w:t>
      </w:r>
    </w:p>
    <w:p w14:paraId="40F30379">
      <w:pPr>
        <w:spacing w:line="360" w:lineRule="auto"/>
        <w:ind w:firstLine="480" w:firstLineChars="200"/>
        <w:rPr>
          <w:kern w:val="21"/>
          <w:sz w:val="24"/>
          <w:szCs w:val="24"/>
        </w:rPr>
      </w:pPr>
      <w:r>
        <w:rPr>
          <w:kern w:val="21"/>
          <w:sz w:val="24"/>
          <w:szCs w:val="24"/>
        </w:rPr>
        <w:t>淮南经开化工园区供水主要由接市政一、三水厂环网供水主网提供，总供水能力为</w:t>
      </w:r>
      <w:r>
        <w:rPr>
          <w:rFonts w:eastAsia="Times New Roman"/>
          <w:kern w:val="21"/>
          <w:sz w:val="24"/>
          <w:szCs w:val="24"/>
        </w:rPr>
        <w:t>400000m</w:t>
      </w:r>
      <w:r>
        <w:rPr>
          <w:kern w:val="21"/>
          <w:sz w:val="24"/>
          <w:szCs w:val="24"/>
          <w:vertAlign w:val="superscript"/>
        </w:rPr>
        <w:t>3</w:t>
      </w:r>
      <w:r>
        <w:rPr>
          <w:rFonts w:eastAsia="Times New Roman"/>
          <w:kern w:val="21"/>
          <w:sz w:val="24"/>
          <w:szCs w:val="24"/>
        </w:rPr>
        <w:t>/d</w:t>
      </w:r>
      <w:r>
        <w:rPr>
          <w:kern w:val="21"/>
          <w:sz w:val="24"/>
          <w:szCs w:val="24"/>
        </w:rPr>
        <w:t>。</w:t>
      </w:r>
    </w:p>
    <w:p w14:paraId="5365BDEA">
      <w:pPr>
        <w:spacing w:line="360" w:lineRule="auto"/>
        <w:ind w:firstLine="480" w:firstLineChars="200"/>
        <w:rPr>
          <w:kern w:val="21"/>
          <w:sz w:val="24"/>
          <w:szCs w:val="24"/>
        </w:rPr>
      </w:pPr>
      <w:r>
        <w:rPr>
          <w:kern w:val="21"/>
          <w:sz w:val="24"/>
          <w:szCs w:val="24"/>
        </w:rPr>
        <w:t>(2) 供水现状</w:t>
      </w:r>
    </w:p>
    <w:p w14:paraId="35DB1789">
      <w:pPr>
        <w:spacing w:line="360" w:lineRule="auto"/>
        <w:ind w:firstLine="480" w:firstLineChars="200"/>
        <w:rPr>
          <w:kern w:val="21"/>
          <w:sz w:val="24"/>
          <w:szCs w:val="24"/>
        </w:rPr>
      </w:pPr>
      <w:r>
        <w:rPr>
          <w:kern w:val="21"/>
          <w:sz w:val="24"/>
          <w:szCs w:val="24"/>
        </w:rPr>
        <w:t>区块一：区块一：用水来源为接市政一、三水厂环网供水主网，德邦化工用水量为</w:t>
      </w:r>
      <w:r>
        <w:rPr>
          <w:rFonts w:eastAsia="Times New Roman"/>
          <w:kern w:val="21"/>
          <w:sz w:val="24"/>
          <w:szCs w:val="24"/>
        </w:rPr>
        <w:t>300m</w:t>
      </w:r>
      <w:r>
        <w:rPr>
          <w:kern w:val="21"/>
          <w:sz w:val="24"/>
          <w:szCs w:val="24"/>
          <w:vertAlign w:val="superscript"/>
        </w:rPr>
        <w:t>3</w:t>
      </w:r>
      <w:r>
        <w:rPr>
          <w:rFonts w:eastAsia="Times New Roman"/>
          <w:kern w:val="21"/>
          <w:sz w:val="24"/>
          <w:szCs w:val="24"/>
        </w:rPr>
        <w:t>/h</w:t>
      </w:r>
      <w:r>
        <w:rPr>
          <w:kern w:val="21"/>
          <w:sz w:val="24"/>
          <w:szCs w:val="24"/>
        </w:rPr>
        <w:t>。恒诚制药和水卫士环保科水源来自淮南经济技术开发区供水管网，由田东路接</w:t>
      </w:r>
      <w:r>
        <w:rPr>
          <w:rFonts w:eastAsia="Times New Roman"/>
          <w:kern w:val="21"/>
          <w:sz w:val="24"/>
          <w:szCs w:val="24"/>
        </w:rPr>
        <w:t>DN200</w:t>
      </w:r>
      <w:r>
        <w:rPr>
          <w:kern w:val="21"/>
          <w:sz w:val="24"/>
          <w:szCs w:val="24"/>
        </w:rPr>
        <w:t>给水管道进厂区，恒诚制药用水量约为</w:t>
      </w:r>
      <w:r>
        <w:rPr>
          <w:rFonts w:eastAsia="Times New Roman"/>
          <w:kern w:val="21"/>
          <w:sz w:val="24"/>
          <w:szCs w:val="24"/>
        </w:rPr>
        <w:t>56m</w:t>
      </w:r>
      <w:r>
        <w:rPr>
          <w:kern w:val="21"/>
          <w:sz w:val="24"/>
          <w:szCs w:val="24"/>
          <w:vertAlign w:val="superscript"/>
        </w:rPr>
        <w:t>3</w:t>
      </w:r>
      <w:r>
        <w:rPr>
          <w:rFonts w:eastAsia="Times New Roman"/>
          <w:kern w:val="21"/>
          <w:sz w:val="24"/>
          <w:szCs w:val="24"/>
        </w:rPr>
        <w:t>/h</w:t>
      </w:r>
      <w:r>
        <w:rPr>
          <w:kern w:val="21"/>
          <w:sz w:val="24"/>
          <w:szCs w:val="24"/>
        </w:rPr>
        <w:t>水卫士环保科技处理用水量为</w:t>
      </w:r>
      <w:r>
        <w:rPr>
          <w:rFonts w:eastAsia="Times New Roman"/>
          <w:kern w:val="21"/>
          <w:sz w:val="24"/>
          <w:szCs w:val="24"/>
        </w:rPr>
        <w:t>12.5m</w:t>
      </w:r>
      <w:r>
        <w:rPr>
          <w:kern w:val="21"/>
          <w:sz w:val="24"/>
          <w:szCs w:val="24"/>
          <w:vertAlign w:val="superscript"/>
        </w:rPr>
        <w:t>3</w:t>
      </w:r>
      <w:r>
        <w:rPr>
          <w:rFonts w:eastAsia="Times New Roman"/>
          <w:kern w:val="21"/>
          <w:sz w:val="24"/>
          <w:szCs w:val="24"/>
        </w:rPr>
        <w:t>/h</w:t>
      </w:r>
      <w:r>
        <w:rPr>
          <w:kern w:val="21"/>
          <w:sz w:val="24"/>
          <w:szCs w:val="24"/>
        </w:rPr>
        <w:t>。</w:t>
      </w:r>
    </w:p>
    <w:p w14:paraId="0351DC59">
      <w:pPr>
        <w:spacing w:line="360" w:lineRule="auto"/>
        <w:ind w:firstLine="480" w:firstLineChars="200"/>
        <w:rPr>
          <w:kern w:val="21"/>
          <w:sz w:val="24"/>
          <w:szCs w:val="24"/>
        </w:rPr>
      </w:pPr>
      <w:r>
        <w:rPr>
          <w:kern w:val="21"/>
          <w:sz w:val="24"/>
          <w:szCs w:val="24"/>
        </w:rPr>
        <w:t>区块二：供水主要由接市政一、三水厂环网供水主网提供</w:t>
      </w:r>
      <w:r>
        <w:rPr>
          <w:rFonts w:hint="eastAsia"/>
          <w:kern w:val="21"/>
          <w:sz w:val="24"/>
          <w:szCs w:val="24"/>
        </w:rPr>
        <w:t>，</w:t>
      </w:r>
      <w:r>
        <w:rPr>
          <w:kern w:val="21"/>
          <w:sz w:val="24"/>
          <w:szCs w:val="24"/>
        </w:rPr>
        <w:t>DN300供水管道</w:t>
      </w:r>
      <w:r>
        <w:rPr>
          <w:rFonts w:hint="eastAsia"/>
          <w:kern w:val="21"/>
          <w:sz w:val="24"/>
          <w:szCs w:val="24"/>
        </w:rPr>
        <w:t>。</w:t>
      </w:r>
      <w:r>
        <w:rPr>
          <w:kern w:val="21"/>
          <w:sz w:val="24"/>
          <w:szCs w:val="24"/>
        </w:rPr>
        <w:t>国瑞药业由朝阳北路接DN200给水管道进厂区，用水量47m3/h。</w:t>
      </w:r>
      <w:r>
        <w:rPr>
          <w:rFonts w:hint="eastAsia"/>
          <w:kern w:val="21"/>
          <w:sz w:val="24"/>
          <w:szCs w:val="24"/>
        </w:rPr>
        <w:t>片区二供水系统规划进行提升项目建设，达到双管路或环状供水要求。</w:t>
      </w:r>
      <w:r>
        <w:rPr>
          <w:kern w:val="21"/>
          <w:sz w:val="24"/>
          <w:szCs w:val="24"/>
          <w:lang w:val="zh-CN"/>
        </w:rPr>
        <w:t>具体见</w:t>
      </w:r>
      <w:r>
        <w:rPr>
          <w:kern w:val="21"/>
          <w:sz w:val="24"/>
          <w:szCs w:val="24"/>
        </w:rPr>
        <w:t>附图1</w:t>
      </w:r>
      <w:r>
        <w:rPr>
          <w:rFonts w:hint="eastAsia"/>
          <w:kern w:val="21"/>
          <w:sz w:val="24"/>
          <w:szCs w:val="24"/>
        </w:rPr>
        <w:t>0</w:t>
      </w:r>
      <w:r>
        <w:rPr>
          <w:kern w:val="21"/>
          <w:sz w:val="24"/>
          <w:szCs w:val="24"/>
        </w:rPr>
        <w:t>.区块一给水工程规划图（图号：</w:t>
      </w:r>
      <w:r>
        <w:rPr>
          <w:rFonts w:hint="eastAsia"/>
          <w:kern w:val="21"/>
          <w:sz w:val="24"/>
          <w:szCs w:val="24"/>
        </w:rPr>
        <w:t>Z-28-10</w:t>
      </w:r>
      <w:r>
        <w:rPr>
          <w:kern w:val="21"/>
          <w:sz w:val="24"/>
          <w:szCs w:val="24"/>
        </w:rPr>
        <w:t>）。</w:t>
      </w:r>
    </w:p>
    <w:p w14:paraId="3818A175">
      <w:pPr>
        <w:spacing w:line="360" w:lineRule="auto"/>
        <w:ind w:firstLine="480" w:firstLineChars="200"/>
        <w:rPr>
          <w:kern w:val="21"/>
          <w:sz w:val="24"/>
          <w:szCs w:val="24"/>
        </w:rPr>
      </w:pPr>
      <w:r>
        <w:rPr>
          <w:kern w:val="21"/>
          <w:sz w:val="24"/>
          <w:szCs w:val="24"/>
        </w:rPr>
        <w:t>(3)供水规划</w:t>
      </w:r>
    </w:p>
    <w:p w14:paraId="25C56726">
      <w:pPr>
        <w:spacing w:line="360" w:lineRule="auto"/>
        <w:ind w:firstLine="480" w:firstLineChars="200"/>
        <w:rPr>
          <w:kern w:val="21"/>
          <w:sz w:val="24"/>
          <w:szCs w:val="24"/>
        </w:rPr>
      </w:pPr>
      <w:r>
        <w:rPr>
          <w:kern w:val="21"/>
          <w:sz w:val="24"/>
          <w:szCs w:val="24"/>
        </w:rPr>
        <w:t>区块一规划接城市给水管网沿着田东路由西向东供水总管为</w:t>
      </w:r>
      <w:r>
        <w:rPr>
          <w:rFonts w:eastAsia="Times New Roman"/>
          <w:kern w:val="21"/>
          <w:sz w:val="24"/>
          <w:szCs w:val="24"/>
        </w:rPr>
        <w:t>DN600</w:t>
      </w:r>
      <w:r>
        <w:rPr>
          <w:kern w:val="21"/>
          <w:sz w:val="24"/>
          <w:szCs w:val="24"/>
        </w:rPr>
        <w:t>，沿着建设路由南向北供水总管为</w:t>
      </w:r>
      <w:r>
        <w:rPr>
          <w:rFonts w:eastAsia="Times New Roman"/>
          <w:kern w:val="21"/>
          <w:sz w:val="24"/>
          <w:szCs w:val="24"/>
        </w:rPr>
        <w:t>DN300</w:t>
      </w:r>
      <w:r>
        <w:rPr>
          <w:rFonts w:hint="eastAsia"/>
          <w:kern w:val="21"/>
          <w:sz w:val="24"/>
          <w:szCs w:val="24"/>
        </w:rPr>
        <w:t>，能满足入园企业用水要求</w:t>
      </w:r>
      <w:r>
        <w:rPr>
          <w:kern w:val="21"/>
          <w:sz w:val="24"/>
          <w:szCs w:val="24"/>
        </w:rPr>
        <w:t>。</w:t>
      </w:r>
    </w:p>
    <w:p w14:paraId="20AC06F2">
      <w:pPr>
        <w:pStyle w:val="47"/>
        <w:rPr>
          <w:rFonts w:hint="default" w:ascii="Times New Roman"/>
          <w:color w:val="auto"/>
        </w:rPr>
      </w:pPr>
      <w:r>
        <w:rPr>
          <w:rFonts w:ascii="Times New Roman"/>
          <w:color w:val="auto"/>
        </w:rPr>
        <w:drawing>
          <wp:inline distT="0" distB="0" distL="114300" distR="114300">
            <wp:extent cx="5264150" cy="3696970"/>
            <wp:effectExtent l="0" t="0" r="12700" b="17780"/>
            <wp:docPr id="70" name="图片 70" descr="170536705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705367058929"/>
                    <pic:cNvPicPr>
                      <a:picLocks noChangeAspect="1"/>
                    </pic:cNvPicPr>
                  </pic:nvPicPr>
                  <pic:blipFill>
                    <a:blip r:embed="rId47"/>
                    <a:stretch>
                      <a:fillRect/>
                    </a:stretch>
                  </pic:blipFill>
                  <pic:spPr>
                    <a:xfrm>
                      <a:off x="0" y="0"/>
                      <a:ext cx="5264150" cy="3696970"/>
                    </a:xfrm>
                    <a:prstGeom prst="rect">
                      <a:avLst/>
                    </a:prstGeom>
                  </pic:spPr>
                </pic:pic>
              </a:graphicData>
            </a:graphic>
          </wp:inline>
        </w:drawing>
      </w:r>
    </w:p>
    <w:p w14:paraId="48E102DC">
      <w:pPr>
        <w:spacing w:line="360" w:lineRule="auto"/>
        <w:ind w:firstLine="480" w:firstLineChars="200"/>
        <w:rPr>
          <w:kern w:val="21"/>
          <w:sz w:val="24"/>
          <w:szCs w:val="24"/>
        </w:rPr>
      </w:pPr>
      <w:r>
        <w:rPr>
          <w:kern w:val="21"/>
          <w:sz w:val="24"/>
          <w:szCs w:val="24"/>
        </w:rPr>
        <w:t>区块二规划接城市给水管网沿着朝阳路由西向东供水总管为</w:t>
      </w:r>
      <w:r>
        <w:rPr>
          <w:rFonts w:eastAsia="Times New Roman"/>
          <w:kern w:val="21"/>
          <w:sz w:val="24"/>
          <w:szCs w:val="24"/>
        </w:rPr>
        <w:t>DN600</w:t>
      </w:r>
      <w:r>
        <w:rPr>
          <w:kern w:val="21"/>
          <w:sz w:val="24"/>
          <w:szCs w:val="24"/>
        </w:rPr>
        <w:t>，规划接城市给水管网沿着长富路由西向东供水总管为</w:t>
      </w:r>
      <w:r>
        <w:rPr>
          <w:rFonts w:eastAsia="Times New Roman"/>
          <w:kern w:val="21"/>
          <w:sz w:val="24"/>
          <w:szCs w:val="24"/>
        </w:rPr>
        <w:t>DN400</w:t>
      </w:r>
      <w:r>
        <w:rPr>
          <w:kern w:val="21"/>
          <w:sz w:val="24"/>
          <w:szCs w:val="24"/>
        </w:rPr>
        <w:t>，化工园区内给水支管</w:t>
      </w:r>
      <w:r>
        <w:rPr>
          <w:rFonts w:eastAsia="Times New Roman"/>
          <w:kern w:val="21"/>
          <w:sz w:val="24"/>
          <w:szCs w:val="24"/>
        </w:rPr>
        <w:t>DN200-DN300</w:t>
      </w:r>
      <w:r>
        <w:rPr>
          <w:kern w:val="21"/>
          <w:sz w:val="24"/>
          <w:szCs w:val="24"/>
        </w:rPr>
        <w:t>。化工园区内支管分别规划沿吉兴路为</w:t>
      </w:r>
      <w:r>
        <w:rPr>
          <w:rFonts w:eastAsia="Times New Roman"/>
          <w:kern w:val="21"/>
          <w:sz w:val="24"/>
          <w:szCs w:val="24"/>
        </w:rPr>
        <w:t>DN400</w:t>
      </w:r>
      <w:r>
        <w:rPr>
          <w:kern w:val="21"/>
          <w:sz w:val="24"/>
          <w:szCs w:val="24"/>
        </w:rPr>
        <w:t>，沿华兴路为</w:t>
      </w:r>
      <w:r>
        <w:rPr>
          <w:rFonts w:eastAsia="Times New Roman"/>
          <w:kern w:val="21"/>
          <w:sz w:val="24"/>
          <w:szCs w:val="24"/>
        </w:rPr>
        <w:t>DN200</w:t>
      </w:r>
      <w:r>
        <w:rPr>
          <w:kern w:val="21"/>
          <w:sz w:val="24"/>
          <w:szCs w:val="24"/>
        </w:rPr>
        <w:t>，沿洛九路(</w:t>
      </w:r>
      <w:r>
        <w:rPr>
          <w:rFonts w:eastAsia="Times New Roman"/>
          <w:kern w:val="21"/>
          <w:sz w:val="24"/>
          <w:szCs w:val="24"/>
        </w:rPr>
        <w:t>G206</w:t>
      </w:r>
      <w:r>
        <w:rPr>
          <w:kern w:val="21"/>
          <w:sz w:val="24"/>
          <w:szCs w:val="24"/>
        </w:rPr>
        <w:t>)为</w:t>
      </w:r>
      <w:r>
        <w:rPr>
          <w:rFonts w:eastAsia="Times New Roman"/>
          <w:kern w:val="21"/>
          <w:sz w:val="24"/>
          <w:szCs w:val="24"/>
        </w:rPr>
        <w:t>DN200</w:t>
      </w:r>
      <w:r>
        <w:rPr>
          <w:kern w:val="21"/>
          <w:sz w:val="24"/>
          <w:szCs w:val="24"/>
        </w:rPr>
        <w:t>，化工园区内给水支管</w:t>
      </w:r>
      <w:r>
        <w:rPr>
          <w:rFonts w:eastAsia="Times New Roman"/>
          <w:kern w:val="21"/>
          <w:sz w:val="24"/>
          <w:szCs w:val="24"/>
        </w:rPr>
        <w:t>DN150-DN200</w:t>
      </w:r>
      <w:r>
        <w:rPr>
          <w:rFonts w:hint="eastAsia"/>
          <w:kern w:val="21"/>
          <w:sz w:val="24"/>
          <w:szCs w:val="24"/>
        </w:rPr>
        <w:t>，能满足入园企业用水要求</w:t>
      </w:r>
      <w:r>
        <w:rPr>
          <w:kern w:val="21"/>
          <w:sz w:val="24"/>
          <w:szCs w:val="24"/>
        </w:rPr>
        <w:t>。</w:t>
      </w:r>
    </w:p>
    <w:p w14:paraId="385D863D">
      <w:pPr>
        <w:spacing w:line="360" w:lineRule="auto"/>
        <w:ind w:firstLine="480" w:firstLineChars="200"/>
        <w:rPr>
          <w:kern w:val="21"/>
          <w:sz w:val="24"/>
          <w:szCs w:val="24"/>
        </w:rPr>
      </w:pPr>
      <w:r>
        <w:rPr>
          <w:kern w:val="21"/>
          <w:sz w:val="24"/>
          <w:szCs w:val="24"/>
        </w:rPr>
        <w:t>给水管道管顶覆土深度不得小于</w:t>
      </w:r>
      <w:r>
        <w:rPr>
          <w:rFonts w:eastAsia="Times New Roman"/>
          <w:kern w:val="21"/>
          <w:sz w:val="24"/>
          <w:szCs w:val="24"/>
        </w:rPr>
        <w:t>0.7</w:t>
      </w:r>
      <w:r>
        <w:rPr>
          <w:kern w:val="21"/>
          <w:sz w:val="24"/>
          <w:szCs w:val="24"/>
        </w:rPr>
        <w:t>米(车行道下)，在管道相互碰接时按照小管让大管、压力管让重力管的原则处理，区块一目前总用水</w:t>
      </w:r>
      <w:r>
        <w:rPr>
          <w:rFonts w:eastAsia="Times New Roman"/>
          <w:kern w:val="21"/>
          <w:sz w:val="24"/>
          <w:szCs w:val="24"/>
        </w:rPr>
        <w:t>291.8</w:t>
      </w:r>
      <w:r>
        <w:rPr>
          <w:kern w:val="21"/>
          <w:sz w:val="24"/>
          <w:szCs w:val="24"/>
        </w:rPr>
        <w:t>万</w:t>
      </w:r>
      <w:r>
        <w:rPr>
          <w:rFonts w:eastAsia="Times New Roman"/>
          <w:kern w:val="21"/>
          <w:sz w:val="24"/>
          <w:szCs w:val="24"/>
        </w:rPr>
        <w:t>m</w:t>
      </w:r>
      <w:r>
        <w:rPr>
          <w:rFonts w:eastAsia="Times New Roman"/>
          <w:kern w:val="21"/>
          <w:sz w:val="24"/>
          <w:szCs w:val="24"/>
          <w:vertAlign w:val="superscript"/>
        </w:rPr>
        <w:t>3</w:t>
      </w:r>
      <w:r>
        <w:rPr>
          <w:rFonts w:eastAsia="Times New Roman"/>
          <w:kern w:val="21"/>
          <w:sz w:val="24"/>
          <w:szCs w:val="24"/>
        </w:rPr>
        <w:t>/a</w:t>
      </w:r>
      <w:r>
        <w:rPr>
          <w:kern w:val="21"/>
          <w:sz w:val="24"/>
          <w:szCs w:val="24"/>
        </w:rPr>
        <w:t>，区块二规划预测总用水量为</w:t>
      </w:r>
      <w:r>
        <w:rPr>
          <w:rFonts w:eastAsia="Times New Roman"/>
          <w:kern w:val="21"/>
          <w:sz w:val="24"/>
          <w:szCs w:val="24"/>
        </w:rPr>
        <w:t>335.44</w:t>
      </w:r>
      <w:r>
        <w:rPr>
          <w:kern w:val="21"/>
          <w:sz w:val="24"/>
          <w:szCs w:val="24"/>
        </w:rPr>
        <w:t>万</w:t>
      </w:r>
      <w:r>
        <w:rPr>
          <w:rFonts w:eastAsia="Times New Roman"/>
          <w:kern w:val="21"/>
          <w:sz w:val="24"/>
          <w:szCs w:val="24"/>
        </w:rPr>
        <w:t>m</w:t>
      </w:r>
      <w:r>
        <w:rPr>
          <w:rFonts w:eastAsia="Times New Roman"/>
          <w:kern w:val="21"/>
          <w:sz w:val="24"/>
          <w:szCs w:val="24"/>
          <w:vertAlign w:val="superscript"/>
        </w:rPr>
        <w:t>3</w:t>
      </w:r>
      <w:r>
        <w:rPr>
          <w:rFonts w:eastAsia="Times New Roman"/>
          <w:kern w:val="21"/>
          <w:sz w:val="24"/>
          <w:szCs w:val="24"/>
        </w:rPr>
        <w:t>/a</w:t>
      </w:r>
      <w:r>
        <w:rPr>
          <w:kern w:val="21"/>
          <w:sz w:val="24"/>
          <w:szCs w:val="24"/>
        </w:rPr>
        <w:t>。</w:t>
      </w:r>
    </w:p>
    <w:p w14:paraId="16E8A67E">
      <w:pPr>
        <w:pStyle w:val="47"/>
        <w:rPr>
          <w:rFonts w:hint="default" w:ascii="Times New Roman"/>
          <w:color w:val="auto"/>
          <w:lang w:val="zh-CN"/>
        </w:rPr>
      </w:pPr>
      <w:r>
        <w:rPr>
          <w:rFonts w:ascii="Times New Roman"/>
          <w:color w:val="auto"/>
        </w:rPr>
        <w:drawing>
          <wp:inline distT="0" distB="0" distL="114300" distR="114300">
            <wp:extent cx="5273040" cy="3722370"/>
            <wp:effectExtent l="0" t="0" r="3810" b="11430"/>
            <wp:docPr id="71" name="图片 71" descr="1705367079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705367079806"/>
                    <pic:cNvPicPr>
                      <a:picLocks noChangeAspect="1"/>
                    </pic:cNvPicPr>
                  </pic:nvPicPr>
                  <pic:blipFill>
                    <a:blip r:embed="rId48"/>
                    <a:stretch>
                      <a:fillRect/>
                    </a:stretch>
                  </pic:blipFill>
                  <pic:spPr>
                    <a:xfrm>
                      <a:off x="0" y="0"/>
                      <a:ext cx="5273040" cy="3722370"/>
                    </a:xfrm>
                    <a:prstGeom prst="rect">
                      <a:avLst/>
                    </a:prstGeom>
                  </pic:spPr>
                </pic:pic>
              </a:graphicData>
            </a:graphic>
          </wp:inline>
        </w:drawing>
      </w:r>
    </w:p>
    <w:p w14:paraId="054B8C71">
      <w:pPr>
        <w:pStyle w:val="5"/>
        <w:spacing w:line="360" w:lineRule="auto"/>
        <w:rPr>
          <w:rFonts w:eastAsiaTheme="minorEastAsia"/>
          <w:sz w:val="24"/>
          <w:szCs w:val="24"/>
        </w:rPr>
      </w:pPr>
      <w:bookmarkStart w:id="337" w:name="_Toc4596086"/>
      <w:r>
        <w:rPr>
          <w:rFonts w:eastAsiaTheme="minorEastAsia"/>
          <w:sz w:val="24"/>
          <w:szCs w:val="24"/>
        </w:rPr>
        <w:t>10.4.2 排水工程规划</w:t>
      </w:r>
      <w:bookmarkEnd w:id="337"/>
    </w:p>
    <w:p w14:paraId="23F59CE4">
      <w:pPr>
        <w:spacing w:line="360" w:lineRule="auto"/>
        <w:ind w:firstLine="480" w:firstLineChars="200"/>
        <w:rPr>
          <w:sz w:val="24"/>
          <w:szCs w:val="24"/>
        </w:rPr>
      </w:pPr>
      <w:r>
        <w:rPr>
          <w:sz w:val="24"/>
          <w:szCs w:val="24"/>
        </w:rPr>
        <w:t>化工园区采用雨污分流的排水体制。</w:t>
      </w:r>
    </w:p>
    <w:p w14:paraId="4C6D3484">
      <w:pPr>
        <w:spacing w:line="360" w:lineRule="auto"/>
        <w:ind w:firstLine="480" w:firstLineChars="200"/>
        <w:rPr>
          <w:sz w:val="24"/>
          <w:szCs w:val="24"/>
        </w:rPr>
      </w:pPr>
      <w:r>
        <w:rPr>
          <w:sz w:val="24"/>
          <w:szCs w:val="24"/>
        </w:rPr>
        <w:t>(</w:t>
      </w:r>
      <w:r>
        <w:rPr>
          <w:rFonts w:eastAsia="Times New Roman"/>
          <w:sz w:val="24"/>
          <w:szCs w:val="24"/>
        </w:rPr>
        <w:t>1</w:t>
      </w:r>
      <w:r>
        <w:rPr>
          <w:sz w:val="24"/>
          <w:szCs w:val="24"/>
        </w:rPr>
        <w:t>)排水现状</w:t>
      </w:r>
    </w:p>
    <w:p w14:paraId="43A2FC50">
      <w:pPr>
        <w:spacing w:line="360" w:lineRule="auto"/>
        <w:ind w:firstLine="480" w:firstLineChars="200"/>
        <w:rPr>
          <w:sz w:val="24"/>
          <w:szCs w:val="24"/>
        </w:rPr>
      </w:pPr>
      <w:r>
        <w:rPr>
          <w:kern w:val="21"/>
          <w:sz w:val="24"/>
          <w:szCs w:val="24"/>
        </w:rPr>
        <w:t>淮南经济开发区</w:t>
      </w:r>
      <w:r>
        <w:rPr>
          <w:sz w:val="24"/>
          <w:szCs w:val="24"/>
        </w:rPr>
        <w:t>目前已建一座</w:t>
      </w:r>
      <w:r>
        <w:rPr>
          <w:rFonts w:eastAsia="Times New Roman"/>
          <w:sz w:val="24"/>
          <w:szCs w:val="24"/>
        </w:rPr>
        <w:t>1.0</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/d</w:t>
      </w:r>
      <w:r>
        <w:rPr>
          <w:sz w:val="24"/>
          <w:szCs w:val="24"/>
        </w:rPr>
        <w:t>工业污水处理厂。</w:t>
      </w:r>
    </w:p>
    <w:p w14:paraId="060551B9">
      <w:pPr>
        <w:spacing w:line="360" w:lineRule="auto"/>
        <w:ind w:firstLine="480" w:firstLineChars="200"/>
        <w:rPr>
          <w:sz w:val="24"/>
          <w:szCs w:val="24"/>
        </w:rPr>
      </w:pPr>
      <w:r>
        <w:rPr>
          <w:kern w:val="21"/>
          <w:sz w:val="24"/>
          <w:szCs w:val="24"/>
        </w:rPr>
        <w:t>区块一</w:t>
      </w:r>
      <w:r>
        <w:rPr>
          <w:sz w:val="24"/>
          <w:szCs w:val="24"/>
        </w:rPr>
        <w:t>：德邦化工污水排放量</w:t>
      </w:r>
      <w:r>
        <w:rPr>
          <w:rFonts w:eastAsia="Times New Roman"/>
          <w:sz w:val="24"/>
          <w:szCs w:val="24"/>
        </w:rPr>
        <w:t>2400m</w:t>
      </w:r>
      <w:r>
        <w:rPr>
          <w:rFonts w:eastAsia="Times New Roman"/>
          <w:sz w:val="24"/>
          <w:szCs w:val="24"/>
          <w:vertAlign w:val="superscript"/>
        </w:rPr>
        <w:t>3</w:t>
      </w:r>
      <w:r>
        <w:rPr>
          <w:rFonts w:eastAsia="Times New Roman"/>
          <w:sz w:val="24"/>
          <w:szCs w:val="24"/>
        </w:rPr>
        <w:t>/d</w:t>
      </w:r>
      <w:r>
        <w:rPr>
          <w:sz w:val="24"/>
          <w:szCs w:val="24"/>
        </w:rPr>
        <w:t>，恒诚制药污水排放量</w:t>
      </w:r>
      <w:r>
        <w:rPr>
          <w:rFonts w:eastAsia="Times New Roman"/>
          <w:sz w:val="24"/>
          <w:szCs w:val="24"/>
        </w:rPr>
        <w:t>43.8m</w:t>
      </w:r>
      <w:r>
        <w:rPr>
          <w:rFonts w:eastAsia="Times New Roman"/>
          <w:sz w:val="24"/>
          <w:szCs w:val="24"/>
          <w:vertAlign w:val="superscript"/>
        </w:rPr>
        <w:t>3</w:t>
      </w:r>
      <w:r>
        <w:rPr>
          <w:rFonts w:eastAsia="Times New Roman"/>
          <w:sz w:val="24"/>
          <w:szCs w:val="24"/>
        </w:rPr>
        <w:t>/d</w:t>
      </w:r>
      <w:r>
        <w:rPr>
          <w:sz w:val="24"/>
          <w:szCs w:val="24"/>
        </w:rPr>
        <w:t>，水卫士环保科技污水排放量</w:t>
      </w:r>
      <w:r>
        <w:rPr>
          <w:rFonts w:eastAsia="Times New Roman"/>
          <w:sz w:val="24"/>
          <w:szCs w:val="24"/>
        </w:rPr>
        <w:t>2.5m</w:t>
      </w:r>
      <w:r>
        <w:rPr>
          <w:rFonts w:eastAsia="Times New Roman"/>
          <w:sz w:val="24"/>
          <w:szCs w:val="24"/>
          <w:vertAlign w:val="superscript"/>
        </w:rPr>
        <w:t>3</w:t>
      </w:r>
      <w:r>
        <w:rPr>
          <w:rFonts w:eastAsia="Times New Roman"/>
          <w:sz w:val="24"/>
          <w:szCs w:val="24"/>
        </w:rPr>
        <w:t>/d</w:t>
      </w:r>
      <w:r>
        <w:rPr>
          <w:sz w:val="24"/>
          <w:szCs w:val="24"/>
        </w:rPr>
        <w:t>，以上三家企业经污水管网收集至各自污水处理设施处理达到《污水综合排放标准》(</w:t>
      </w:r>
      <w:r>
        <w:rPr>
          <w:rFonts w:eastAsia="Times New Roman"/>
          <w:sz w:val="24"/>
          <w:szCs w:val="24"/>
        </w:rPr>
        <w:t>GB8978-1996</w:t>
      </w:r>
      <w:r>
        <w:rPr>
          <w:sz w:val="24"/>
          <w:szCs w:val="24"/>
        </w:rPr>
        <w:t>)，排入开发区工业污水处理厂</w:t>
      </w:r>
      <w:r>
        <w:rPr>
          <w:rFonts w:hint="eastAsia"/>
          <w:sz w:val="24"/>
          <w:szCs w:val="24"/>
        </w:rPr>
        <w:t>，</w:t>
      </w:r>
      <w:r>
        <w:rPr>
          <w:rFonts w:hint="eastAsia"/>
          <w:kern w:val="21"/>
          <w:sz w:val="24"/>
          <w:szCs w:val="24"/>
        </w:rPr>
        <w:t>能满足入园企业污水处理要求</w:t>
      </w:r>
      <w:r>
        <w:rPr>
          <w:sz w:val="24"/>
          <w:szCs w:val="24"/>
        </w:rPr>
        <w:t>。</w:t>
      </w:r>
    </w:p>
    <w:p w14:paraId="1607223B">
      <w:pPr>
        <w:spacing w:line="360" w:lineRule="auto"/>
        <w:ind w:firstLine="480" w:firstLineChars="200"/>
        <w:rPr>
          <w:sz w:val="24"/>
          <w:szCs w:val="24"/>
        </w:rPr>
      </w:pPr>
      <w:r>
        <w:rPr>
          <w:kern w:val="21"/>
          <w:sz w:val="24"/>
          <w:szCs w:val="24"/>
        </w:rPr>
        <w:t>区块二</w:t>
      </w:r>
      <w:r>
        <w:rPr>
          <w:sz w:val="24"/>
          <w:szCs w:val="24"/>
        </w:rPr>
        <w:t>：在建污水处理站污水处理能力</w:t>
      </w:r>
      <w:r>
        <w:rPr>
          <w:rFonts w:eastAsia="Times New Roman"/>
          <w:sz w:val="24"/>
          <w:szCs w:val="24"/>
        </w:rPr>
        <w:t>3.0</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/d</w:t>
      </w:r>
      <w:r>
        <w:rPr>
          <w:sz w:val="24"/>
          <w:szCs w:val="24"/>
        </w:rPr>
        <w:t xml:space="preserve">。国瑞药业污水排放量 </w:t>
      </w:r>
      <w:r>
        <w:rPr>
          <w:rFonts w:eastAsia="Times New Roman"/>
          <w:sz w:val="24"/>
          <w:szCs w:val="24"/>
        </w:rPr>
        <w:t>1032m</w:t>
      </w:r>
      <w:r>
        <w:rPr>
          <w:sz w:val="24"/>
          <w:szCs w:val="24"/>
        </w:rPr>
        <w:t>³</w:t>
      </w:r>
      <w:r>
        <w:rPr>
          <w:rFonts w:eastAsia="Times New Roman"/>
          <w:sz w:val="24"/>
          <w:szCs w:val="24"/>
        </w:rPr>
        <w:t>/d</w:t>
      </w:r>
      <w:r>
        <w:rPr>
          <w:sz w:val="24"/>
          <w:szCs w:val="24"/>
        </w:rPr>
        <w:t>，经污水管网收集后入污水处理站处理</w:t>
      </w:r>
      <w:r>
        <w:rPr>
          <w:rFonts w:hint="eastAsia"/>
          <w:sz w:val="24"/>
          <w:szCs w:val="24"/>
        </w:rPr>
        <w:t>，其他已建企业</w:t>
      </w:r>
      <w:r>
        <w:rPr>
          <w:sz w:val="24"/>
          <w:szCs w:val="24"/>
        </w:rPr>
        <w:t>污水排放量</w:t>
      </w:r>
      <w:r>
        <w:rPr>
          <w:rFonts w:hint="eastAsia"/>
          <w:sz w:val="24"/>
          <w:szCs w:val="24"/>
        </w:rPr>
        <w:t>1200</w:t>
      </w:r>
      <w:r>
        <w:rPr>
          <w:rFonts w:eastAsia="Times New Roman"/>
          <w:sz w:val="24"/>
          <w:szCs w:val="24"/>
        </w:rPr>
        <w:t>t/h</w:t>
      </w:r>
      <w:r>
        <w:rPr>
          <w:rFonts w:hint="eastAsia"/>
          <w:sz w:val="24"/>
          <w:szCs w:val="24"/>
        </w:rPr>
        <w:t>。富裕月2.7万</w:t>
      </w:r>
      <w:r>
        <w:rPr>
          <w:rFonts w:eastAsia="Times New Roman"/>
          <w:sz w:val="24"/>
          <w:szCs w:val="24"/>
        </w:rPr>
        <w:t>t/h</w:t>
      </w:r>
      <w:r>
        <w:rPr>
          <w:rFonts w:hint="eastAsia"/>
          <w:sz w:val="24"/>
          <w:szCs w:val="24"/>
        </w:rPr>
        <w:t>，根据预测，能满足园区未来入园企业需求</w:t>
      </w:r>
      <w:r>
        <w:rPr>
          <w:sz w:val="24"/>
          <w:szCs w:val="24"/>
        </w:rPr>
        <w:t>。</w:t>
      </w:r>
    </w:p>
    <w:p w14:paraId="757BFCD7">
      <w:pPr>
        <w:spacing w:line="360" w:lineRule="auto"/>
        <w:ind w:firstLine="480" w:firstLineChars="200"/>
        <w:rPr>
          <w:sz w:val="24"/>
          <w:szCs w:val="24"/>
        </w:rPr>
      </w:pPr>
      <w:r>
        <w:rPr>
          <w:kern w:val="21"/>
          <w:sz w:val="24"/>
          <w:szCs w:val="24"/>
        </w:rPr>
        <w:t>区块一</w:t>
      </w:r>
      <w:r>
        <w:rPr>
          <w:sz w:val="24"/>
          <w:szCs w:val="24"/>
        </w:rPr>
        <w:t>的德邦化工、恒诚制药、水卫士环保科技以及</w:t>
      </w:r>
      <w:r>
        <w:rPr>
          <w:kern w:val="21"/>
          <w:sz w:val="24"/>
          <w:szCs w:val="24"/>
        </w:rPr>
        <w:t>区块二</w:t>
      </w:r>
      <w:r>
        <w:rPr>
          <w:sz w:val="24"/>
          <w:szCs w:val="24"/>
        </w:rPr>
        <w:t>的国瑞药业的生活污水经厂内生活污水处理设施处理达到《污水综合排放标准》(</w:t>
      </w:r>
      <w:r>
        <w:rPr>
          <w:rFonts w:eastAsia="Times New Roman"/>
          <w:sz w:val="24"/>
          <w:szCs w:val="24"/>
        </w:rPr>
        <w:t>GB8978- 1996</w:t>
      </w:r>
      <w:r>
        <w:rPr>
          <w:sz w:val="24"/>
          <w:szCs w:val="24"/>
        </w:rPr>
        <w:t>) 三级标准后，排入污水排水管道，通过管道输送到市政污水处理厂处理达标排放。</w:t>
      </w:r>
    </w:p>
    <w:p w14:paraId="4F1586A0">
      <w:pPr>
        <w:spacing w:line="360" w:lineRule="auto"/>
        <w:ind w:firstLine="480" w:firstLineChars="200"/>
        <w:rPr>
          <w:sz w:val="24"/>
          <w:szCs w:val="24"/>
        </w:rPr>
      </w:pPr>
      <w:r>
        <w:rPr>
          <w:kern w:val="21"/>
          <w:sz w:val="24"/>
          <w:szCs w:val="24"/>
        </w:rPr>
        <w:t>区块一</w:t>
      </w:r>
      <w:r>
        <w:rPr>
          <w:sz w:val="24"/>
          <w:szCs w:val="24"/>
        </w:rPr>
        <w:t>的德邦化工、恒诚制药、水卫士环保科技以及</w:t>
      </w:r>
      <w:r>
        <w:rPr>
          <w:kern w:val="21"/>
          <w:sz w:val="24"/>
          <w:szCs w:val="24"/>
        </w:rPr>
        <w:t>区块二</w:t>
      </w:r>
      <w:r>
        <w:rPr>
          <w:sz w:val="24"/>
          <w:szCs w:val="24"/>
        </w:rPr>
        <w:t>的国瑞药业的污染区域的初期雨水由厂内的雨水管道汇总收集后，排入厂内的初期雨水收集池</w:t>
      </w:r>
      <w:r>
        <w:rPr>
          <w:rFonts w:eastAsia="Times New Roman"/>
          <w:sz w:val="24"/>
          <w:szCs w:val="24"/>
        </w:rPr>
        <w:t>/</w:t>
      </w:r>
      <w:r>
        <w:rPr>
          <w:sz w:val="24"/>
          <w:szCs w:val="24"/>
        </w:rPr>
        <w:t>事故池，经过处理达到《污水综 合排放标准》(</w:t>
      </w:r>
      <w:r>
        <w:rPr>
          <w:rFonts w:eastAsia="Times New Roman"/>
          <w:sz w:val="24"/>
          <w:szCs w:val="24"/>
        </w:rPr>
        <w:t>GB8978-</w:t>
      </w:r>
      <w:r>
        <w:rPr>
          <w:sz w:val="24"/>
          <w:szCs w:val="24"/>
        </w:rPr>
        <w:t>1</w:t>
      </w:r>
      <w:r>
        <w:rPr>
          <w:rFonts w:eastAsia="Times New Roman"/>
          <w:sz w:val="24"/>
          <w:szCs w:val="24"/>
        </w:rPr>
        <w:t>996</w:t>
      </w:r>
      <w:r>
        <w:rPr>
          <w:sz w:val="24"/>
          <w:szCs w:val="24"/>
        </w:rPr>
        <w:t>)三级标准后，排入污水排水管道，通过管道输送到开发区工业污水处理厂。后期雨水和装置排出的未被污染的水(清洁下水)，就近排入雨水排水管道，汇总后排入园区的雨水排水管道，最终排入淮河。</w:t>
      </w:r>
    </w:p>
    <w:p w14:paraId="7C60C8B7">
      <w:pPr>
        <w:spacing w:line="360" w:lineRule="auto"/>
        <w:ind w:firstLine="480" w:firstLineChars="200"/>
        <w:rPr>
          <w:sz w:val="24"/>
          <w:szCs w:val="24"/>
        </w:rPr>
      </w:pPr>
      <w:r>
        <w:rPr>
          <w:sz w:val="24"/>
          <w:szCs w:val="24"/>
        </w:rPr>
        <w:t>(</w:t>
      </w:r>
      <w:r>
        <w:rPr>
          <w:rFonts w:eastAsia="Times New Roman"/>
          <w:sz w:val="24"/>
          <w:szCs w:val="24"/>
        </w:rPr>
        <w:t>2</w:t>
      </w:r>
      <w:r>
        <w:rPr>
          <w:sz w:val="24"/>
          <w:szCs w:val="24"/>
        </w:rPr>
        <w:t>)排水规划</w:t>
      </w:r>
    </w:p>
    <w:p w14:paraId="41286A75">
      <w:pPr>
        <w:spacing w:line="360" w:lineRule="auto"/>
        <w:ind w:firstLine="480" w:firstLineChars="200"/>
        <w:rPr>
          <w:sz w:val="24"/>
          <w:szCs w:val="24"/>
        </w:rPr>
      </w:pPr>
      <w:r>
        <w:rPr>
          <w:kern w:val="21"/>
          <w:sz w:val="24"/>
          <w:szCs w:val="24"/>
        </w:rPr>
        <w:t>区块一</w:t>
      </w:r>
      <w:r>
        <w:rPr>
          <w:sz w:val="24"/>
          <w:szCs w:val="24"/>
        </w:rPr>
        <w:t>规划沿着田东路由西向东铺设排水总管为</w:t>
      </w:r>
      <w:r>
        <w:rPr>
          <w:rFonts w:eastAsia="Times New Roman"/>
          <w:sz w:val="24"/>
          <w:szCs w:val="24"/>
        </w:rPr>
        <w:t>DN800</w:t>
      </w:r>
      <w:r>
        <w:rPr>
          <w:sz w:val="24"/>
          <w:szCs w:val="24"/>
        </w:rPr>
        <w:t>，沿着建设路由南向北铺设排水总管为</w:t>
      </w:r>
      <w:r>
        <w:rPr>
          <w:rFonts w:eastAsia="Times New Roman"/>
          <w:sz w:val="24"/>
          <w:szCs w:val="24"/>
        </w:rPr>
        <w:t>DN600</w:t>
      </w:r>
      <w:r>
        <w:rPr>
          <w:sz w:val="24"/>
          <w:szCs w:val="24"/>
        </w:rPr>
        <w:t>，排水处理依托现有的开发区工业污水处理厂。</w:t>
      </w:r>
    </w:p>
    <w:p w14:paraId="6A83BC2F">
      <w:pPr>
        <w:spacing w:line="360" w:lineRule="auto"/>
        <w:ind w:firstLine="480" w:firstLineChars="200"/>
        <w:rPr>
          <w:sz w:val="24"/>
          <w:szCs w:val="24"/>
        </w:rPr>
      </w:pPr>
      <w:r>
        <w:rPr>
          <w:kern w:val="21"/>
          <w:sz w:val="24"/>
          <w:szCs w:val="24"/>
        </w:rPr>
        <w:t>区块二</w:t>
      </w:r>
      <w:r>
        <w:rPr>
          <w:sz w:val="24"/>
          <w:szCs w:val="24"/>
        </w:rPr>
        <w:t>规划在长宁路与华兴路东北角建设污水处理站，占地</w:t>
      </w:r>
      <w:r>
        <w:rPr>
          <w:rFonts w:eastAsia="Times New Roman"/>
          <w:sz w:val="24"/>
          <w:szCs w:val="24"/>
        </w:rPr>
        <w:t>61.7</w:t>
      </w:r>
      <w:r>
        <w:rPr>
          <w:sz w:val="24"/>
          <w:szCs w:val="24"/>
        </w:rPr>
        <w:t>亩，处理规模为</w:t>
      </w:r>
      <w:r>
        <w:rPr>
          <w:rFonts w:eastAsia="Times New Roman"/>
          <w:sz w:val="24"/>
          <w:szCs w:val="24"/>
        </w:rPr>
        <w:t>3</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/d</w:t>
      </w:r>
      <w:r>
        <w:rPr>
          <w:sz w:val="24"/>
          <w:szCs w:val="24"/>
        </w:rPr>
        <w:t>，集中排污、集中处理，力争使工业污水处理率和接纳率达到</w:t>
      </w:r>
      <w:r>
        <w:rPr>
          <w:rFonts w:eastAsia="Times New Roman"/>
          <w:sz w:val="24"/>
          <w:szCs w:val="24"/>
        </w:rPr>
        <w:t>100%</w:t>
      </w:r>
      <w:r>
        <w:rPr>
          <w:sz w:val="24"/>
          <w:szCs w:val="24"/>
        </w:rPr>
        <w:t>。新建工业污水管网，独立收集工业污水，排至污水处理厂。</w:t>
      </w:r>
      <w:r>
        <w:rPr>
          <w:kern w:val="21"/>
          <w:sz w:val="24"/>
          <w:szCs w:val="24"/>
        </w:rPr>
        <w:t>区块二</w:t>
      </w:r>
      <w:r>
        <w:rPr>
          <w:sz w:val="24"/>
          <w:szCs w:val="24"/>
        </w:rPr>
        <w:t>沿吉兴路敷设</w:t>
      </w:r>
      <w:r>
        <w:rPr>
          <w:rFonts w:eastAsia="Times New Roman"/>
          <w:sz w:val="24"/>
          <w:szCs w:val="24"/>
        </w:rPr>
        <w:t>DN800-DN1000</w:t>
      </w:r>
      <w:r>
        <w:rPr>
          <w:sz w:val="24"/>
          <w:szCs w:val="24"/>
        </w:rPr>
        <w:t>污水排水干管，沿长宁路敷设</w:t>
      </w:r>
      <w:r>
        <w:rPr>
          <w:rFonts w:eastAsia="Times New Roman"/>
          <w:sz w:val="24"/>
          <w:szCs w:val="24"/>
        </w:rPr>
        <w:t>DN1200</w:t>
      </w:r>
      <w:r>
        <w:rPr>
          <w:sz w:val="24"/>
          <w:szCs w:val="24"/>
        </w:rPr>
        <w:t>污水排水干管，沿华兴路敷设</w:t>
      </w:r>
      <w:r>
        <w:rPr>
          <w:rFonts w:eastAsia="Times New Roman"/>
          <w:sz w:val="24"/>
          <w:szCs w:val="24"/>
        </w:rPr>
        <w:t>DN1350</w:t>
      </w:r>
      <w:r>
        <w:rPr>
          <w:sz w:val="24"/>
          <w:szCs w:val="24"/>
        </w:rPr>
        <w:t>污水排水干管，最终至污水处理站。沿华兴路敷设</w:t>
      </w:r>
      <w:r>
        <w:rPr>
          <w:rFonts w:eastAsia="Times New Roman"/>
          <w:sz w:val="24"/>
          <w:szCs w:val="24"/>
        </w:rPr>
        <w:t>DN500</w:t>
      </w:r>
      <w:r>
        <w:rPr>
          <w:sz w:val="24"/>
          <w:szCs w:val="24"/>
        </w:rPr>
        <w:t>污水排水支管，沿洛九路(</w:t>
      </w:r>
      <w:r>
        <w:rPr>
          <w:rFonts w:eastAsia="Times New Roman"/>
          <w:sz w:val="24"/>
          <w:szCs w:val="24"/>
        </w:rPr>
        <w:t>G206</w:t>
      </w:r>
      <w:r>
        <w:rPr>
          <w:sz w:val="24"/>
          <w:szCs w:val="24"/>
        </w:rPr>
        <w:t>)敷设</w:t>
      </w:r>
      <w:r>
        <w:rPr>
          <w:rFonts w:eastAsia="Times New Roman"/>
          <w:sz w:val="24"/>
          <w:szCs w:val="24"/>
        </w:rPr>
        <w:t>DN500-DN800</w:t>
      </w:r>
      <w:r>
        <w:rPr>
          <w:sz w:val="24"/>
          <w:szCs w:val="24"/>
        </w:rPr>
        <w:t>污水排水支管道，沿吉安路敷设</w:t>
      </w:r>
      <w:r>
        <w:rPr>
          <w:rFonts w:eastAsia="Times New Roman"/>
          <w:sz w:val="24"/>
          <w:szCs w:val="24"/>
        </w:rPr>
        <w:t>DN500</w:t>
      </w:r>
      <w:r>
        <w:rPr>
          <w:sz w:val="24"/>
          <w:szCs w:val="24"/>
        </w:rPr>
        <w:t>污水排水支管道，最终至污水处理站。区块一污水工程规划图（图号：</w:t>
      </w:r>
      <w:r>
        <w:rPr>
          <w:rFonts w:hint="eastAsia"/>
          <w:sz w:val="24"/>
          <w:szCs w:val="24"/>
        </w:rPr>
        <w:t>Z-28-12</w:t>
      </w:r>
      <w:r>
        <w:rPr>
          <w:sz w:val="24"/>
          <w:szCs w:val="24"/>
        </w:rPr>
        <w:t>）见下图：</w:t>
      </w:r>
    </w:p>
    <w:p w14:paraId="69B3F0CC">
      <w:pPr>
        <w:pStyle w:val="47"/>
        <w:rPr>
          <w:rFonts w:hint="default" w:ascii="Times New Roman"/>
          <w:color w:val="auto"/>
        </w:rPr>
      </w:pPr>
      <w:r>
        <w:rPr>
          <w:rFonts w:ascii="Times New Roman"/>
          <w:color w:val="auto"/>
        </w:rPr>
        <w:drawing>
          <wp:inline distT="0" distB="0" distL="114300" distR="114300">
            <wp:extent cx="5269865" cy="3718560"/>
            <wp:effectExtent l="0" t="0" r="6985" b="15240"/>
            <wp:docPr id="72" name="图片 72" descr="170536710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705367104424"/>
                    <pic:cNvPicPr>
                      <a:picLocks noChangeAspect="1"/>
                    </pic:cNvPicPr>
                  </pic:nvPicPr>
                  <pic:blipFill>
                    <a:blip r:embed="rId49"/>
                    <a:stretch>
                      <a:fillRect/>
                    </a:stretch>
                  </pic:blipFill>
                  <pic:spPr>
                    <a:xfrm>
                      <a:off x="0" y="0"/>
                      <a:ext cx="5269865" cy="3718560"/>
                    </a:xfrm>
                    <a:prstGeom prst="rect">
                      <a:avLst/>
                    </a:prstGeom>
                  </pic:spPr>
                </pic:pic>
              </a:graphicData>
            </a:graphic>
          </wp:inline>
        </w:drawing>
      </w:r>
    </w:p>
    <w:p w14:paraId="570123BC">
      <w:pPr>
        <w:widowControl/>
        <w:spacing w:line="360" w:lineRule="auto"/>
        <w:ind w:firstLine="480" w:firstLineChars="200"/>
        <w:jc w:val="left"/>
        <w:rPr>
          <w:kern w:val="21"/>
          <w:sz w:val="24"/>
          <w:szCs w:val="24"/>
          <w:lang w:val="zh-CN"/>
        </w:rPr>
      </w:pPr>
      <w:r>
        <w:rPr>
          <w:sz w:val="24"/>
          <w:szCs w:val="24"/>
        </w:rPr>
        <w:t>道路红线宽度均大于等于</w:t>
      </w:r>
      <w:r>
        <w:rPr>
          <w:rFonts w:eastAsia="Times New Roman"/>
          <w:sz w:val="24"/>
          <w:szCs w:val="24"/>
        </w:rPr>
        <w:t>40</w:t>
      </w:r>
      <w:r>
        <w:rPr>
          <w:sz w:val="24"/>
          <w:szCs w:val="24"/>
        </w:rPr>
        <w:t>米，采用双侧布管，规划范围内其余道路污水管均采用单侧布置；污水管起始管段管顶覆土深度不小于</w:t>
      </w:r>
      <w:r>
        <w:rPr>
          <w:rFonts w:eastAsia="Times New Roman"/>
          <w:sz w:val="24"/>
          <w:szCs w:val="24"/>
        </w:rPr>
        <w:t>1.0</w:t>
      </w:r>
      <w:r>
        <w:rPr>
          <w:sz w:val="24"/>
          <w:szCs w:val="24"/>
        </w:rPr>
        <w:t>米。采用树枝状管网系统。污水干管化工园区等主要道路布置，各企业工业废水必须基于处理达到《污水综合排放标准》(</w:t>
      </w:r>
      <w:r>
        <w:rPr>
          <w:rFonts w:eastAsia="Times New Roman"/>
          <w:sz w:val="24"/>
          <w:szCs w:val="24"/>
        </w:rPr>
        <w:t>GB8978- 1996)</w:t>
      </w:r>
      <w:r>
        <w:rPr>
          <w:sz w:val="24"/>
          <w:szCs w:val="24"/>
        </w:rPr>
        <w:t>的三级标准与生活污水一并进入化工园区污水处理厂，处理后达到相关回用水标准后排放。</w:t>
      </w:r>
      <w:r>
        <w:rPr>
          <w:kern w:val="21"/>
          <w:sz w:val="24"/>
          <w:szCs w:val="24"/>
        </w:rPr>
        <w:t>区块一</w:t>
      </w:r>
      <w:r>
        <w:rPr>
          <w:sz w:val="24"/>
          <w:szCs w:val="24"/>
        </w:rPr>
        <w:t>目前总污水量为</w:t>
      </w:r>
      <w:r>
        <w:rPr>
          <w:rFonts w:eastAsia="Times New Roman"/>
          <w:sz w:val="24"/>
          <w:szCs w:val="24"/>
        </w:rPr>
        <w:t>80.7</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a</w:t>
      </w:r>
      <w:r>
        <w:rPr>
          <w:sz w:val="24"/>
          <w:szCs w:val="24"/>
        </w:rPr>
        <w:t>，</w:t>
      </w:r>
      <w:r>
        <w:rPr>
          <w:kern w:val="21"/>
          <w:sz w:val="24"/>
          <w:szCs w:val="24"/>
        </w:rPr>
        <w:t>区块二</w:t>
      </w:r>
      <w:r>
        <w:rPr>
          <w:sz w:val="24"/>
          <w:szCs w:val="24"/>
        </w:rPr>
        <w:t>远期预测总污水量为</w:t>
      </w:r>
      <w:r>
        <w:rPr>
          <w:rFonts w:eastAsia="Times New Roman"/>
          <w:sz w:val="24"/>
          <w:szCs w:val="24"/>
        </w:rPr>
        <w:t>268.35</w:t>
      </w:r>
      <w:r>
        <w:rPr>
          <w:sz w:val="24"/>
          <w:szCs w:val="24"/>
        </w:rPr>
        <w:t>万</w:t>
      </w:r>
      <w:r>
        <w:rPr>
          <w:rFonts w:eastAsia="Times New Roman"/>
          <w:sz w:val="24"/>
          <w:szCs w:val="24"/>
        </w:rPr>
        <w:t>m</w:t>
      </w:r>
      <w:r>
        <w:rPr>
          <w:rFonts w:eastAsia="Times New Roman"/>
          <w:sz w:val="24"/>
          <w:szCs w:val="24"/>
          <w:vertAlign w:val="superscript"/>
        </w:rPr>
        <w:t>3</w:t>
      </w:r>
      <w:r>
        <w:rPr>
          <w:rFonts w:eastAsia="Times New Roman"/>
          <w:sz w:val="24"/>
          <w:szCs w:val="24"/>
        </w:rPr>
        <w:t>/a</w:t>
      </w:r>
      <w:r>
        <w:rPr>
          <w:sz w:val="24"/>
          <w:szCs w:val="24"/>
        </w:rPr>
        <w:t>，</w:t>
      </w:r>
      <w:r>
        <w:rPr>
          <w:kern w:val="21"/>
          <w:sz w:val="24"/>
          <w:szCs w:val="24"/>
          <w:lang w:val="zh-CN"/>
        </w:rPr>
        <w:t>具体见</w:t>
      </w:r>
      <w:r>
        <w:rPr>
          <w:sz w:val="24"/>
          <w:szCs w:val="24"/>
        </w:rPr>
        <w:t>附图1</w:t>
      </w:r>
      <w:r>
        <w:rPr>
          <w:rFonts w:hint="eastAsia"/>
          <w:sz w:val="24"/>
          <w:szCs w:val="24"/>
        </w:rPr>
        <w:t>2</w:t>
      </w:r>
      <w:r>
        <w:rPr>
          <w:sz w:val="24"/>
          <w:szCs w:val="24"/>
        </w:rPr>
        <w:t>.区块一污水工程规划图（图号：</w:t>
      </w:r>
      <w:r>
        <w:rPr>
          <w:rFonts w:hint="eastAsia"/>
          <w:sz w:val="24"/>
          <w:szCs w:val="24"/>
        </w:rPr>
        <w:t>Z-28-12</w:t>
      </w:r>
      <w:r>
        <w:rPr>
          <w:sz w:val="24"/>
          <w:szCs w:val="24"/>
        </w:rPr>
        <w:t>）和附图2</w:t>
      </w:r>
      <w:r>
        <w:rPr>
          <w:rFonts w:hint="eastAsia"/>
          <w:sz w:val="24"/>
          <w:szCs w:val="24"/>
        </w:rPr>
        <w:t>4</w:t>
      </w:r>
      <w:r>
        <w:rPr>
          <w:sz w:val="24"/>
          <w:szCs w:val="24"/>
        </w:rPr>
        <w:t>.区块二污水工程规划图（图号：</w:t>
      </w:r>
      <w:r>
        <w:rPr>
          <w:rFonts w:hint="eastAsia"/>
          <w:sz w:val="24"/>
          <w:szCs w:val="24"/>
        </w:rPr>
        <w:t>Z-28-24</w:t>
      </w:r>
      <w:r>
        <w:rPr>
          <w:sz w:val="24"/>
          <w:szCs w:val="24"/>
        </w:rPr>
        <w:t>）</w:t>
      </w:r>
      <w:r>
        <w:rPr>
          <w:kern w:val="21"/>
          <w:sz w:val="24"/>
          <w:szCs w:val="24"/>
        </w:rPr>
        <w:t>。</w:t>
      </w:r>
    </w:p>
    <w:p w14:paraId="6421311A">
      <w:pPr>
        <w:spacing w:line="360" w:lineRule="auto"/>
        <w:ind w:firstLine="480" w:firstLineChars="200"/>
        <w:rPr>
          <w:sz w:val="24"/>
          <w:szCs w:val="24"/>
        </w:rPr>
      </w:pPr>
      <w:r>
        <w:rPr>
          <w:kern w:val="21"/>
          <w:sz w:val="24"/>
          <w:szCs w:val="24"/>
        </w:rPr>
        <w:t>区块一</w:t>
      </w:r>
      <w:r>
        <w:rPr>
          <w:sz w:val="24"/>
          <w:szCs w:val="24"/>
        </w:rPr>
        <w:t>根据自然地形特点，“分区收集、就近排放”，雨水主干管电厂路西向东铺设，雨水管主管DN800-DN1000，雨水主干管田东路由西向东铺设，雨水管主管DN600，雨水主干管建设路由南向北铺设，雨水管主管N800。</w:t>
      </w:r>
    </w:p>
    <w:p w14:paraId="0B9ECAB1">
      <w:pPr>
        <w:spacing w:line="360" w:lineRule="auto"/>
        <w:ind w:firstLine="480" w:firstLineChars="200"/>
        <w:rPr>
          <w:sz w:val="24"/>
          <w:szCs w:val="24"/>
        </w:rPr>
      </w:pPr>
      <w:r>
        <w:rPr>
          <w:kern w:val="21"/>
          <w:sz w:val="24"/>
          <w:szCs w:val="24"/>
        </w:rPr>
        <w:t>区块二</w:t>
      </w:r>
      <w:r>
        <w:rPr>
          <w:sz w:val="24"/>
          <w:szCs w:val="24"/>
        </w:rPr>
        <w:t>根据自然地形特点，“分区收集、就近排放”，雨水主干管长宁路、吉安路、庆兴北路由西向东铺设，雨水管主管DN800，吉兴路由南和由北铺设汇入庆兴北路，雨水管主管DN500，雨水主干管洛九路(G206)、东兴路由北向南铺设，雨水管主管DN800-DN1800，雨水经雨水管道汇集，后排入水体。区块二污水工程规划图（图号：</w:t>
      </w:r>
      <w:r>
        <w:rPr>
          <w:rFonts w:hint="eastAsia"/>
          <w:sz w:val="24"/>
          <w:szCs w:val="24"/>
        </w:rPr>
        <w:t>Z-28-24</w:t>
      </w:r>
      <w:r>
        <w:rPr>
          <w:sz w:val="24"/>
          <w:szCs w:val="24"/>
        </w:rPr>
        <w:t>）见下图：</w:t>
      </w:r>
    </w:p>
    <w:p w14:paraId="2F86C725">
      <w:pPr>
        <w:pStyle w:val="47"/>
        <w:rPr>
          <w:rFonts w:hint="default" w:ascii="Times New Roman"/>
          <w:color w:val="auto"/>
        </w:rPr>
      </w:pPr>
      <w:r>
        <w:rPr>
          <w:rFonts w:ascii="Times New Roman"/>
          <w:color w:val="auto"/>
        </w:rPr>
        <w:drawing>
          <wp:inline distT="0" distB="0" distL="114300" distR="114300">
            <wp:extent cx="5269865" cy="3717290"/>
            <wp:effectExtent l="0" t="0" r="6985" b="16510"/>
            <wp:docPr id="73" name="图片 73" descr="1705367118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705367118750"/>
                    <pic:cNvPicPr>
                      <a:picLocks noChangeAspect="1"/>
                    </pic:cNvPicPr>
                  </pic:nvPicPr>
                  <pic:blipFill>
                    <a:blip r:embed="rId50"/>
                    <a:stretch>
                      <a:fillRect/>
                    </a:stretch>
                  </pic:blipFill>
                  <pic:spPr>
                    <a:xfrm>
                      <a:off x="0" y="0"/>
                      <a:ext cx="5269865" cy="3717290"/>
                    </a:xfrm>
                    <a:prstGeom prst="rect">
                      <a:avLst/>
                    </a:prstGeom>
                  </pic:spPr>
                </pic:pic>
              </a:graphicData>
            </a:graphic>
          </wp:inline>
        </w:drawing>
      </w:r>
    </w:p>
    <w:p w14:paraId="674D66A9">
      <w:pPr>
        <w:pStyle w:val="4"/>
        <w:spacing w:before="156" w:after="156"/>
        <w:rPr>
          <w:rFonts w:ascii="Times New Roman" w:hAnsi="Times New Roman"/>
          <w:sz w:val="24"/>
          <w:szCs w:val="24"/>
        </w:rPr>
      </w:pPr>
      <w:bookmarkStart w:id="338" w:name="_Toc8273"/>
      <w:bookmarkStart w:id="339" w:name="_Toc1628663"/>
      <w:r>
        <w:rPr>
          <w:rFonts w:ascii="Times New Roman" w:hAnsi="Times New Roman"/>
          <w:sz w:val="24"/>
          <w:szCs w:val="24"/>
        </w:rPr>
        <w:t>10.5 供电基础设施规划</w:t>
      </w:r>
      <w:bookmarkEnd w:id="338"/>
      <w:bookmarkEnd w:id="339"/>
    </w:p>
    <w:p w14:paraId="7DF2B609">
      <w:pPr>
        <w:spacing w:line="360" w:lineRule="auto"/>
        <w:ind w:firstLine="480" w:firstLineChars="200"/>
        <w:rPr>
          <w:sz w:val="24"/>
          <w:szCs w:val="24"/>
        </w:rPr>
      </w:pPr>
      <w:bookmarkStart w:id="340" w:name="_Toc250483923"/>
      <w:r>
        <w:rPr>
          <w:sz w:val="24"/>
          <w:szCs w:val="24"/>
        </w:rPr>
        <w:t>(</w:t>
      </w:r>
      <w:r>
        <w:rPr>
          <w:rFonts w:eastAsia="Times New Roman"/>
          <w:sz w:val="24"/>
          <w:szCs w:val="24"/>
        </w:rPr>
        <w:t>1</w:t>
      </w:r>
      <w:r>
        <w:rPr>
          <w:sz w:val="24"/>
          <w:szCs w:val="24"/>
        </w:rPr>
        <w:t>) 供电现状</w:t>
      </w:r>
    </w:p>
    <w:p w14:paraId="3F2EFD2B">
      <w:pPr>
        <w:spacing w:line="360" w:lineRule="auto"/>
        <w:ind w:firstLine="480" w:firstLineChars="200"/>
        <w:rPr>
          <w:sz w:val="24"/>
          <w:szCs w:val="24"/>
        </w:rPr>
      </w:pPr>
      <w:r>
        <w:rPr>
          <w:sz w:val="24"/>
          <w:szCs w:val="24"/>
        </w:rPr>
        <w:t>淮南经济技术开发区有三座变电站，分别是</w:t>
      </w:r>
      <w:r>
        <w:rPr>
          <w:rFonts w:eastAsia="Times New Roman"/>
          <w:sz w:val="24"/>
          <w:szCs w:val="24"/>
        </w:rPr>
        <w:t>110KV</w:t>
      </w:r>
      <w:r>
        <w:rPr>
          <w:sz w:val="24"/>
          <w:szCs w:val="24"/>
        </w:rPr>
        <w:t>洛河变电站、</w:t>
      </w:r>
      <w:r>
        <w:rPr>
          <w:rFonts w:eastAsia="Times New Roman"/>
          <w:sz w:val="24"/>
          <w:szCs w:val="24"/>
        </w:rPr>
        <w:t>110KV</w:t>
      </w:r>
      <w:r>
        <w:rPr>
          <w:sz w:val="24"/>
          <w:szCs w:val="24"/>
        </w:rPr>
        <w:t>洛开变电站及</w:t>
      </w:r>
      <w:r>
        <w:rPr>
          <w:rFonts w:eastAsia="Times New Roman"/>
          <w:sz w:val="24"/>
          <w:szCs w:val="24"/>
        </w:rPr>
        <w:t>110KV</w:t>
      </w:r>
      <w:r>
        <w:rPr>
          <w:sz w:val="24"/>
          <w:szCs w:val="24"/>
        </w:rPr>
        <w:t>田东变电站，双电源及双回路供电可满足化工园区各企业用电需求，日供电能力为</w:t>
      </w:r>
      <w:r>
        <w:rPr>
          <w:rFonts w:eastAsia="Times New Roman"/>
          <w:sz w:val="24"/>
          <w:szCs w:val="24"/>
        </w:rPr>
        <w:t>4.3</w:t>
      </w:r>
      <w:r>
        <w:rPr>
          <w:sz w:val="24"/>
          <w:szCs w:val="24"/>
        </w:rPr>
        <w:t>万千伏安。</w:t>
      </w:r>
    </w:p>
    <w:p w14:paraId="1F99145C">
      <w:pPr>
        <w:spacing w:line="360" w:lineRule="auto"/>
        <w:ind w:firstLine="480" w:firstLineChars="200"/>
        <w:rPr>
          <w:sz w:val="24"/>
          <w:szCs w:val="24"/>
        </w:rPr>
      </w:pPr>
      <w:r>
        <w:rPr>
          <w:kern w:val="21"/>
          <w:sz w:val="24"/>
          <w:szCs w:val="24"/>
        </w:rPr>
        <w:t>区块一</w:t>
      </w:r>
      <w:r>
        <w:rPr>
          <w:sz w:val="24"/>
          <w:szCs w:val="24"/>
        </w:rPr>
        <w:t>：德邦化工采用双电源、双回路供电方式来满足用电设备的一级和二级负荷供电，电源分别来自</w:t>
      </w:r>
      <w:r>
        <w:rPr>
          <w:rFonts w:eastAsia="Times New Roman"/>
          <w:sz w:val="24"/>
          <w:szCs w:val="24"/>
        </w:rPr>
        <w:t>110KV</w:t>
      </w:r>
      <w:r>
        <w:rPr>
          <w:sz w:val="24"/>
          <w:szCs w:val="24"/>
        </w:rPr>
        <w:t>洛河变电站</w:t>
      </w:r>
      <w:r>
        <w:rPr>
          <w:rFonts w:hint="eastAsia"/>
          <w:sz w:val="24"/>
          <w:szCs w:val="24"/>
        </w:rPr>
        <w:t>（</w:t>
      </w:r>
      <w:r>
        <w:rPr>
          <w:sz w:val="24"/>
          <w:szCs w:val="24"/>
        </w:rPr>
        <w:t>洛河变德邦化工110kV专线</w:t>
      </w:r>
      <w:r>
        <w:rPr>
          <w:rFonts w:hint="eastAsia"/>
          <w:sz w:val="24"/>
          <w:szCs w:val="24"/>
        </w:rPr>
        <w:t>）</w:t>
      </w:r>
      <w:r>
        <w:rPr>
          <w:sz w:val="24"/>
          <w:szCs w:val="24"/>
        </w:rPr>
        <w:t>和</w:t>
      </w:r>
      <w:r>
        <w:rPr>
          <w:rFonts w:eastAsia="Times New Roman"/>
          <w:sz w:val="24"/>
          <w:szCs w:val="24"/>
        </w:rPr>
        <w:t>110KV</w:t>
      </w:r>
      <w:r>
        <w:rPr>
          <w:sz w:val="24"/>
          <w:szCs w:val="24"/>
        </w:rPr>
        <w:t>田东变电站</w:t>
      </w:r>
      <w:r>
        <w:rPr>
          <w:rFonts w:hint="eastAsia"/>
          <w:sz w:val="24"/>
          <w:szCs w:val="24"/>
        </w:rPr>
        <w:t>（田东变10kV双回架空</w:t>
      </w:r>
      <w:r>
        <w:rPr>
          <w:sz w:val="24"/>
          <w:szCs w:val="24"/>
        </w:rPr>
        <w:t>线</w:t>
      </w:r>
      <w:r>
        <w:rPr>
          <w:rFonts w:hint="eastAsia"/>
          <w:sz w:val="24"/>
          <w:szCs w:val="24"/>
        </w:rPr>
        <w:t>）</w:t>
      </w:r>
      <w:r>
        <w:rPr>
          <w:sz w:val="24"/>
          <w:szCs w:val="24"/>
        </w:rPr>
        <w:t>，水卫士环保科技、恒诚制药采用单电源、双回路供电方式或柴油发电机组供电方式满足二级用电负荷。目前德邦化工常开容量为</w:t>
      </w:r>
      <w:r>
        <w:rPr>
          <w:rFonts w:eastAsia="Times New Roman"/>
          <w:sz w:val="24"/>
          <w:szCs w:val="24"/>
        </w:rPr>
        <w:t>43000KW</w:t>
      </w:r>
      <w:r>
        <w:rPr>
          <w:sz w:val="24"/>
          <w:szCs w:val="24"/>
        </w:rPr>
        <w:t>(保安常开容量</w:t>
      </w:r>
      <w:r>
        <w:rPr>
          <w:rFonts w:eastAsia="Times New Roman"/>
          <w:sz w:val="24"/>
          <w:szCs w:val="24"/>
        </w:rPr>
        <w:t>10000KW</w:t>
      </w:r>
      <w:r>
        <w:rPr>
          <w:sz w:val="24"/>
          <w:szCs w:val="24"/>
        </w:rPr>
        <w:t>)，恒诚制药常开容量</w:t>
      </w:r>
      <w:r>
        <w:rPr>
          <w:rFonts w:eastAsia="Times New Roman"/>
          <w:sz w:val="24"/>
          <w:szCs w:val="24"/>
        </w:rPr>
        <w:t>1285.6kW</w:t>
      </w:r>
      <w:r>
        <w:rPr>
          <w:sz w:val="24"/>
          <w:szCs w:val="24"/>
        </w:rPr>
        <w:t>，水卫士环保科技常开容量</w:t>
      </w:r>
      <w:r>
        <w:rPr>
          <w:rFonts w:eastAsia="Times New Roman"/>
          <w:sz w:val="24"/>
          <w:szCs w:val="24"/>
        </w:rPr>
        <w:t>450kW</w:t>
      </w:r>
      <w:r>
        <w:rPr>
          <w:sz w:val="24"/>
          <w:szCs w:val="24"/>
        </w:rPr>
        <w:t>；德邦化工变压器负荷为</w:t>
      </w:r>
      <w:r>
        <w:rPr>
          <w:rFonts w:eastAsia="Times New Roman"/>
          <w:sz w:val="24"/>
          <w:szCs w:val="24"/>
        </w:rPr>
        <w:t>12500KVA</w:t>
      </w:r>
      <w:r>
        <w:rPr>
          <w:sz w:val="24"/>
          <w:szCs w:val="24"/>
        </w:rPr>
        <w:t>，恒诚制药变压器负荷为</w:t>
      </w:r>
      <w:r>
        <w:rPr>
          <w:rFonts w:eastAsia="Times New Roman"/>
          <w:sz w:val="24"/>
          <w:szCs w:val="24"/>
        </w:rPr>
        <w:t>1500KVA</w:t>
      </w:r>
      <w:r>
        <w:rPr>
          <w:sz w:val="24"/>
          <w:szCs w:val="24"/>
        </w:rPr>
        <w:t>，水卫士环保科技变压器负荷为</w:t>
      </w:r>
      <w:r>
        <w:rPr>
          <w:rFonts w:eastAsia="Times New Roman"/>
          <w:sz w:val="24"/>
          <w:szCs w:val="24"/>
        </w:rPr>
        <w:t>500KVA</w:t>
      </w:r>
      <w:r>
        <w:rPr>
          <w:sz w:val="24"/>
          <w:szCs w:val="24"/>
        </w:rPr>
        <w:t>。</w:t>
      </w:r>
    </w:p>
    <w:p w14:paraId="17D1308E">
      <w:pPr>
        <w:spacing w:line="360" w:lineRule="auto"/>
        <w:ind w:firstLine="480" w:firstLineChars="200"/>
        <w:rPr>
          <w:b/>
          <w:bCs/>
          <w:sz w:val="24"/>
          <w:szCs w:val="24"/>
          <w:lang w:val="zh-CN"/>
        </w:rPr>
      </w:pPr>
      <w:r>
        <w:rPr>
          <w:kern w:val="21"/>
          <w:sz w:val="24"/>
          <w:szCs w:val="24"/>
        </w:rPr>
        <w:t>区块二</w:t>
      </w:r>
      <w:r>
        <w:rPr>
          <w:sz w:val="24"/>
          <w:szCs w:val="24"/>
        </w:rPr>
        <w:t>：电源分别来自</w:t>
      </w:r>
      <w:r>
        <w:rPr>
          <w:rFonts w:eastAsia="Times New Roman"/>
          <w:sz w:val="24"/>
          <w:szCs w:val="24"/>
        </w:rPr>
        <w:t>110KV</w:t>
      </w:r>
      <w:r>
        <w:rPr>
          <w:sz w:val="24"/>
          <w:szCs w:val="24"/>
        </w:rPr>
        <w:t>洛开变电站</w:t>
      </w:r>
      <w:r>
        <w:rPr>
          <w:rFonts w:hint="eastAsia"/>
          <w:sz w:val="24"/>
          <w:szCs w:val="24"/>
        </w:rPr>
        <w:t>（洛开变10kV双回架空</w:t>
      </w:r>
      <w:r>
        <w:rPr>
          <w:sz w:val="24"/>
          <w:szCs w:val="24"/>
        </w:rPr>
        <w:t>线</w:t>
      </w:r>
      <w:r>
        <w:rPr>
          <w:rFonts w:hint="eastAsia"/>
          <w:sz w:val="24"/>
          <w:szCs w:val="24"/>
        </w:rPr>
        <w:t>）</w:t>
      </w:r>
      <w:r>
        <w:rPr>
          <w:sz w:val="24"/>
          <w:szCs w:val="24"/>
        </w:rPr>
        <w:t>和</w:t>
      </w:r>
      <w:r>
        <w:rPr>
          <w:rFonts w:eastAsia="Times New Roman"/>
          <w:sz w:val="24"/>
          <w:szCs w:val="24"/>
        </w:rPr>
        <w:t>110KV</w:t>
      </w:r>
      <w:r>
        <w:rPr>
          <w:sz w:val="24"/>
          <w:szCs w:val="24"/>
        </w:rPr>
        <w:t>洛河变电站</w:t>
      </w:r>
      <w:r>
        <w:rPr>
          <w:rFonts w:hint="eastAsia"/>
          <w:sz w:val="24"/>
          <w:szCs w:val="24"/>
        </w:rPr>
        <w:t>（洛河变10kV双回架空</w:t>
      </w:r>
      <w:r>
        <w:rPr>
          <w:sz w:val="24"/>
          <w:szCs w:val="24"/>
        </w:rPr>
        <w:t>线</w:t>
      </w:r>
      <w:r>
        <w:rPr>
          <w:rFonts w:hint="eastAsia"/>
          <w:sz w:val="24"/>
          <w:szCs w:val="24"/>
        </w:rPr>
        <w:t>）</w:t>
      </w:r>
      <w:r>
        <w:rPr>
          <w:sz w:val="24"/>
          <w:szCs w:val="24"/>
        </w:rPr>
        <w:t>，</w:t>
      </w:r>
      <w:r>
        <w:rPr>
          <w:rFonts w:hint="eastAsia"/>
          <w:sz w:val="24"/>
          <w:szCs w:val="24"/>
        </w:rPr>
        <w:t>目前</w:t>
      </w:r>
      <w:r>
        <w:rPr>
          <w:sz w:val="24"/>
          <w:szCs w:val="24"/>
        </w:rPr>
        <w:t>国瑞药业设置</w:t>
      </w:r>
      <w:r>
        <w:rPr>
          <w:rFonts w:eastAsia="Times New Roman"/>
          <w:sz w:val="24"/>
          <w:szCs w:val="24"/>
        </w:rPr>
        <w:t>10KV</w:t>
      </w:r>
      <w:r>
        <w:rPr>
          <w:sz w:val="24"/>
          <w:szCs w:val="24"/>
        </w:rPr>
        <w:t>的变电站，并设置四台</w:t>
      </w:r>
      <w:r>
        <w:rPr>
          <w:rFonts w:eastAsia="Times New Roman"/>
          <w:sz w:val="24"/>
          <w:szCs w:val="24"/>
        </w:rPr>
        <w:t>1600KVA</w:t>
      </w:r>
      <w:r>
        <w:rPr>
          <w:sz w:val="24"/>
          <w:szCs w:val="24"/>
        </w:rPr>
        <w:t>干式变压器、两台</w:t>
      </w:r>
      <w:r>
        <w:rPr>
          <w:rFonts w:eastAsia="Times New Roman"/>
          <w:sz w:val="24"/>
          <w:szCs w:val="24"/>
        </w:rPr>
        <w:t>1250KVA</w:t>
      </w:r>
      <w:r>
        <w:rPr>
          <w:sz w:val="24"/>
          <w:szCs w:val="24"/>
        </w:rPr>
        <w:t>干式变压器、两台</w:t>
      </w:r>
      <w:r>
        <w:rPr>
          <w:rFonts w:eastAsia="Times New Roman"/>
          <w:sz w:val="24"/>
          <w:szCs w:val="24"/>
        </w:rPr>
        <w:t>800KVA</w:t>
      </w:r>
      <w:r>
        <w:rPr>
          <w:sz w:val="24"/>
          <w:szCs w:val="24"/>
        </w:rPr>
        <w:t>干式变压器，总用电需求</w:t>
      </w:r>
      <w:r>
        <w:rPr>
          <w:rFonts w:eastAsia="Times New Roman"/>
          <w:sz w:val="24"/>
          <w:szCs w:val="24"/>
        </w:rPr>
        <w:t>8800KVA</w:t>
      </w:r>
      <w:r>
        <w:rPr>
          <w:sz w:val="24"/>
          <w:szCs w:val="24"/>
        </w:rPr>
        <w:t>，总供电能力为</w:t>
      </w:r>
      <w:r>
        <w:rPr>
          <w:rFonts w:eastAsia="Times New Roman"/>
          <w:sz w:val="24"/>
          <w:szCs w:val="24"/>
        </w:rPr>
        <w:t>9600KVA</w:t>
      </w:r>
      <w:r>
        <w:rPr>
          <w:sz w:val="24"/>
          <w:szCs w:val="24"/>
        </w:rPr>
        <w:t>。</w:t>
      </w:r>
      <w:r>
        <w:rPr>
          <w:rFonts w:hint="eastAsia"/>
          <w:sz w:val="24"/>
          <w:szCs w:val="24"/>
        </w:rPr>
        <w:t>具体见</w:t>
      </w:r>
      <w:r>
        <w:rPr>
          <w:sz w:val="24"/>
          <w:szCs w:val="24"/>
        </w:rPr>
        <w:t>附图2</w:t>
      </w:r>
      <w:r>
        <w:rPr>
          <w:rFonts w:hint="eastAsia"/>
          <w:sz w:val="24"/>
          <w:szCs w:val="24"/>
        </w:rPr>
        <w:t>5</w:t>
      </w:r>
      <w:r>
        <w:rPr>
          <w:sz w:val="24"/>
          <w:szCs w:val="24"/>
        </w:rPr>
        <w:t>.区块二电力工程规划图（图号：</w:t>
      </w:r>
      <w:r>
        <w:rPr>
          <w:rFonts w:hint="eastAsia"/>
          <w:sz w:val="24"/>
          <w:szCs w:val="24"/>
        </w:rPr>
        <w:t>Z-28-25</w:t>
      </w:r>
      <w:r>
        <w:rPr>
          <w:sz w:val="24"/>
          <w:szCs w:val="24"/>
        </w:rPr>
        <w:t>）</w:t>
      </w:r>
      <w:r>
        <w:rPr>
          <w:rFonts w:hint="eastAsia"/>
          <w:sz w:val="24"/>
          <w:szCs w:val="24"/>
        </w:rPr>
        <w:t>，能满足未来入园企业用电需求</w:t>
      </w:r>
      <w:r>
        <w:rPr>
          <w:sz w:val="24"/>
          <w:szCs w:val="24"/>
        </w:rPr>
        <w:t>。</w:t>
      </w:r>
    </w:p>
    <w:p w14:paraId="770779E0">
      <w:pPr>
        <w:spacing w:line="360" w:lineRule="auto"/>
        <w:ind w:firstLine="480" w:firstLineChars="200"/>
        <w:rPr>
          <w:sz w:val="24"/>
          <w:szCs w:val="24"/>
        </w:rPr>
      </w:pPr>
      <w:r>
        <w:rPr>
          <w:sz w:val="24"/>
          <w:szCs w:val="24"/>
        </w:rPr>
        <w:t>(</w:t>
      </w:r>
      <w:r>
        <w:rPr>
          <w:rFonts w:eastAsia="Times New Roman"/>
          <w:sz w:val="24"/>
          <w:szCs w:val="24"/>
        </w:rPr>
        <w:t>2</w:t>
      </w:r>
      <w:r>
        <w:rPr>
          <w:sz w:val="24"/>
          <w:szCs w:val="24"/>
        </w:rPr>
        <w:t>)供电规划</w:t>
      </w:r>
    </w:p>
    <w:p w14:paraId="7B010589">
      <w:pPr>
        <w:spacing w:line="360" w:lineRule="auto"/>
        <w:ind w:firstLine="480" w:firstLineChars="200"/>
        <w:rPr>
          <w:sz w:val="24"/>
          <w:szCs w:val="24"/>
        </w:rPr>
      </w:pPr>
      <w:r>
        <w:rPr>
          <w:sz w:val="24"/>
          <w:szCs w:val="24"/>
        </w:rPr>
        <w:t>化工园区规划</w:t>
      </w:r>
      <w:r>
        <w:rPr>
          <w:rFonts w:eastAsia="Times New Roman"/>
          <w:sz w:val="24"/>
          <w:szCs w:val="24"/>
        </w:rPr>
        <w:t>3</w:t>
      </w:r>
      <w:r>
        <w:rPr>
          <w:sz w:val="24"/>
          <w:szCs w:val="24"/>
        </w:rPr>
        <w:t>座变电站，分别是</w:t>
      </w:r>
      <w:r>
        <w:rPr>
          <w:rFonts w:eastAsia="Times New Roman"/>
          <w:sz w:val="24"/>
          <w:szCs w:val="24"/>
        </w:rPr>
        <w:t>110KV</w:t>
      </w:r>
      <w:r>
        <w:rPr>
          <w:sz w:val="24"/>
          <w:szCs w:val="24"/>
        </w:rPr>
        <w:t>洛河变电站、</w:t>
      </w:r>
      <w:r>
        <w:rPr>
          <w:rFonts w:eastAsia="Times New Roman"/>
          <w:sz w:val="24"/>
          <w:szCs w:val="24"/>
        </w:rPr>
        <w:t>110KV</w:t>
      </w:r>
      <w:r>
        <w:rPr>
          <w:sz w:val="24"/>
          <w:szCs w:val="24"/>
        </w:rPr>
        <w:t>洛开变电站及</w:t>
      </w:r>
      <w:r>
        <w:rPr>
          <w:rFonts w:eastAsia="Times New Roman"/>
          <w:sz w:val="24"/>
          <w:szCs w:val="24"/>
        </w:rPr>
        <w:t>110KV</w:t>
      </w:r>
      <w:r>
        <w:rPr>
          <w:sz w:val="24"/>
          <w:szCs w:val="24"/>
        </w:rPr>
        <w:t>田东变电站，供电能力达到</w:t>
      </w:r>
      <w:r>
        <w:rPr>
          <w:rFonts w:eastAsia="Times New Roman"/>
          <w:sz w:val="24"/>
          <w:szCs w:val="24"/>
        </w:rPr>
        <w:t>20wkVA</w:t>
      </w:r>
      <w:r>
        <w:rPr>
          <w:sz w:val="24"/>
          <w:szCs w:val="24"/>
        </w:rPr>
        <w:t>，供电出线情况如下：</w:t>
      </w:r>
    </w:p>
    <w:p w14:paraId="57DB8A28">
      <w:pPr>
        <w:spacing w:line="360" w:lineRule="auto"/>
        <w:ind w:firstLine="480" w:firstLineChars="200"/>
        <w:rPr>
          <w:sz w:val="24"/>
          <w:szCs w:val="24"/>
        </w:rPr>
      </w:pPr>
      <w:r>
        <w:rPr>
          <w:rFonts w:eastAsia="Times New Roman"/>
          <w:sz w:val="24"/>
          <w:szCs w:val="24"/>
        </w:rPr>
        <w:t>1</w:t>
      </w:r>
      <w:r>
        <w:rPr>
          <w:sz w:val="24"/>
          <w:szCs w:val="24"/>
        </w:rPr>
        <w:t>)</w:t>
      </w:r>
      <w:r>
        <w:rPr>
          <w:rFonts w:eastAsia="Times New Roman"/>
          <w:sz w:val="24"/>
          <w:szCs w:val="24"/>
        </w:rPr>
        <w:t>110KV</w:t>
      </w:r>
      <w:r>
        <w:rPr>
          <w:sz w:val="24"/>
          <w:szCs w:val="24"/>
        </w:rPr>
        <w:t>洛河变电站：位于洛九路东侧，长富路南侧，距长富路约一公里，距朝阳路约</w:t>
      </w:r>
      <w:r>
        <w:rPr>
          <w:rFonts w:eastAsia="Times New Roman"/>
          <w:sz w:val="24"/>
          <w:szCs w:val="24"/>
        </w:rPr>
        <w:t>2.5</w:t>
      </w:r>
      <w:r>
        <w:rPr>
          <w:sz w:val="24"/>
          <w:szCs w:val="24"/>
        </w:rPr>
        <w:t>公里。</w:t>
      </w:r>
      <w:r>
        <w:rPr>
          <w:rFonts w:eastAsia="Times New Roman"/>
          <w:sz w:val="24"/>
          <w:szCs w:val="24"/>
        </w:rPr>
        <w:t>110KV</w:t>
      </w:r>
      <w:r>
        <w:rPr>
          <w:sz w:val="24"/>
          <w:szCs w:val="24"/>
        </w:rPr>
        <w:t>洛河变电站至化工园区附近出线情况：</w:t>
      </w:r>
    </w:p>
    <w:p w14:paraId="4C7DAAA5">
      <w:pPr>
        <w:spacing w:line="360" w:lineRule="auto"/>
        <w:ind w:firstLine="480" w:firstLineChars="200"/>
        <w:rPr>
          <w:sz w:val="24"/>
          <w:szCs w:val="24"/>
        </w:rPr>
      </w:pPr>
      <w:r>
        <w:rPr>
          <w:sz w:val="24"/>
          <w:szCs w:val="24"/>
        </w:rPr>
        <w:t>①延洛九路向南至朝阳路现有</w:t>
      </w:r>
      <w:r>
        <w:rPr>
          <w:rFonts w:eastAsia="Times New Roman"/>
          <w:sz w:val="24"/>
          <w:szCs w:val="24"/>
        </w:rPr>
        <w:t>10KV</w:t>
      </w:r>
      <w:r>
        <w:rPr>
          <w:sz w:val="24"/>
          <w:szCs w:val="24"/>
        </w:rPr>
        <w:t>四回路供电线路，从朝阳路开始分为二回路向东往高铁站、二回路向南往农场方向。</w:t>
      </w:r>
    </w:p>
    <w:p w14:paraId="76BF30BA">
      <w:pPr>
        <w:spacing w:line="360" w:lineRule="auto"/>
        <w:ind w:firstLine="480" w:firstLineChars="200"/>
        <w:rPr>
          <w:sz w:val="24"/>
          <w:szCs w:val="24"/>
        </w:rPr>
      </w:pPr>
      <w:r>
        <w:rPr>
          <w:sz w:val="24"/>
          <w:szCs w:val="24"/>
        </w:rPr>
        <w:t>②延长富路向西过长宁路经吉兴路向南至朝阳路已架设</w:t>
      </w:r>
      <w:r>
        <w:rPr>
          <w:rFonts w:eastAsia="Times New Roman"/>
          <w:sz w:val="24"/>
          <w:szCs w:val="24"/>
        </w:rPr>
        <w:t>10KV</w:t>
      </w:r>
      <w:r>
        <w:rPr>
          <w:sz w:val="24"/>
          <w:szCs w:val="24"/>
        </w:rPr>
        <w:t>四回路供电线路。</w:t>
      </w:r>
    </w:p>
    <w:p w14:paraId="4F0A7A79">
      <w:pPr>
        <w:spacing w:line="360" w:lineRule="auto"/>
        <w:ind w:firstLine="480" w:firstLineChars="200"/>
        <w:rPr>
          <w:sz w:val="24"/>
          <w:szCs w:val="24"/>
        </w:rPr>
      </w:pPr>
      <w:r>
        <w:rPr>
          <w:sz w:val="24"/>
          <w:szCs w:val="24"/>
        </w:rPr>
        <w:t>③延东兴路附近至朝阳路已架设</w:t>
      </w:r>
      <w:r>
        <w:rPr>
          <w:rFonts w:eastAsia="Times New Roman"/>
          <w:sz w:val="24"/>
          <w:szCs w:val="24"/>
        </w:rPr>
        <w:t>10KV</w:t>
      </w:r>
      <w:r>
        <w:rPr>
          <w:sz w:val="24"/>
          <w:szCs w:val="24"/>
        </w:rPr>
        <w:t>二回路供电线路。</w:t>
      </w:r>
    </w:p>
    <w:p w14:paraId="12A59187">
      <w:pPr>
        <w:spacing w:line="360" w:lineRule="auto"/>
        <w:ind w:firstLine="480" w:firstLineChars="200"/>
        <w:rPr>
          <w:sz w:val="24"/>
          <w:szCs w:val="24"/>
        </w:rPr>
      </w:pPr>
      <w:r>
        <w:rPr>
          <w:rFonts w:eastAsia="Times New Roman"/>
          <w:sz w:val="24"/>
          <w:szCs w:val="24"/>
        </w:rPr>
        <w:t>2</w:t>
      </w:r>
      <w:r>
        <w:rPr>
          <w:sz w:val="24"/>
          <w:szCs w:val="24"/>
        </w:rPr>
        <w:t>)</w:t>
      </w:r>
      <w:r>
        <w:rPr>
          <w:rFonts w:eastAsia="Times New Roman"/>
          <w:sz w:val="24"/>
          <w:szCs w:val="24"/>
        </w:rPr>
        <w:t>110KV</w:t>
      </w:r>
      <w:r>
        <w:rPr>
          <w:sz w:val="24"/>
          <w:szCs w:val="24"/>
        </w:rPr>
        <w:t>洛开变电站：位于沿河路和锦绣路交口，距朝阳路约</w:t>
      </w:r>
      <w:r>
        <w:rPr>
          <w:rFonts w:eastAsia="Times New Roman"/>
          <w:sz w:val="24"/>
          <w:szCs w:val="24"/>
        </w:rPr>
        <w:t>1.1</w:t>
      </w:r>
      <w:r>
        <w:rPr>
          <w:sz w:val="24"/>
          <w:szCs w:val="24"/>
        </w:rPr>
        <w:t>公里。</w:t>
      </w:r>
      <w:r>
        <w:rPr>
          <w:rFonts w:eastAsia="Times New Roman"/>
          <w:sz w:val="24"/>
          <w:szCs w:val="24"/>
        </w:rPr>
        <w:t>110KV</w:t>
      </w:r>
      <w:r>
        <w:rPr>
          <w:sz w:val="24"/>
          <w:szCs w:val="24"/>
        </w:rPr>
        <w:t>洛开变电站至化工园区附近出线：</w:t>
      </w:r>
    </w:p>
    <w:p w14:paraId="59811388">
      <w:pPr>
        <w:spacing w:line="360" w:lineRule="auto"/>
        <w:ind w:firstLine="480" w:firstLineChars="200"/>
        <w:rPr>
          <w:rFonts w:eastAsia="Times New Roman"/>
          <w:sz w:val="24"/>
          <w:szCs w:val="24"/>
        </w:rPr>
      </w:pPr>
      <w:r>
        <w:rPr>
          <w:sz w:val="24"/>
          <w:szCs w:val="24"/>
        </w:rPr>
        <w:t>①延沿河路向南至朝阳路国瑞药业西侧向西至经开区已架设</w:t>
      </w:r>
      <w:r>
        <w:rPr>
          <w:rFonts w:eastAsia="Times New Roman"/>
          <w:sz w:val="24"/>
          <w:szCs w:val="24"/>
        </w:rPr>
        <w:t>10KV</w:t>
      </w:r>
      <w:r>
        <w:rPr>
          <w:sz w:val="24"/>
          <w:szCs w:val="24"/>
        </w:rPr>
        <w:t>四回路供电线路</w:t>
      </w:r>
      <w:r>
        <w:rPr>
          <w:rFonts w:eastAsia="Times New Roman"/>
          <w:sz w:val="24"/>
          <w:szCs w:val="24"/>
        </w:rPr>
        <w:t>;</w:t>
      </w:r>
    </w:p>
    <w:p w14:paraId="2A6BFA7A">
      <w:pPr>
        <w:spacing w:line="360" w:lineRule="auto"/>
        <w:ind w:firstLine="480" w:firstLineChars="200"/>
        <w:rPr>
          <w:sz w:val="24"/>
          <w:szCs w:val="24"/>
        </w:rPr>
      </w:pPr>
      <w:r>
        <w:rPr>
          <w:sz w:val="24"/>
          <w:szCs w:val="24"/>
        </w:rPr>
        <w:t>②延锦绣路向西经庆兴路至朝阳路已架设</w:t>
      </w:r>
      <w:r>
        <w:rPr>
          <w:rFonts w:eastAsia="Times New Roman"/>
          <w:sz w:val="24"/>
          <w:szCs w:val="24"/>
        </w:rPr>
        <w:t>10KV</w:t>
      </w:r>
      <w:r>
        <w:rPr>
          <w:sz w:val="24"/>
          <w:szCs w:val="24"/>
        </w:rPr>
        <w:t>四回路供电线路。</w:t>
      </w:r>
    </w:p>
    <w:p w14:paraId="247B3F8D">
      <w:pPr>
        <w:spacing w:line="360" w:lineRule="auto"/>
        <w:ind w:firstLine="480" w:firstLineChars="200"/>
        <w:rPr>
          <w:sz w:val="24"/>
          <w:szCs w:val="24"/>
        </w:rPr>
      </w:pPr>
      <w:r>
        <w:rPr>
          <w:rFonts w:eastAsia="Times New Roman"/>
          <w:sz w:val="24"/>
          <w:szCs w:val="24"/>
        </w:rPr>
        <w:t>3</w:t>
      </w:r>
      <w:r>
        <w:rPr>
          <w:sz w:val="24"/>
          <w:szCs w:val="24"/>
        </w:rPr>
        <w:t>)</w:t>
      </w:r>
      <w:r>
        <w:rPr>
          <w:rFonts w:eastAsia="Times New Roman"/>
          <w:sz w:val="24"/>
          <w:szCs w:val="24"/>
        </w:rPr>
        <w:t>110KV</w:t>
      </w:r>
      <w:r>
        <w:rPr>
          <w:sz w:val="24"/>
          <w:szCs w:val="24"/>
        </w:rPr>
        <w:t>田东变电站：位于国庆东路和建设路交口，距朝阳路约</w:t>
      </w:r>
      <w:r>
        <w:rPr>
          <w:rFonts w:eastAsia="Times New Roman"/>
          <w:sz w:val="24"/>
          <w:szCs w:val="24"/>
        </w:rPr>
        <w:t>1.5</w:t>
      </w:r>
      <w:r>
        <w:rPr>
          <w:sz w:val="24"/>
          <w:szCs w:val="24"/>
        </w:rPr>
        <w:t xml:space="preserve">公里。 </w:t>
      </w:r>
      <w:r>
        <w:rPr>
          <w:rFonts w:eastAsia="Times New Roman"/>
          <w:sz w:val="24"/>
          <w:szCs w:val="24"/>
        </w:rPr>
        <w:t>110KV</w:t>
      </w:r>
      <w:r>
        <w:rPr>
          <w:sz w:val="24"/>
          <w:szCs w:val="24"/>
        </w:rPr>
        <w:t>田东变电站至化工园区附近出线：</w:t>
      </w:r>
    </w:p>
    <w:p w14:paraId="3568E78F">
      <w:pPr>
        <w:spacing w:line="360" w:lineRule="auto"/>
        <w:ind w:firstLine="480" w:firstLineChars="200"/>
        <w:rPr>
          <w:sz w:val="24"/>
          <w:szCs w:val="24"/>
        </w:rPr>
      </w:pPr>
      <w:r>
        <w:rPr>
          <w:sz w:val="24"/>
          <w:szCs w:val="24"/>
        </w:rPr>
        <w:t>①延国庆东路向西和向东已架设</w:t>
      </w:r>
      <w:r>
        <w:rPr>
          <w:rFonts w:eastAsia="Times New Roman"/>
          <w:sz w:val="24"/>
          <w:szCs w:val="24"/>
        </w:rPr>
        <w:t>10KV</w:t>
      </w:r>
      <w:r>
        <w:rPr>
          <w:sz w:val="24"/>
          <w:szCs w:val="24"/>
        </w:rPr>
        <w:t>四回路供电线路，从朝阳路开始分为二回路向东往高铁站、二回路向南往农场方向；</w:t>
      </w:r>
    </w:p>
    <w:p w14:paraId="3539BF36">
      <w:pPr>
        <w:spacing w:line="360" w:lineRule="auto"/>
        <w:ind w:firstLine="480" w:firstLineChars="200"/>
        <w:rPr>
          <w:sz w:val="24"/>
          <w:szCs w:val="24"/>
        </w:rPr>
      </w:pPr>
      <w:r>
        <w:rPr>
          <w:sz w:val="24"/>
          <w:szCs w:val="24"/>
        </w:rPr>
        <w:t>②延振兴路已架设</w:t>
      </w:r>
      <w:r>
        <w:rPr>
          <w:rFonts w:eastAsia="Times New Roman"/>
          <w:sz w:val="24"/>
          <w:szCs w:val="24"/>
        </w:rPr>
        <w:t>10KV</w:t>
      </w:r>
      <w:r>
        <w:rPr>
          <w:sz w:val="24"/>
          <w:szCs w:val="24"/>
        </w:rPr>
        <w:t>四回路供电线路至朝阳东路；</w:t>
      </w:r>
    </w:p>
    <w:p w14:paraId="146952C9">
      <w:pPr>
        <w:spacing w:line="360" w:lineRule="auto"/>
        <w:ind w:firstLine="480" w:firstLineChars="200"/>
        <w:rPr>
          <w:sz w:val="24"/>
          <w:szCs w:val="24"/>
        </w:rPr>
      </w:pPr>
      <w:r>
        <w:rPr>
          <w:sz w:val="24"/>
          <w:szCs w:val="24"/>
        </w:rPr>
        <w:t>③延建设路已架设</w:t>
      </w:r>
      <w:r>
        <w:rPr>
          <w:rFonts w:eastAsia="Times New Roman"/>
          <w:sz w:val="24"/>
          <w:szCs w:val="24"/>
        </w:rPr>
        <w:t>10KV</w:t>
      </w:r>
      <w:r>
        <w:rPr>
          <w:sz w:val="24"/>
          <w:szCs w:val="24"/>
        </w:rPr>
        <w:t>四回路供电线路至朝阳东路；</w:t>
      </w:r>
    </w:p>
    <w:p w14:paraId="036E0B3A">
      <w:pPr>
        <w:spacing w:line="360" w:lineRule="auto"/>
        <w:ind w:firstLine="480" w:firstLineChars="200"/>
        <w:rPr>
          <w:sz w:val="24"/>
          <w:szCs w:val="24"/>
        </w:rPr>
      </w:pPr>
      <w:r>
        <w:rPr>
          <w:sz w:val="24"/>
          <w:szCs w:val="24"/>
        </w:rPr>
        <w:t>④延朝阳东路向西和向东已架设</w:t>
      </w:r>
      <w:r>
        <w:rPr>
          <w:rFonts w:eastAsia="Times New Roman"/>
          <w:sz w:val="24"/>
          <w:szCs w:val="24"/>
        </w:rPr>
        <w:t>10KV</w:t>
      </w:r>
      <w:r>
        <w:rPr>
          <w:sz w:val="24"/>
          <w:szCs w:val="24"/>
        </w:rPr>
        <w:t>二回路供电线路；</w:t>
      </w:r>
    </w:p>
    <w:p w14:paraId="4FCDCED6">
      <w:pPr>
        <w:spacing w:line="360" w:lineRule="auto"/>
        <w:ind w:firstLine="480" w:firstLineChars="200"/>
        <w:rPr>
          <w:sz w:val="24"/>
          <w:szCs w:val="24"/>
        </w:rPr>
      </w:pPr>
      <w:r>
        <w:rPr>
          <w:sz w:val="24"/>
          <w:szCs w:val="24"/>
        </w:rPr>
        <w:t>具体见附图1</w:t>
      </w:r>
      <w:r>
        <w:rPr>
          <w:rFonts w:hint="eastAsia"/>
          <w:sz w:val="24"/>
          <w:szCs w:val="24"/>
        </w:rPr>
        <w:t>3</w:t>
      </w:r>
      <w:r>
        <w:rPr>
          <w:sz w:val="24"/>
          <w:szCs w:val="24"/>
        </w:rPr>
        <w:t>.区块一电力工程规划图（图号：</w:t>
      </w:r>
      <w:r>
        <w:rPr>
          <w:rFonts w:hint="eastAsia"/>
          <w:sz w:val="24"/>
          <w:szCs w:val="24"/>
        </w:rPr>
        <w:t>Z-28-13</w:t>
      </w:r>
      <w:r>
        <w:rPr>
          <w:sz w:val="24"/>
          <w:szCs w:val="24"/>
        </w:rPr>
        <w:t>）和附图2</w:t>
      </w:r>
      <w:r>
        <w:rPr>
          <w:rFonts w:hint="eastAsia"/>
          <w:sz w:val="24"/>
          <w:szCs w:val="24"/>
        </w:rPr>
        <w:t>5</w:t>
      </w:r>
      <w:r>
        <w:rPr>
          <w:sz w:val="24"/>
          <w:szCs w:val="24"/>
        </w:rPr>
        <w:t>.区块二电力工程规划图（图号：</w:t>
      </w:r>
      <w:r>
        <w:rPr>
          <w:rFonts w:hint="eastAsia"/>
          <w:sz w:val="24"/>
          <w:szCs w:val="24"/>
        </w:rPr>
        <w:t>Z-28-25</w:t>
      </w:r>
      <w:r>
        <w:rPr>
          <w:sz w:val="24"/>
          <w:szCs w:val="24"/>
        </w:rPr>
        <w:t>）。</w:t>
      </w:r>
    </w:p>
    <w:p w14:paraId="6A244EE8">
      <w:pPr>
        <w:pStyle w:val="47"/>
        <w:rPr>
          <w:rFonts w:hint="default" w:ascii="Times New Roman"/>
          <w:color w:val="auto"/>
        </w:rPr>
      </w:pPr>
      <w:r>
        <w:rPr>
          <w:rFonts w:ascii="Times New Roman"/>
          <w:color w:val="auto"/>
        </w:rPr>
        <w:drawing>
          <wp:inline distT="0" distB="0" distL="114300" distR="114300">
            <wp:extent cx="5265420" cy="3674745"/>
            <wp:effectExtent l="0" t="0" r="11430" b="1905"/>
            <wp:docPr id="75" name="图片 75" descr="170536716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05367161302"/>
                    <pic:cNvPicPr>
                      <a:picLocks noChangeAspect="1"/>
                    </pic:cNvPicPr>
                  </pic:nvPicPr>
                  <pic:blipFill>
                    <a:blip r:embed="rId51"/>
                    <a:stretch>
                      <a:fillRect/>
                    </a:stretch>
                  </pic:blipFill>
                  <pic:spPr>
                    <a:xfrm>
                      <a:off x="0" y="0"/>
                      <a:ext cx="5265420" cy="3674745"/>
                    </a:xfrm>
                    <a:prstGeom prst="rect">
                      <a:avLst/>
                    </a:prstGeom>
                  </pic:spPr>
                </pic:pic>
              </a:graphicData>
            </a:graphic>
          </wp:inline>
        </w:drawing>
      </w:r>
    </w:p>
    <w:p w14:paraId="5EAEAAC8">
      <w:pPr>
        <w:pStyle w:val="47"/>
        <w:rPr>
          <w:rFonts w:hint="default" w:ascii="Times New Roman"/>
          <w:color w:val="auto"/>
        </w:rPr>
      </w:pPr>
    </w:p>
    <w:bookmarkEnd w:id="340"/>
    <w:p w14:paraId="43EC148C">
      <w:pPr>
        <w:pStyle w:val="4"/>
        <w:spacing w:before="156" w:after="156"/>
        <w:rPr>
          <w:rFonts w:ascii="Times New Roman" w:hAnsi="Times New Roman"/>
          <w:sz w:val="24"/>
          <w:szCs w:val="24"/>
        </w:rPr>
      </w:pPr>
      <w:bookmarkStart w:id="341" w:name="_Toc17478"/>
      <w:bookmarkStart w:id="342" w:name="_Toc1628664"/>
      <w:r>
        <w:rPr>
          <w:rFonts w:ascii="Times New Roman" w:hAnsi="Times New Roman"/>
          <w:sz w:val="24"/>
          <w:szCs w:val="24"/>
        </w:rPr>
        <w:t>10.6 电信邮政基础设施规划</w:t>
      </w:r>
      <w:bookmarkEnd w:id="341"/>
      <w:bookmarkEnd w:id="342"/>
    </w:p>
    <w:p w14:paraId="0E2EDF88">
      <w:pPr>
        <w:pStyle w:val="5"/>
        <w:spacing w:before="156" w:after="156"/>
        <w:rPr>
          <w:rFonts w:eastAsiaTheme="minorEastAsia"/>
          <w:sz w:val="24"/>
          <w:szCs w:val="24"/>
        </w:rPr>
      </w:pPr>
      <w:bookmarkStart w:id="343" w:name="_Toc250483930"/>
      <w:bookmarkStart w:id="344" w:name="_Toc4596090"/>
      <w:r>
        <w:rPr>
          <w:rFonts w:eastAsiaTheme="minorEastAsia"/>
          <w:sz w:val="24"/>
          <w:szCs w:val="24"/>
        </w:rPr>
        <w:t>10.6.1</w:t>
      </w:r>
      <w:bookmarkEnd w:id="343"/>
      <w:r>
        <w:rPr>
          <w:rFonts w:eastAsiaTheme="minorEastAsia"/>
          <w:sz w:val="24"/>
          <w:szCs w:val="24"/>
        </w:rPr>
        <w:t>现状分析</w:t>
      </w:r>
      <w:bookmarkEnd w:id="344"/>
    </w:p>
    <w:p w14:paraId="4032CDEC">
      <w:pPr>
        <w:spacing w:line="360" w:lineRule="auto"/>
        <w:ind w:firstLine="476" w:firstLineChars="200"/>
        <w:rPr>
          <w:sz w:val="24"/>
          <w:szCs w:val="24"/>
        </w:rPr>
      </w:pPr>
      <w:bookmarkStart w:id="345" w:name="_Toc250483931"/>
      <w:r>
        <w:rPr>
          <w:spacing w:val="-1"/>
          <w:sz w:val="24"/>
          <w:szCs w:val="24"/>
        </w:rPr>
        <w:t>淮南经济技术开发区已开通固定电话和宽带业务，设置了</w:t>
      </w:r>
      <w:r>
        <w:rPr>
          <w:rFonts w:eastAsia="Times New Roman"/>
          <w:sz w:val="24"/>
          <w:szCs w:val="24"/>
        </w:rPr>
        <w:t>GSM</w:t>
      </w:r>
      <w:r>
        <w:rPr>
          <w:sz w:val="24"/>
          <w:szCs w:val="24"/>
        </w:rPr>
        <w:t>和</w:t>
      </w:r>
      <w:r>
        <w:rPr>
          <w:rFonts w:eastAsia="Times New Roman"/>
          <w:spacing w:val="-5"/>
          <w:sz w:val="24"/>
          <w:szCs w:val="24"/>
        </w:rPr>
        <w:t>CDMA</w:t>
      </w:r>
      <w:r>
        <w:rPr>
          <w:spacing w:val="-10"/>
          <w:sz w:val="24"/>
          <w:szCs w:val="24"/>
        </w:rPr>
        <w:t>移动</w:t>
      </w:r>
      <w:r>
        <w:rPr>
          <w:spacing w:val="-6"/>
          <w:sz w:val="24"/>
          <w:szCs w:val="24"/>
        </w:rPr>
        <w:t>通</w:t>
      </w:r>
      <w:r>
        <w:rPr>
          <w:spacing w:val="-5"/>
          <w:sz w:val="24"/>
          <w:szCs w:val="24"/>
        </w:rPr>
        <w:t>讯基站，无线信号基本上已覆盖全区。淮南经济技术开发</w:t>
      </w:r>
      <w:r>
        <w:rPr>
          <w:spacing w:val="1"/>
          <w:sz w:val="24"/>
          <w:szCs w:val="24"/>
        </w:rPr>
        <w:t>区建设的光缆网可以满足企业的个性化组网、工</w:t>
      </w:r>
      <w:r>
        <w:rPr>
          <w:sz w:val="24"/>
          <w:szCs w:val="24"/>
        </w:rPr>
        <w:t>业区及生活区语音、宽</w:t>
      </w:r>
      <w:r>
        <w:rPr>
          <w:spacing w:val="1"/>
          <w:sz w:val="24"/>
          <w:szCs w:val="24"/>
        </w:rPr>
        <w:t>带、网上办公、固话办公、移动办公、数据、视</w:t>
      </w:r>
      <w:r>
        <w:rPr>
          <w:sz w:val="24"/>
          <w:szCs w:val="24"/>
        </w:rPr>
        <w:t xml:space="preserve">频会议等多种业务的承 </w:t>
      </w:r>
      <w:r>
        <w:rPr>
          <w:spacing w:val="1"/>
          <w:sz w:val="24"/>
          <w:szCs w:val="24"/>
        </w:rPr>
        <w:t>载和传输需要，并已实现光缆到路边的宽带接入</w:t>
      </w:r>
      <w:r>
        <w:rPr>
          <w:sz w:val="24"/>
          <w:szCs w:val="24"/>
        </w:rPr>
        <w:t>。电讯电缆全部采用管</w:t>
      </w:r>
      <w:r>
        <w:rPr>
          <w:spacing w:val="-6"/>
          <w:sz w:val="24"/>
          <w:szCs w:val="24"/>
        </w:rPr>
        <w:t>道电缆方式敷</w:t>
      </w:r>
      <w:r>
        <w:rPr>
          <w:spacing w:val="-5"/>
          <w:sz w:val="24"/>
          <w:szCs w:val="24"/>
        </w:rPr>
        <w:t>设</w:t>
      </w:r>
      <w:r>
        <w:rPr>
          <w:spacing w:val="-3"/>
          <w:sz w:val="24"/>
          <w:szCs w:val="24"/>
        </w:rPr>
        <w:t>，沿园区主干道和支路按</w:t>
      </w:r>
      <w:r>
        <w:rPr>
          <w:rFonts w:eastAsia="Times New Roman"/>
          <w:spacing w:val="-3"/>
          <w:sz w:val="24"/>
          <w:szCs w:val="24"/>
        </w:rPr>
        <w:t>6</w:t>
      </w:r>
      <w:r>
        <w:rPr>
          <w:spacing w:val="-3"/>
          <w:sz w:val="24"/>
          <w:szCs w:val="24"/>
        </w:rPr>
        <w:t>孔敷设。</w:t>
      </w:r>
    </w:p>
    <w:p w14:paraId="28619BD8">
      <w:pPr>
        <w:spacing w:line="360" w:lineRule="auto"/>
        <w:ind w:firstLine="444" w:firstLineChars="200"/>
        <w:rPr>
          <w:sz w:val="24"/>
          <w:szCs w:val="24"/>
        </w:rPr>
      </w:pPr>
      <w:r>
        <w:rPr>
          <w:spacing w:val="-9"/>
          <w:sz w:val="24"/>
          <w:szCs w:val="24"/>
        </w:rPr>
        <w:t>电</w:t>
      </w:r>
      <w:r>
        <w:rPr>
          <w:spacing w:val="-5"/>
          <w:sz w:val="24"/>
          <w:szCs w:val="24"/>
        </w:rPr>
        <w:t>话网络中心至各企业的电话干线采用电话电缆直配，网络干线采</w:t>
      </w:r>
      <w:r>
        <w:rPr>
          <w:spacing w:val="-4"/>
          <w:sz w:val="24"/>
          <w:szCs w:val="24"/>
        </w:rPr>
        <w:t>用多模光</w:t>
      </w:r>
      <w:r>
        <w:rPr>
          <w:spacing w:val="-2"/>
          <w:sz w:val="24"/>
          <w:szCs w:val="24"/>
        </w:rPr>
        <w:t>纤直配至各单体接线箱。</w:t>
      </w:r>
    </w:p>
    <w:p w14:paraId="071679B7">
      <w:pPr>
        <w:spacing w:line="360" w:lineRule="auto"/>
        <w:ind w:firstLine="472" w:firstLineChars="200"/>
        <w:rPr>
          <w:sz w:val="24"/>
          <w:szCs w:val="24"/>
          <w:lang w:val="zh-CN"/>
        </w:rPr>
      </w:pPr>
      <w:r>
        <w:rPr>
          <w:spacing w:val="-2"/>
          <w:sz w:val="24"/>
          <w:szCs w:val="24"/>
        </w:rPr>
        <w:t>目前德邦</w:t>
      </w:r>
      <w:r>
        <w:rPr>
          <w:spacing w:val="-1"/>
          <w:sz w:val="24"/>
          <w:szCs w:val="24"/>
        </w:rPr>
        <w:t>化工、恒诚制药、水卫士环保科技、国瑞药业电话电缆及</w:t>
      </w:r>
      <w:r>
        <w:rPr>
          <w:spacing w:val="2"/>
          <w:sz w:val="24"/>
          <w:szCs w:val="24"/>
        </w:rPr>
        <w:t>通信光缆均已沿路边地下管道铺设就位。电话网络中心(</w:t>
      </w:r>
      <w:r>
        <w:rPr>
          <w:rFonts w:eastAsia="Times New Roman"/>
          <w:sz w:val="24"/>
          <w:szCs w:val="24"/>
        </w:rPr>
        <w:t>CD</w:t>
      </w:r>
      <w:r>
        <w:rPr>
          <w:spacing w:val="2"/>
          <w:sz w:val="24"/>
          <w:szCs w:val="24"/>
        </w:rPr>
        <w:t>)设</w:t>
      </w:r>
      <w:r>
        <w:rPr>
          <w:sz w:val="24"/>
          <w:szCs w:val="24"/>
        </w:rPr>
        <w:t>置于办</w:t>
      </w:r>
      <w:r>
        <w:rPr>
          <w:spacing w:val="1"/>
          <w:sz w:val="24"/>
          <w:szCs w:val="24"/>
        </w:rPr>
        <w:t>公楼，接入厂区外现有市政电话网络。各建筑物</w:t>
      </w:r>
      <w:r>
        <w:rPr>
          <w:sz w:val="24"/>
          <w:szCs w:val="24"/>
        </w:rPr>
        <w:t>内办公室根据需要设置</w:t>
      </w:r>
      <w:r>
        <w:rPr>
          <w:spacing w:val="-6"/>
          <w:sz w:val="24"/>
          <w:szCs w:val="24"/>
        </w:rPr>
        <w:t>一</w:t>
      </w:r>
      <w:r>
        <w:rPr>
          <w:spacing w:val="-4"/>
          <w:sz w:val="24"/>
          <w:szCs w:val="24"/>
        </w:rPr>
        <w:t>定</w:t>
      </w:r>
      <w:r>
        <w:rPr>
          <w:spacing w:val="-3"/>
          <w:sz w:val="24"/>
          <w:szCs w:val="24"/>
        </w:rPr>
        <w:t>数量的电话信息插口。</w:t>
      </w:r>
    </w:p>
    <w:p w14:paraId="6C131D72">
      <w:pPr>
        <w:pStyle w:val="5"/>
        <w:spacing w:line="360" w:lineRule="auto"/>
        <w:rPr>
          <w:rFonts w:eastAsiaTheme="minorEastAsia"/>
          <w:sz w:val="24"/>
          <w:szCs w:val="24"/>
        </w:rPr>
      </w:pPr>
      <w:bookmarkStart w:id="346" w:name="_Toc4596091"/>
      <w:r>
        <w:rPr>
          <w:rFonts w:eastAsiaTheme="minorEastAsia"/>
          <w:sz w:val="24"/>
          <w:szCs w:val="24"/>
        </w:rPr>
        <w:t>10.6.2电信网络规划</w:t>
      </w:r>
      <w:bookmarkEnd w:id="346"/>
    </w:p>
    <w:p w14:paraId="7A828214">
      <w:pPr>
        <w:spacing w:line="360" w:lineRule="auto"/>
        <w:ind w:firstLine="480" w:firstLineChars="200"/>
        <w:rPr>
          <w:sz w:val="24"/>
          <w:szCs w:val="24"/>
        </w:rPr>
      </w:pPr>
      <w:r>
        <w:rPr>
          <w:sz w:val="24"/>
          <w:szCs w:val="24"/>
        </w:rPr>
        <w:t>区块一规划由田东电信站沿建设路由南向北，沿田东路铺设至化工园区各企业办公楼。具体见附图1</w:t>
      </w:r>
      <w:r>
        <w:rPr>
          <w:rFonts w:hint="eastAsia"/>
          <w:sz w:val="24"/>
          <w:szCs w:val="24"/>
        </w:rPr>
        <w:t>4</w:t>
      </w:r>
      <w:r>
        <w:rPr>
          <w:sz w:val="24"/>
          <w:szCs w:val="24"/>
        </w:rPr>
        <w:t>.区块一电讯工程规划图（图号：</w:t>
      </w:r>
      <w:r>
        <w:rPr>
          <w:rFonts w:hint="eastAsia"/>
          <w:sz w:val="24"/>
          <w:szCs w:val="24"/>
        </w:rPr>
        <w:t>Z-28-14</w:t>
      </w:r>
      <w:r>
        <w:rPr>
          <w:sz w:val="24"/>
          <w:szCs w:val="24"/>
        </w:rPr>
        <w:t>）。</w:t>
      </w:r>
    </w:p>
    <w:p w14:paraId="77806429">
      <w:pPr>
        <w:pStyle w:val="47"/>
        <w:rPr>
          <w:rFonts w:hint="default" w:ascii="Times New Roman"/>
          <w:color w:val="auto"/>
        </w:rPr>
      </w:pPr>
      <w:r>
        <w:rPr>
          <w:rFonts w:ascii="Times New Roman"/>
          <w:color w:val="auto"/>
        </w:rPr>
        <w:drawing>
          <wp:inline distT="0" distB="0" distL="114300" distR="114300">
            <wp:extent cx="5268595" cy="3711575"/>
            <wp:effectExtent l="0" t="0" r="8255" b="3175"/>
            <wp:docPr id="76" name="图片 76" descr="170536718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705367180874"/>
                    <pic:cNvPicPr>
                      <a:picLocks noChangeAspect="1"/>
                    </pic:cNvPicPr>
                  </pic:nvPicPr>
                  <pic:blipFill>
                    <a:blip r:embed="rId52"/>
                    <a:stretch>
                      <a:fillRect/>
                    </a:stretch>
                  </pic:blipFill>
                  <pic:spPr>
                    <a:xfrm>
                      <a:off x="0" y="0"/>
                      <a:ext cx="5268595" cy="3711575"/>
                    </a:xfrm>
                    <a:prstGeom prst="rect">
                      <a:avLst/>
                    </a:prstGeom>
                  </pic:spPr>
                </pic:pic>
              </a:graphicData>
            </a:graphic>
          </wp:inline>
        </w:drawing>
      </w:r>
    </w:p>
    <w:p w14:paraId="0BF6CA59">
      <w:pPr>
        <w:spacing w:line="360" w:lineRule="auto"/>
        <w:ind w:firstLine="480" w:firstLineChars="200"/>
        <w:rPr>
          <w:sz w:val="24"/>
          <w:szCs w:val="24"/>
        </w:rPr>
      </w:pPr>
      <w:r>
        <w:rPr>
          <w:sz w:val="24"/>
          <w:szCs w:val="24"/>
        </w:rPr>
        <w:t>区块二通讯光缆规划自庆兴北路与洛九路西南角电信管理所引入，沿庆兴北路、华兴路、长宁路、吉安路接入化各企业办公楼。具体见附图2</w:t>
      </w:r>
      <w:r>
        <w:rPr>
          <w:rFonts w:hint="eastAsia"/>
          <w:sz w:val="24"/>
          <w:szCs w:val="24"/>
        </w:rPr>
        <w:t>6</w:t>
      </w:r>
      <w:r>
        <w:rPr>
          <w:sz w:val="24"/>
          <w:szCs w:val="24"/>
        </w:rPr>
        <w:t>.区块二电讯工程规划图（图号：</w:t>
      </w:r>
      <w:r>
        <w:rPr>
          <w:rFonts w:hint="eastAsia"/>
          <w:sz w:val="24"/>
          <w:szCs w:val="24"/>
        </w:rPr>
        <w:t>Z-28-26</w:t>
      </w:r>
      <w:r>
        <w:rPr>
          <w:sz w:val="24"/>
          <w:szCs w:val="24"/>
        </w:rPr>
        <w:t>）。</w:t>
      </w:r>
    </w:p>
    <w:p w14:paraId="2C9DF37E">
      <w:pPr>
        <w:pStyle w:val="47"/>
        <w:rPr>
          <w:rFonts w:hint="default" w:ascii="Times New Roman"/>
          <w:color w:val="auto"/>
        </w:rPr>
      </w:pPr>
      <w:r>
        <w:rPr>
          <w:rFonts w:ascii="Times New Roman"/>
          <w:color w:val="auto"/>
        </w:rPr>
        <w:drawing>
          <wp:inline distT="0" distB="0" distL="114300" distR="114300">
            <wp:extent cx="5265420" cy="3703320"/>
            <wp:effectExtent l="0" t="0" r="11430" b="11430"/>
            <wp:docPr id="77" name="图片 77" descr="170536719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705367195310"/>
                    <pic:cNvPicPr>
                      <a:picLocks noChangeAspect="1"/>
                    </pic:cNvPicPr>
                  </pic:nvPicPr>
                  <pic:blipFill>
                    <a:blip r:embed="rId53"/>
                    <a:stretch>
                      <a:fillRect/>
                    </a:stretch>
                  </pic:blipFill>
                  <pic:spPr>
                    <a:xfrm>
                      <a:off x="0" y="0"/>
                      <a:ext cx="5265420" cy="3703320"/>
                    </a:xfrm>
                    <a:prstGeom prst="rect">
                      <a:avLst/>
                    </a:prstGeom>
                  </pic:spPr>
                </pic:pic>
              </a:graphicData>
            </a:graphic>
          </wp:inline>
        </w:drawing>
      </w:r>
    </w:p>
    <w:bookmarkEnd w:id="345"/>
    <w:p w14:paraId="07099E37">
      <w:pPr>
        <w:pStyle w:val="4"/>
        <w:spacing w:before="156" w:after="156"/>
        <w:rPr>
          <w:rFonts w:ascii="Times New Roman" w:hAnsi="Times New Roman"/>
          <w:sz w:val="24"/>
          <w:szCs w:val="24"/>
        </w:rPr>
      </w:pPr>
      <w:bookmarkStart w:id="347" w:name="_Toc3591"/>
      <w:bookmarkStart w:id="348" w:name="_Toc1628665"/>
      <w:r>
        <w:rPr>
          <w:rFonts w:ascii="Times New Roman" w:hAnsi="Times New Roman"/>
          <w:sz w:val="24"/>
          <w:szCs w:val="24"/>
        </w:rPr>
        <w:t>10.7 供气基础设施规划</w:t>
      </w:r>
      <w:bookmarkEnd w:id="347"/>
      <w:bookmarkEnd w:id="348"/>
      <w:r>
        <w:rPr>
          <w:rFonts w:ascii="Times New Roman" w:hAnsi="Times New Roman"/>
          <w:sz w:val="24"/>
          <w:szCs w:val="24"/>
        </w:rPr>
        <w:tab/>
      </w:r>
    </w:p>
    <w:p w14:paraId="7D6B2359">
      <w:pPr>
        <w:spacing w:line="360" w:lineRule="auto"/>
        <w:ind w:firstLine="480" w:firstLineChars="200"/>
        <w:rPr>
          <w:sz w:val="24"/>
          <w:szCs w:val="24"/>
        </w:rPr>
      </w:pPr>
      <w:r>
        <w:rPr>
          <w:sz w:val="24"/>
          <w:szCs w:val="24"/>
        </w:rPr>
        <w:t>(</w:t>
      </w:r>
      <w:r>
        <w:rPr>
          <w:rFonts w:eastAsia="Times New Roman"/>
          <w:sz w:val="24"/>
          <w:szCs w:val="24"/>
        </w:rPr>
        <w:t>1</w:t>
      </w:r>
      <w:r>
        <w:rPr>
          <w:sz w:val="24"/>
          <w:szCs w:val="24"/>
        </w:rPr>
        <w:t>)供气现状</w:t>
      </w:r>
    </w:p>
    <w:p w14:paraId="0C9DAACC">
      <w:pPr>
        <w:spacing w:line="360" w:lineRule="auto"/>
        <w:ind w:firstLine="480" w:firstLineChars="200"/>
        <w:rPr>
          <w:sz w:val="24"/>
          <w:szCs w:val="24"/>
        </w:rPr>
      </w:pPr>
      <w:r>
        <w:rPr>
          <w:kern w:val="21"/>
          <w:sz w:val="24"/>
          <w:szCs w:val="24"/>
        </w:rPr>
        <w:t>区块一</w:t>
      </w:r>
      <w:r>
        <w:rPr>
          <w:sz w:val="24"/>
          <w:szCs w:val="24"/>
        </w:rPr>
        <w:t>：德邦化工、恒诚制药、水卫士环保科技均不涉 及使用天然气。各企业涉及使用的氮气、压缩空气以及其它工业气体以各企业自配制氮机、空压机、工业气瓶供气为主。</w:t>
      </w:r>
    </w:p>
    <w:p w14:paraId="0CC371EE">
      <w:pPr>
        <w:spacing w:line="360" w:lineRule="auto"/>
        <w:ind w:firstLine="480" w:firstLineChars="200"/>
        <w:rPr>
          <w:sz w:val="24"/>
          <w:szCs w:val="24"/>
        </w:rPr>
      </w:pPr>
      <w:r>
        <w:rPr>
          <w:kern w:val="21"/>
          <w:sz w:val="24"/>
          <w:szCs w:val="24"/>
        </w:rPr>
        <w:t>区块二</w:t>
      </w:r>
      <w:r>
        <w:rPr>
          <w:sz w:val="24"/>
          <w:szCs w:val="24"/>
        </w:rPr>
        <w:t>：国瑞药业涉及使用天然气(燃气锅炉)，由朝阳北路引</w:t>
      </w:r>
      <w:r>
        <w:rPr>
          <w:rFonts w:eastAsia="Times New Roman"/>
          <w:sz w:val="24"/>
          <w:szCs w:val="24"/>
        </w:rPr>
        <w:t>DN160</w:t>
      </w:r>
      <w:r>
        <w:rPr>
          <w:sz w:val="24"/>
          <w:szCs w:val="24"/>
        </w:rPr>
        <w:t>中压燃气管道，压力</w:t>
      </w:r>
      <w:r>
        <w:rPr>
          <w:rFonts w:eastAsia="Times New Roman"/>
          <w:sz w:val="24"/>
          <w:szCs w:val="24"/>
        </w:rPr>
        <w:t>0.4MPa</w:t>
      </w:r>
      <w:r>
        <w:rPr>
          <w:sz w:val="24"/>
          <w:szCs w:val="24"/>
        </w:rPr>
        <w:t>，至厂区内</w:t>
      </w:r>
      <w:r>
        <w:rPr>
          <w:rFonts w:eastAsia="Times New Roman"/>
          <w:sz w:val="24"/>
          <w:szCs w:val="24"/>
        </w:rPr>
        <w:t>DN100</w:t>
      </w:r>
      <w:r>
        <w:rPr>
          <w:sz w:val="24"/>
          <w:szCs w:val="24"/>
        </w:rPr>
        <w:t>低压燃气管道，压力</w:t>
      </w:r>
      <w:r>
        <w:rPr>
          <w:rFonts w:eastAsia="Times New Roman"/>
          <w:sz w:val="24"/>
          <w:szCs w:val="24"/>
        </w:rPr>
        <w:t>2000Pa</w:t>
      </w:r>
      <w:r>
        <w:rPr>
          <w:sz w:val="24"/>
          <w:szCs w:val="24"/>
        </w:rPr>
        <w:t>。</w:t>
      </w:r>
    </w:p>
    <w:p w14:paraId="2A9D8F06">
      <w:pPr>
        <w:spacing w:line="360" w:lineRule="auto"/>
        <w:ind w:firstLine="480" w:firstLineChars="200"/>
        <w:rPr>
          <w:sz w:val="24"/>
          <w:szCs w:val="24"/>
        </w:rPr>
      </w:pPr>
      <w:r>
        <w:rPr>
          <w:sz w:val="24"/>
          <w:szCs w:val="24"/>
        </w:rPr>
        <w:t>(</w:t>
      </w:r>
      <w:r>
        <w:rPr>
          <w:rFonts w:eastAsia="Times New Roman"/>
          <w:sz w:val="24"/>
          <w:szCs w:val="24"/>
        </w:rPr>
        <w:t>2</w:t>
      </w:r>
      <w:r>
        <w:rPr>
          <w:sz w:val="24"/>
          <w:szCs w:val="24"/>
        </w:rPr>
        <w:t>) 供气规划</w:t>
      </w:r>
    </w:p>
    <w:p w14:paraId="35868148">
      <w:pPr>
        <w:spacing w:line="360" w:lineRule="auto"/>
        <w:ind w:firstLine="480" w:firstLineChars="200"/>
        <w:rPr>
          <w:sz w:val="24"/>
          <w:szCs w:val="24"/>
        </w:rPr>
      </w:pPr>
      <w:r>
        <w:rPr>
          <w:sz w:val="24"/>
          <w:szCs w:val="24"/>
        </w:rPr>
        <w:t>规划燃气总用量为5x10</w:t>
      </w:r>
      <w:r>
        <w:rPr>
          <w:sz w:val="24"/>
          <w:szCs w:val="24"/>
          <w:vertAlign w:val="superscript"/>
        </w:rPr>
        <w:t>6</w:t>
      </w:r>
      <w:r>
        <w:rPr>
          <w:sz w:val="24"/>
          <w:szCs w:val="24"/>
        </w:rPr>
        <w:t>万大卡/年。化工园区的燃气由洛河天然气门站供应。洛河天然气门站位于洛河镇东，洛九路北的陈庄、王庄中间地段。由国庆东路城市主干管引入</w:t>
      </w:r>
    </w:p>
    <w:p w14:paraId="73B94A2E">
      <w:pPr>
        <w:spacing w:line="360" w:lineRule="auto"/>
        <w:ind w:firstLine="480" w:firstLineChars="200"/>
        <w:rPr>
          <w:sz w:val="24"/>
          <w:szCs w:val="24"/>
        </w:rPr>
      </w:pPr>
      <w:r>
        <w:rPr>
          <w:sz w:val="24"/>
          <w:szCs w:val="24"/>
        </w:rPr>
        <w:t>淮南经济技术开发区，管径为</w:t>
      </w:r>
      <w:r>
        <w:rPr>
          <w:rFonts w:eastAsia="Times New Roman"/>
          <w:sz w:val="24"/>
          <w:szCs w:val="24"/>
        </w:rPr>
        <w:t>DN400</w:t>
      </w:r>
      <w:r>
        <w:rPr>
          <w:sz w:val="24"/>
          <w:szCs w:val="24"/>
        </w:rPr>
        <w:t>，在园区内部形成干管环网。</w:t>
      </w:r>
    </w:p>
    <w:p w14:paraId="16DA0EF6">
      <w:pPr>
        <w:spacing w:line="360" w:lineRule="auto"/>
        <w:ind w:firstLine="480" w:firstLineChars="200"/>
        <w:rPr>
          <w:sz w:val="24"/>
          <w:szCs w:val="24"/>
        </w:rPr>
      </w:pPr>
      <w:r>
        <w:rPr>
          <w:sz w:val="24"/>
          <w:szCs w:val="24"/>
        </w:rPr>
        <w:t>化工园区各企业涉及使用的氮气、压缩空气以及其它工业气体以各企业自配制氮机、空压机或工业气瓶或工业气储罐供气为主。</w:t>
      </w:r>
    </w:p>
    <w:p w14:paraId="56936105">
      <w:pPr>
        <w:pStyle w:val="4"/>
        <w:spacing w:before="156" w:after="156"/>
        <w:rPr>
          <w:rFonts w:ascii="Times New Roman" w:hAnsi="Times New Roman" w:eastAsiaTheme="minorEastAsia"/>
          <w:sz w:val="24"/>
          <w:szCs w:val="24"/>
        </w:rPr>
      </w:pPr>
      <w:bookmarkStart w:id="349" w:name="_Toc19473"/>
      <w:r>
        <w:rPr>
          <w:rFonts w:ascii="Times New Roman" w:hAnsi="Times New Roman" w:eastAsiaTheme="minorEastAsia"/>
          <w:sz w:val="24"/>
          <w:szCs w:val="24"/>
        </w:rPr>
        <w:t>10.8 工业管廊</w:t>
      </w:r>
      <w:bookmarkEnd w:id="349"/>
      <w:r>
        <w:rPr>
          <w:rFonts w:ascii="Times New Roman" w:hAnsi="Times New Roman" w:eastAsiaTheme="minorEastAsia"/>
          <w:sz w:val="24"/>
          <w:szCs w:val="24"/>
        </w:rPr>
        <w:tab/>
      </w:r>
    </w:p>
    <w:p w14:paraId="74B5F53E">
      <w:pPr>
        <w:spacing w:line="360" w:lineRule="auto"/>
        <w:ind w:firstLine="480" w:firstLineChars="200"/>
        <w:rPr>
          <w:sz w:val="24"/>
          <w:szCs w:val="24"/>
        </w:rPr>
      </w:pPr>
      <w:r>
        <w:rPr>
          <w:rFonts w:hint="eastAsia"/>
          <w:sz w:val="24"/>
          <w:szCs w:val="24"/>
        </w:rPr>
        <w:t>片区二根据《化工园区公共管廊管理规程》综合规划建设公共管廊，规划后期入园企业“一企一管”污水管网、上下游物料及工业气体输送能够满足园区综合需求。</w:t>
      </w:r>
    </w:p>
    <w:p w14:paraId="68F08810">
      <w:pPr>
        <w:spacing w:line="360" w:lineRule="auto"/>
        <w:ind w:firstLine="480" w:firstLineChars="200"/>
        <w:rPr>
          <w:sz w:val="24"/>
          <w:szCs w:val="24"/>
        </w:rPr>
      </w:pPr>
      <w:r>
        <w:rPr>
          <w:rFonts w:hint="eastAsia"/>
          <w:sz w:val="24"/>
          <w:szCs w:val="24"/>
        </w:rPr>
        <w:t>公共管廊应按照安全设施“三同时”履行安全条件、安全设施设计、安全设计竣工验收。</w:t>
      </w:r>
    </w:p>
    <w:p w14:paraId="604A4ED1">
      <w:pPr>
        <w:spacing w:line="360" w:lineRule="auto"/>
        <w:ind w:firstLine="480" w:firstLineChars="200"/>
        <w:rPr>
          <w:sz w:val="24"/>
          <w:szCs w:val="24"/>
        </w:rPr>
      </w:pPr>
      <w:r>
        <w:rPr>
          <w:rFonts w:hint="eastAsia"/>
          <w:sz w:val="24"/>
          <w:szCs w:val="24"/>
        </w:rPr>
        <w:t>制定《公共管廊安全管理制度》，明确公共管廊投资建设单位、安全运营管理、监督单位、管道使用单位，制定各方职责权限。</w:t>
      </w:r>
    </w:p>
    <w:p w14:paraId="56DC773E">
      <w:pPr>
        <w:spacing w:line="360" w:lineRule="auto"/>
        <w:ind w:firstLine="480" w:firstLineChars="200"/>
        <w:rPr>
          <w:sz w:val="24"/>
          <w:szCs w:val="24"/>
        </w:rPr>
      </w:pPr>
      <w:r>
        <w:rPr>
          <w:rFonts w:hint="eastAsia"/>
          <w:sz w:val="24"/>
          <w:szCs w:val="24"/>
        </w:rPr>
        <w:t>根据《化工园区公共管廊管理规程》要求定期进行开展组织危险因素辨识活动；设置防撞护栏、安全须知、警示标志、标识等；建立管廊使用单位档案，运用安防视频综合管理平台，通过视频监控、电子地图、周界入侵报警等技术手段，实现安全预警系统，运用现场巡查、专项隐患排查等方式开展日常安全运营管理工作，掌控管廊区域动态，并将公共管廊相关数据及管理运行引入化工园区智慧平台，进一步完善管廊数字化管理等方面内容。</w:t>
      </w:r>
    </w:p>
    <w:p w14:paraId="27C145E6">
      <w:pPr>
        <w:spacing w:line="360" w:lineRule="auto"/>
        <w:ind w:firstLine="480" w:firstLineChars="200"/>
        <w:rPr>
          <w:sz w:val="24"/>
          <w:szCs w:val="24"/>
        </w:rPr>
      </w:pPr>
      <w:r>
        <w:rPr>
          <w:rFonts w:hint="eastAsia"/>
          <w:sz w:val="24"/>
          <w:szCs w:val="24"/>
        </w:rPr>
        <w:t>编制《公共管廊安全事故应急预案》，并报市、区应急局备案。</w:t>
      </w:r>
    </w:p>
    <w:p w14:paraId="1A1FA076">
      <w:pPr>
        <w:spacing w:line="360" w:lineRule="auto"/>
        <w:ind w:firstLine="480" w:firstLineChars="200"/>
        <w:rPr>
          <w:sz w:val="24"/>
          <w:szCs w:val="24"/>
        </w:rPr>
      </w:pPr>
      <w:r>
        <w:rPr>
          <w:sz w:val="24"/>
          <w:szCs w:val="24"/>
        </w:rPr>
        <w:t>(</w:t>
      </w:r>
      <w:r>
        <w:rPr>
          <w:rFonts w:eastAsia="Times New Roman"/>
          <w:sz w:val="24"/>
          <w:szCs w:val="24"/>
        </w:rPr>
        <w:t>1</w:t>
      </w:r>
      <w:r>
        <w:rPr>
          <w:sz w:val="24"/>
          <w:szCs w:val="24"/>
        </w:rPr>
        <w:t>)管廊现状</w:t>
      </w:r>
    </w:p>
    <w:p w14:paraId="20514AD3">
      <w:pPr>
        <w:spacing w:line="360" w:lineRule="auto"/>
        <w:ind w:firstLine="480" w:firstLineChars="200"/>
        <w:rPr>
          <w:sz w:val="24"/>
          <w:szCs w:val="24"/>
        </w:rPr>
      </w:pPr>
      <w:r>
        <w:rPr>
          <w:sz w:val="24"/>
          <w:szCs w:val="24"/>
        </w:rPr>
        <w:t>化工园区目前未建设公共管廊，化工园区架空管道仅蒸汽管道，距地面</w:t>
      </w:r>
      <w:r>
        <w:rPr>
          <w:rFonts w:eastAsia="Times New Roman"/>
          <w:sz w:val="24"/>
          <w:szCs w:val="24"/>
        </w:rPr>
        <w:t>1.5m</w:t>
      </w:r>
      <w:r>
        <w:rPr>
          <w:sz w:val="24"/>
          <w:szCs w:val="24"/>
        </w:rPr>
        <w:t>，跨距小于</w:t>
      </w:r>
      <w:r>
        <w:rPr>
          <w:rFonts w:eastAsia="Times New Roman"/>
          <w:sz w:val="24"/>
          <w:szCs w:val="24"/>
        </w:rPr>
        <w:t>9m</w:t>
      </w:r>
      <w:r>
        <w:rPr>
          <w:sz w:val="24"/>
          <w:szCs w:val="24"/>
        </w:rPr>
        <w:t>，层间距大于</w:t>
      </w:r>
      <w:r>
        <w:rPr>
          <w:rFonts w:eastAsia="Times New Roman"/>
          <w:sz w:val="24"/>
          <w:szCs w:val="24"/>
        </w:rPr>
        <w:t>1.5m</w:t>
      </w:r>
      <w:r>
        <w:rPr>
          <w:sz w:val="24"/>
          <w:szCs w:val="24"/>
        </w:rPr>
        <w:t>，符合</w:t>
      </w:r>
      <w:r>
        <w:rPr>
          <w:rFonts w:eastAsia="Times New Roman"/>
          <w:sz w:val="24"/>
          <w:szCs w:val="24"/>
        </w:rPr>
        <w:t>GB50484</w:t>
      </w:r>
      <w:r>
        <w:rPr>
          <w:sz w:val="24"/>
          <w:szCs w:val="24"/>
        </w:rPr>
        <w:t>标准要求。</w:t>
      </w:r>
    </w:p>
    <w:p w14:paraId="7AF15C17">
      <w:pPr>
        <w:spacing w:line="360" w:lineRule="auto"/>
        <w:ind w:firstLine="480" w:firstLineChars="200"/>
        <w:rPr>
          <w:sz w:val="24"/>
          <w:szCs w:val="24"/>
        </w:rPr>
      </w:pPr>
      <w:r>
        <w:rPr>
          <w:sz w:val="24"/>
          <w:szCs w:val="24"/>
        </w:rPr>
        <w:t>(</w:t>
      </w:r>
      <w:r>
        <w:rPr>
          <w:rFonts w:eastAsia="Times New Roman"/>
          <w:sz w:val="24"/>
          <w:szCs w:val="24"/>
        </w:rPr>
        <w:t>2</w:t>
      </w:r>
      <w:r>
        <w:rPr>
          <w:sz w:val="24"/>
          <w:szCs w:val="24"/>
        </w:rPr>
        <w:t>)管廊规划</w:t>
      </w:r>
    </w:p>
    <w:p w14:paraId="294AC49F">
      <w:pPr>
        <w:spacing w:line="360" w:lineRule="auto"/>
        <w:ind w:firstLine="482" w:firstLineChars="200"/>
        <w:rPr>
          <w:sz w:val="24"/>
          <w:szCs w:val="24"/>
        </w:rPr>
      </w:pPr>
      <w:r>
        <w:rPr>
          <w:b/>
          <w:bCs/>
          <w:sz w:val="24"/>
          <w:szCs w:val="24"/>
        </w:rPr>
        <w:t>化工园区架空管道仅蒸汽管道，</w:t>
      </w:r>
      <w:r>
        <w:rPr>
          <w:rFonts w:hint="eastAsia"/>
          <w:b/>
          <w:bCs/>
          <w:sz w:val="24"/>
          <w:szCs w:val="24"/>
        </w:rPr>
        <w:t>本次</w:t>
      </w:r>
      <w:r>
        <w:rPr>
          <w:b/>
          <w:bCs/>
          <w:sz w:val="24"/>
          <w:szCs w:val="24"/>
        </w:rPr>
        <w:t>管廊规划</w:t>
      </w:r>
      <w:r>
        <w:rPr>
          <w:rFonts w:hint="eastAsia"/>
          <w:b/>
          <w:bCs/>
          <w:sz w:val="24"/>
          <w:szCs w:val="24"/>
        </w:rPr>
        <w:t>仅规划公用工程水、蒸汽等管道管廊，</w:t>
      </w:r>
      <w:r>
        <w:rPr>
          <w:b/>
          <w:bCs/>
          <w:sz w:val="24"/>
          <w:szCs w:val="24"/>
        </w:rPr>
        <w:t>不涉及工业气体以及其他危化品输送管道。</w:t>
      </w:r>
      <w:r>
        <w:rPr>
          <w:sz w:val="24"/>
          <w:szCs w:val="24"/>
        </w:rPr>
        <w:t>蒸汽管道规划沿长宁路铺设至区块二，沿吉兴路铺设至化工园区，架空蒸汽管道按照</w:t>
      </w:r>
      <w:r>
        <w:rPr>
          <w:rFonts w:eastAsia="Times New Roman"/>
          <w:sz w:val="24"/>
          <w:szCs w:val="24"/>
        </w:rPr>
        <w:t>GB50484</w:t>
      </w:r>
      <w:r>
        <w:rPr>
          <w:sz w:val="24"/>
          <w:szCs w:val="24"/>
        </w:rPr>
        <w:t>等标准进行铺设。化工园区内部天然气管道采用直埋敷设，天然气管道管材为低合金钢管。化工园区内部供水管道和污水管道采用直埋敷设，供</w:t>
      </w:r>
      <w:bookmarkStart w:id="350" w:name="_bookmark25"/>
      <w:bookmarkEnd w:id="350"/>
      <w:r>
        <w:rPr>
          <w:sz w:val="24"/>
          <w:szCs w:val="24"/>
        </w:rPr>
        <w:t>水管道和污水管道管材为</w:t>
      </w:r>
      <w:r>
        <w:rPr>
          <w:rFonts w:eastAsia="Times New Roman"/>
          <w:sz w:val="24"/>
          <w:szCs w:val="24"/>
        </w:rPr>
        <w:t>PE</w:t>
      </w:r>
      <w:r>
        <w:rPr>
          <w:sz w:val="24"/>
          <w:szCs w:val="24"/>
        </w:rPr>
        <w:t>管。</w:t>
      </w:r>
    </w:p>
    <w:p w14:paraId="6B71AC64">
      <w:pPr>
        <w:spacing w:line="360" w:lineRule="auto"/>
        <w:ind w:firstLine="480" w:firstLineChars="200"/>
        <w:rPr>
          <w:sz w:val="24"/>
          <w:szCs w:val="24"/>
        </w:rPr>
      </w:pPr>
      <w:r>
        <w:rPr>
          <w:sz w:val="24"/>
          <w:szCs w:val="24"/>
        </w:rPr>
        <w:t>具体见附图1</w:t>
      </w:r>
      <w:r>
        <w:rPr>
          <w:rFonts w:hint="eastAsia"/>
          <w:sz w:val="24"/>
          <w:szCs w:val="24"/>
        </w:rPr>
        <w:t>6</w:t>
      </w:r>
      <w:r>
        <w:rPr>
          <w:sz w:val="24"/>
          <w:szCs w:val="24"/>
        </w:rPr>
        <w:t>.区块一公共管廊规划图（图号：</w:t>
      </w:r>
      <w:r>
        <w:rPr>
          <w:rFonts w:hint="eastAsia"/>
          <w:sz w:val="24"/>
          <w:szCs w:val="24"/>
        </w:rPr>
        <w:t>Z-28-16</w:t>
      </w:r>
      <w:r>
        <w:rPr>
          <w:sz w:val="24"/>
          <w:szCs w:val="24"/>
        </w:rPr>
        <w:t>）和附图</w:t>
      </w:r>
      <w:r>
        <w:rPr>
          <w:rFonts w:hint="eastAsia"/>
          <w:sz w:val="24"/>
          <w:szCs w:val="24"/>
        </w:rPr>
        <w:t>28</w:t>
      </w:r>
      <w:r>
        <w:rPr>
          <w:sz w:val="24"/>
          <w:szCs w:val="24"/>
        </w:rPr>
        <w:t>.区块二公共管廊规划图（图号：</w:t>
      </w:r>
      <w:r>
        <w:rPr>
          <w:rFonts w:hint="eastAsia"/>
          <w:sz w:val="24"/>
          <w:szCs w:val="24"/>
        </w:rPr>
        <w:t>Z-28-28</w:t>
      </w:r>
      <w:r>
        <w:rPr>
          <w:sz w:val="24"/>
          <w:szCs w:val="24"/>
        </w:rPr>
        <w:t>）。</w:t>
      </w:r>
    </w:p>
    <w:p w14:paraId="4F9133B5">
      <w:pPr>
        <w:pStyle w:val="47"/>
        <w:rPr>
          <w:rFonts w:hint="default" w:ascii="Times New Roman"/>
          <w:color w:val="auto"/>
        </w:rPr>
      </w:pPr>
      <w:r>
        <w:rPr>
          <w:rFonts w:ascii="Times New Roman"/>
          <w:color w:val="auto"/>
        </w:rPr>
        <w:drawing>
          <wp:inline distT="0" distB="0" distL="114300" distR="114300">
            <wp:extent cx="5272405" cy="3705225"/>
            <wp:effectExtent l="0" t="0" r="4445" b="9525"/>
            <wp:docPr id="78" name="图片 78" descr="1705367218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705367218258"/>
                    <pic:cNvPicPr>
                      <a:picLocks noChangeAspect="1"/>
                    </pic:cNvPicPr>
                  </pic:nvPicPr>
                  <pic:blipFill>
                    <a:blip r:embed="rId54"/>
                    <a:stretch>
                      <a:fillRect/>
                    </a:stretch>
                  </pic:blipFill>
                  <pic:spPr>
                    <a:xfrm>
                      <a:off x="0" y="0"/>
                      <a:ext cx="5272405" cy="3705225"/>
                    </a:xfrm>
                    <a:prstGeom prst="rect">
                      <a:avLst/>
                    </a:prstGeom>
                  </pic:spPr>
                </pic:pic>
              </a:graphicData>
            </a:graphic>
          </wp:inline>
        </w:drawing>
      </w:r>
      <w:r>
        <w:rPr>
          <w:rFonts w:ascii="Times New Roman"/>
          <w:color w:val="auto"/>
        </w:rPr>
        <w:drawing>
          <wp:inline distT="0" distB="0" distL="114300" distR="114300">
            <wp:extent cx="5267325" cy="3705225"/>
            <wp:effectExtent l="0" t="0" r="9525" b="9525"/>
            <wp:docPr id="79" name="图片 79" descr="170536723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705367233449"/>
                    <pic:cNvPicPr>
                      <a:picLocks noChangeAspect="1"/>
                    </pic:cNvPicPr>
                  </pic:nvPicPr>
                  <pic:blipFill>
                    <a:blip r:embed="rId55"/>
                    <a:stretch>
                      <a:fillRect/>
                    </a:stretch>
                  </pic:blipFill>
                  <pic:spPr>
                    <a:xfrm>
                      <a:off x="0" y="0"/>
                      <a:ext cx="5267325" cy="3705225"/>
                    </a:xfrm>
                    <a:prstGeom prst="rect">
                      <a:avLst/>
                    </a:prstGeom>
                  </pic:spPr>
                </pic:pic>
              </a:graphicData>
            </a:graphic>
          </wp:inline>
        </w:drawing>
      </w:r>
    </w:p>
    <w:p w14:paraId="578BCEBE">
      <w:pPr>
        <w:pStyle w:val="4"/>
        <w:spacing w:before="156" w:after="156"/>
        <w:rPr>
          <w:rFonts w:ascii="Times New Roman" w:hAnsi="Times New Roman"/>
          <w:sz w:val="24"/>
          <w:szCs w:val="24"/>
        </w:rPr>
      </w:pPr>
      <w:bookmarkStart w:id="351" w:name="_Toc1628666"/>
      <w:bookmarkStart w:id="352" w:name="_Toc19328"/>
      <w:r>
        <w:rPr>
          <w:rFonts w:ascii="Times New Roman" w:hAnsi="Times New Roman"/>
          <w:sz w:val="24"/>
          <w:szCs w:val="24"/>
        </w:rPr>
        <w:t xml:space="preserve">10.9 </w:t>
      </w:r>
      <w:r>
        <w:rPr>
          <w:rFonts w:ascii="Times New Roman" w:hAnsi="Times New Roman" w:eastAsiaTheme="minorEastAsia"/>
          <w:sz w:val="24"/>
          <w:szCs w:val="24"/>
        </w:rPr>
        <w:t>综合防灾</w:t>
      </w:r>
      <w:r>
        <w:rPr>
          <w:rFonts w:ascii="Times New Roman" w:hAnsi="Times New Roman"/>
          <w:sz w:val="24"/>
          <w:szCs w:val="24"/>
        </w:rPr>
        <w:t>减灾工程规划</w:t>
      </w:r>
      <w:bookmarkEnd w:id="351"/>
      <w:bookmarkEnd w:id="352"/>
    </w:p>
    <w:p w14:paraId="7CFC30D2">
      <w:pPr>
        <w:spacing w:before="156" w:after="156"/>
        <w:rPr>
          <w:rFonts w:eastAsiaTheme="minorEastAsia"/>
          <w:b/>
          <w:sz w:val="24"/>
          <w:szCs w:val="24"/>
        </w:rPr>
      </w:pPr>
      <w:r>
        <w:rPr>
          <w:rFonts w:eastAsiaTheme="minorEastAsia"/>
          <w:b/>
          <w:sz w:val="24"/>
          <w:szCs w:val="24"/>
        </w:rPr>
        <w:t>10.9.1综合防灾体系组成</w:t>
      </w:r>
    </w:p>
    <w:p w14:paraId="68E521BE">
      <w:pPr>
        <w:spacing w:line="360" w:lineRule="auto"/>
        <w:rPr>
          <w:sz w:val="24"/>
          <w:szCs w:val="24"/>
        </w:rPr>
      </w:pPr>
      <w:r>
        <w:rPr>
          <w:sz w:val="24"/>
          <w:szCs w:val="24"/>
        </w:rPr>
        <w:t>（1）消防工程：主要包括消防站、消防给水管网和消火栓的布局等；</w:t>
      </w:r>
    </w:p>
    <w:p w14:paraId="4937BE1B">
      <w:pPr>
        <w:spacing w:line="360" w:lineRule="auto"/>
        <w:rPr>
          <w:sz w:val="24"/>
          <w:szCs w:val="24"/>
        </w:rPr>
      </w:pPr>
      <w:r>
        <w:rPr>
          <w:sz w:val="24"/>
          <w:szCs w:val="24"/>
        </w:rPr>
        <w:t>（2）防洪工程：主要是区内水系的防洪堤设置并提出防洪标准；</w:t>
      </w:r>
    </w:p>
    <w:p w14:paraId="4C2DF72B">
      <w:pPr>
        <w:spacing w:line="360" w:lineRule="auto"/>
        <w:rPr>
          <w:sz w:val="24"/>
          <w:szCs w:val="24"/>
        </w:rPr>
      </w:pPr>
      <w:r>
        <w:rPr>
          <w:sz w:val="24"/>
          <w:szCs w:val="24"/>
        </w:rPr>
        <w:t>（3）抗震工程：布置抗震避灾疏散场地和道路以及主要建构筑物的抗震级别要求；</w:t>
      </w:r>
    </w:p>
    <w:p w14:paraId="7B154790">
      <w:pPr>
        <w:spacing w:line="360" w:lineRule="auto"/>
        <w:rPr>
          <w:sz w:val="24"/>
          <w:szCs w:val="24"/>
        </w:rPr>
      </w:pPr>
      <w:r>
        <w:rPr>
          <w:sz w:val="24"/>
          <w:szCs w:val="24"/>
        </w:rPr>
        <w:t>（4）人防工程：主要布置战时留城人员的地下隐蔽工程和疏散人员的集合地以及疏散路线；</w:t>
      </w:r>
    </w:p>
    <w:p w14:paraId="695C784F">
      <w:pPr>
        <w:spacing w:line="360" w:lineRule="auto"/>
        <w:rPr>
          <w:sz w:val="24"/>
          <w:szCs w:val="24"/>
        </w:rPr>
      </w:pPr>
      <w:r>
        <w:rPr>
          <w:sz w:val="24"/>
          <w:szCs w:val="24"/>
        </w:rPr>
        <w:t>（5）救灾生命线：划定疏散通道以及给水、供电、通讯等设施的防护措施。</w:t>
      </w:r>
    </w:p>
    <w:p w14:paraId="6C19880F">
      <w:pPr>
        <w:pStyle w:val="5"/>
        <w:spacing w:before="156" w:after="156"/>
        <w:rPr>
          <w:rFonts w:eastAsiaTheme="minorEastAsia"/>
          <w:sz w:val="24"/>
          <w:szCs w:val="24"/>
        </w:rPr>
      </w:pPr>
      <w:bookmarkStart w:id="353" w:name="_Toc349141434"/>
      <w:bookmarkStart w:id="354" w:name="_Toc229716765"/>
      <w:bookmarkStart w:id="355" w:name="_Toc230777374"/>
      <w:bookmarkStart w:id="356" w:name="_Toc229796158"/>
      <w:r>
        <w:rPr>
          <w:rFonts w:eastAsiaTheme="minorEastAsia"/>
          <w:sz w:val="24"/>
          <w:szCs w:val="24"/>
        </w:rPr>
        <w:t>10.9.2公共安全</w:t>
      </w:r>
      <w:bookmarkEnd w:id="353"/>
      <w:bookmarkEnd w:id="354"/>
      <w:bookmarkEnd w:id="355"/>
      <w:bookmarkEnd w:id="356"/>
    </w:p>
    <w:p w14:paraId="14613042">
      <w:pPr>
        <w:spacing w:line="360" w:lineRule="auto"/>
        <w:jc w:val="left"/>
        <w:rPr>
          <w:sz w:val="24"/>
          <w:szCs w:val="24"/>
        </w:rPr>
      </w:pPr>
      <w:r>
        <w:rPr>
          <w:sz w:val="24"/>
          <w:szCs w:val="24"/>
        </w:rPr>
        <w:t>1、规划目标</w:t>
      </w:r>
    </w:p>
    <w:p w14:paraId="0D46230E">
      <w:pPr>
        <w:spacing w:line="360" w:lineRule="auto"/>
        <w:ind w:firstLine="560"/>
        <w:rPr>
          <w:sz w:val="24"/>
          <w:szCs w:val="24"/>
        </w:rPr>
      </w:pPr>
      <w:r>
        <w:rPr>
          <w:sz w:val="24"/>
          <w:szCs w:val="24"/>
        </w:rPr>
        <w:t>建立完善的公共安全保障体系和综合应急救援体系，建立化工园区综合安全防灾指挥机构，逐步实现与淮南经济技术开发区的公共安全应急联动。</w:t>
      </w:r>
    </w:p>
    <w:p w14:paraId="24232F49">
      <w:pPr>
        <w:spacing w:line="360" w:lineRule="auto"/>
        <w:rPr>
          <w:sz w:val="24"/>
          <w:szCs w:val="24"/>
        </w:rPr>
      </w:pPr>
      <w:r>
        <w:rPr>
          <w:sz w:val="24"/>
          <w:szCs w:val="24"/>
        </w:rPr>
        <w:t>2、规划措施</w:t>
      </w:r>
    </w:p>
    <w:p w14:paraId="51E868B7">
      <w:pPr>
        <w:spacing w:line="360" w:lineRule="auto"/>
        <w:ind w:firstLine="560"/>
        <w:rPr>
          <w:sz w:val="24"/>
          <w:szCs w:val="24"/>
        </w:rPr>
      </w:pPr>
      <w:r>
        <w:rPr>
          <w:sz w:val="24"/>
          <w:szCs w:val="24"/>
        </w:rPr>
        <w:t>①根据化工园区功能分区和路网系统确定安全防灾单元，各单元之间以城市主干路及绿化带分隔。</w:t>
      </w:r>
    </w:p>
    <w:p w14:paraId="6AB5497B">
      <w:pPr>
        <w:spacing w:line="360" w:lineRule="auto"/>
        <w:ind w:firstLine="560"/>
        <w:rPr>
          <w:sz w:val="24"/>
          <w:szCs w:val="24"/>
        </w:rPr>
      </w:pPr>
      <w:r>
        <w:rPr>
          <w:sz w:val="24"/>
          <w:szCs w:val="24"/>
        </w:rPr>
        <w:t>②安全疏散道路系统应由疏散干道和疏散次干道组成。每个安全防灾分区在各个方向上应至少保证两条安全疏散通道。</w:t>
      </w:r>
    </w:p>
    <w:p w14:paraId="349666C5">
      <w:pPr>
        <w:spacing w:line="360" w:lineRule="auto"/>
        <w:ind w:firstLine="560"/>
        <w:rPr>
          <w:sz w:val="24"/>
          <w:szCs w:val="24"/>
        </w:rPr>
      </w:pPr>
      <w:r>
        <w:rPr>
          <w:sz w:val="24"/>
          <w:szCs w:val="24"/>
        </w:rPr>
        <w:t>③布局足够的疏散避难空间。利用安全防灾分区内的绿地、停车场和街头广场作为避难人口的疏散场地。防灾疏散场地应设立明确的标志，面积在2公顷以上的防灾疏散场地应设置给水、排水及供电等市政公用设施。</w:t>
      </w:r>
    </w:p>
    <w:p w14:paraId="032F99CA">
      <w:pPr>
        <w:spacing w:line="360" w:lineRule="auto"/>
        <w:ind w:firstLine="560"/>
        <w:rPr>
          <w:sz w:val="24"/>
          <w:szCs w:val="24"/>
        </w:rPr>
      </w:pPr>
      <w:r>
        <w:rPr>
          <w:sz w:val="24"/>
          <w:szCs w:val="24"/>
        </w:rPr>
        <w:t>④结合淮南经济技术开发区专项规划，按层次和分区配备医疗救护工程、专业队工程和物资储备设施等。</w:t>
      </w:r>
    </w:p>
    <w:p w14:paraId="32CCB947">
      <w:pPr>
        <w:spacing w:line="360" w:lineRule="auto"/>
        <w:ind w:firstLine="560"/>
        <w:rPr>
          <w:sz w:val="24"/>
          <w:szCs w:val="24"/>
        </w:rPr>
      </w:pPr>
      <w:r>
        <w:rPr>
          <w:sz w:val="24"/>
          <w:szCs w:val="24"/>
        </w:rPr>
        <w:t>⑤城市生命线工程包括交通、通信、供电、供水、供气、医疗、卫生及消防等主要系统，重要设施明确纳入城市公共安全体系，充分满足城市防灾和减灾的需要，切实保障城市安全。</w:t>
      </w:r>
    </w:p>
    <w:p w14:paraId="70E632F2">
      <w:pPr>
        <w:pStyle w:val="5"/>
        <w:spacing w:before="156" w:after="156"/>
        <w:rPr>
          <w:rFonts w:eastAsiaTheme="minorEastAsia"/>
          <w:sz w:val="24"/>
          <w:szCs w:val="24"/>
        </w:rPr>
      </w:pPr>
      <w:r>
        <w:rPr>
          <w:rFonts w:eastAsiaTheme="minorEastAsia"/>
          <w:sz w:val="24"/>
          <w:szCs w:val="24"/>
        </w:rPr>
        <w:t>10.9.3消防工程</w:t>
      </w:r>
    </w:p>
    <w:p w14:paraId="43A4522B">
      <w:pPr>
        <w:widowControl/>
        <w:spacing w:line="360" w:lineRule="auto"/>
        <w:ind w:firstLine="560"/>
        <w:rPr>
          <w:sz w:val="24"/>
          <w:szCs w:val="24"/>
        </w:rPr>
      </w:pPr>
      <w:r>
        <w:rPr>
          <w:sz w:val="24"/>
          <w:szCs w:val="24"/>
        </w:rPr>
        <w:t>(1)规划目标</w:t>
      </w:r>
    </w:p>
    <w:p w14:paraId="340780EE">
      <w:pPr>
        <w:widowControl/>
        <w:spacing w:line="360" w:lineRule="auto"/>
        <w:ind w:firstLine="560"/>
        <w:rPr>
          <w:sz w:val="24"/>
          <w:szCs w:val="24"/>
        </w:rPr>
      </w:pPr>
      <w:r>
        <w:rPr>
          <w:sz w:val="24"/>
          <w:szCs w:val="24"/>
        </w:rPr>
        <w:t>充分贯彻“安全第一，预防为主”和“生产必须安全，安全为了生产”的思想，对生产中的易燃、易爆装置和物品设置防范措施，在监控中心建立消防信息平台，并实施有效的控制，以减少和防止火灾事故的发生。</w:t>
      </w:r>
    </w:p>
    <w:p w14:paraId="5D78C28C">
      <w:pPr>
        <w:widowControl/>
        <w:spacing w:line="360" w:lineRule="auto"/>
        <w:ind w:firstLine="560"/>
        <w:rPr>
          <w:sz w:val="24"/>
          <w:szCs w:val="24"/>
        </w:rPr>
      </w:pPr>
      <w:r>
        <w:rPr>
          <w:sz w:val="24"/>
          <w:szCs w:val="24"/>
        </w:rPr>
        <w:t>(2)消防水源</w:t>
      </w:r>
    </w:p>
    <w:p w14:paraId="6C994F13">
      <w:pPr>
        <w:widowControl/>
        <w:spacing w:line="360" w:lineRule="auto"/>
        <w:ind w:firstLine="560"/>
        <w:rPr>
          <w:sz w:val="24"/>
          <w:szCs w:val="24"/>
        </w:rPr>
      </w:pPr>
      <w:r>
        <w:rPr>
          <w:sz w:val="24"/>
          <w:szCs w:val="24"/>
        </w:rPr>
        <w:t>消防水源主要由市政消火栓供给。江河、湖泊等天然水源尚未利用于消防用水。主干道上供水管基本上采用环网供水，主次干道上均设置足够的消火栓。</w:t>
      </w:r>
    </w:p>
    <w:p w14:paraId="31FA9739">
      <w:pPr>
        <w:widowControl/>
        <w:spacing w:line="360" w:lineRule="auto"/>
        <w:ind w:firstLine="560"/>
        <w:rPr>
          <w:sz w:val="24"/>
          <w:szCs w:val="24"/>
        </w:rPr>
      </w:pPr>
      <w:r>
        <w:rPr>
          <w:sz w:val="24"/>
          <w:szCs w:val="24"/>
        </w:rPr>
        <w:t>(3)消防措施</w:t>
      </w:r>
    </w:p>
    <w:p w14:paraId="28C52D81">
      <w:pPr>
        <w:widowControl/>
        <w:spacing w:line="360" w:lineRule="auto"/>
        <w:ind w:firstLine="560"/>
        <w:rPr>
          <w:sz w:val="24"/>
          <w:szCs w:val="24"/>
        </w:rPr>
      </w:pPr>
      <w:r>
        <w:rPr>
          <w:sz w:val="24"/>
          <w:szCs w:val="24"/>
        </w:rPr>
        <w:t>在化工园区建立一个高效实用、安全可靠的消防体系和先进的消防通信网络，做到安全生产、经济合理、方便适用。沿道路在消防水管网上设置消火栓，间距不大于120米。并根据各企业设置其它化学和气体等灭火措施。在消防救援、管理模式上与国际接轨，预防和减少火灾危险。</w:t>
      </w:r>
    </w:p>
    <w:p w14:paraId="6178BE6E">
      <w:pPr>
        <w:widowControl/>
        <w:spacing w:line="360" w:lineRule="auto"/>
        <w:ind w:firstLine="560"/>
        <w:rPr>
          <w:sz w:val="24"/>
          <w:szCs w:val="24"/>
        </w:rPr>
      </w:pPr>
      <w:r>
        <w:rPr>
          <w:sz w:val="24"/>
          <w:szCs w:val="24"/>
        </w:rPr>
        <w:t>(4)消防体系</w:t>
      </w:r>
    </w:p>
    <w:p w14:paraId="1DAD8457">
      <w:pPr>
        <w:widowControl/>
        <w:spacing w:line="360" w:lineRule="auto"/>
        <w:ind w:firstLine="560"/>
        <w:rPr>
          <w:sz w:val="24"/>
          <w:szCs w:val="24"/>
        </w:rPr>
      </w:pPr>
      <w:r>
        <w:rPr>
          <w:sz w:val="24"/>
          <w:szCs w:val="24"/>
        </w:rPr>
        <w:t>化工园区消防体系为两级管理，即化工园区专职公安消防队和企业兼职消防队，前者负责化工园区内公用设施消防、区内企业火灾联防，后者负责企业内部火灾预防和火灾消防。</w:t>
      </w:r>
    </w:p>
    <w:p w14:paraId="5D1B725F">
      <w:pPr>
        <w:widowControl/>
        <w:spacing w:line="360" w:lineRule="auto"/>
        <w:ind w:firstLine="560"/>
        <w:rPr>
          <w:sz w:val="24"/>
          <w:szCs w:val="24"/>
        </w:rPr>
      </w:pPr>
      <w:r>
        <w:rPr>
          <w:sz w:val="24"/>
          <w:szCs w:val="24"/>
        </w:rPr>
        <w:t>(5)消防站</w:t>
      </w:r>
    </w:p>
    <w:p w14:paraId="3990F771">
      <w:pPr>
        <w:widowControl/>
        <w:spacing w:line="360" w:lineRule="auto"/>
        <w:ind w:firstLine="560"/>
        <w:rPr>
          <w:sz w:val="24"/>
          <w:szCs w:val="24"/>
        </w:rPr>
      </w:pPr>
      <w:r>
        <w:rPr>
          <w:sz w:val="24"/>
          <w:szCs w:val="24"/>
        </w:rPr>
        <w:t>消防站布局原则应以消防队接警起5分钟内到达责任区边沿为原则，设置在交通方便的位置，距人员密集的公共场所不小于50米；距储存易燃、易爆危险物品的建筑、装置、油罐区等处不得小于200米。</w:t>
      </w:r>
    </w:p>
    <w:p w14:paraId="673E6B33">
      <w:pPr>
        <w:widowControl/>
        <w:spacing w:line="360" w:lineRule="auto"/>
        <w:ind w:firstLine="560"/>
        <w:rPr>
          <w:sz w:val="24"/>
          <w:szCs w:val="24"/>
        </w:rPr>
      </w:pPr>
      <w:r>
        <w:rPr>
          <w:sz w:val="24"/>
          <w:szCs w:val="24"/>
        </w:rPr>
        <w:t>依托淮南经济技术开发区总体规划布局，规划在朝阳路以北、吉兴路以东设有一座消防站，担负起化工园区的消防任务。化工园区内入驻企业依据建设项目需要在内部设置必要的水消防、泡沫消防等消防设施，大火灾联防将按相应入区的有关</w:t>
      </w:r>
      <w:r>
        <w:rPr>
          <w:rFonts w:hint="eastAsia"/>
          <w:sz w:val="24"/>
          <w:szCs w:val="24"/>
          <w:lang w:eastAsia="zh-CN"/>
        </w:rPr>
        <w:t>规</w:t>
      </w:r>
      <w:r>
        <w:rPr>
          <w:sz w:val="24"/>
          <w:szCs w:val="24"/>
        </w:rPr>
        <w:t>定出资或约定，依托化工园区管理办公室协调管理的消防站进行。</w:t>
      </w:r>
    </w:p>
    <w:p w14:paraId="47D1058F">
      <w:pPr>
        <w:pStyle w:val="5"/>
        <w:spacing w:before="156" w:after="156"/>
        <w:rPr>
          <w:rFonts w:eastAsiaTheme="minorEastAsia"/>
          <w:sz w:val="24"/>
          <w:szCs w:val="24"/>
        </w:rPr>
      </w:pPr>
      <w:r>
        <w:rPr>
          <w:rFonts w:eastAsiaTheme="minorEastAsia"/>
          <w:sz w:val="24"/>
          <w:szCs w:val="24"/>
        </w:rPr>
        <w:t>10.9.4抗震工程</w:t>
      </w:r>
    </w:p>
    <w:p w14:paraId="26AA7AC3">
      <w:pPr>
        <w:spacing w:line="360" w:lineRule="auto"/>
        <w:ind w:firstLine="480" w:firstLineChars="200"/>
        <w:outlineLvl w:val="2"/>
        <w:rPr>
          <w:sz w:val="24"/>
          <w:szCs w:val="24"/>
        </w:rPr>
      </w:pPr>
      <w:r>
        <w:rPr>
          <w:sz w:val="24"/>
          <w:szCs w:val="24"/>
        </w:rPr>
        <w:t>抗震规划坚持“预防为主、平震结合、常备不懈”的原则，加强对地震灾害的预防、抗御和救灾工作，最大限度地减少地震损失。</w:t>
      </w:r>
    </w:p>
    <w:p w14:paraId="3446C3BD">
      <w:pPr>
        <w:spacing w:line="360" w:lineRule="auto"/>
        <w:ind w:firstLine="480" w:firstLineChars="200"/>
        <w:outlineLvl w:val="2"/>
        <w:rPr>
          <w:sz w:val="24"/>
          <w:szCs w:val="24"/>
        </w:rPr>
      </w:pPr>
      <w:r>
        <w:rPr>
          <w:sz w:val="24"/>
          <w:szCs w:val="24"/>
        </w:rPr>
        <w:t>由于本化工园区为医药化工园区，生产过程所所需要的原材料和产品，大多数为易燃易爆、有毒品，若有地震灾害发生，其产生的次生灾害可能对环境造成重大影响，因此，按国家有关规定需进行专项的抗震规划。</w:t>
      </w:r>
    </w:p>
    <w:p w14:paraId="4281170B">
      <w:pPr>
        <w:spacing w:line="360" w:lineRule="auto"/>
        <w:ind w:firstLine="480" w:firstLineChars="200"/>
        <w:outlineLvl w:val="2"/>
        <w:rPr>
          <w:sz w:val="24"/>
          <w:szCs w:val="24"/>
        </w:rPr>
      </w:pPr>
      <w:r>
        <w:rPr>
          <w:sz w:val="24"/>
          <w:szCs w:val="24"/>
        </w:rPr>
        <w:t>根据国家颁布的《中国地震动参数区划图》（GB18306-2015），化工园区所在地区的地震动峰值加速度为0.05，对应地震基本烈度值为7度。因此，在规划区域内的一般性建构筑物其抗震按7度设防，个别可能产生次生灾害的重要建构筑物或装置应依据相关建筑规范提高设防标准。具体建筑抗震设计按《建筑抗震设计规范》（GB50011-2010）进行。化工园区入驻企业在建设前应做详勘，并按照《建筑抗震设计规范》要求进行设防。</w:t>
      </w:r>
    </w:p>
    <w:p w14:paraId="49E38B3C">
      <w:pPr>
        <w:pStyle w:val="5"/>
        <w:spacing w:before="156" w:after="156"/>
        <w:rPr>
          <w:rFonts w:eastAsiaTheme="minorEastAsia"/>
          <w:sz w:val="24"/>
          <w:szCs w:val="24"/>
        </w:rPr>
      </w:pPr>
      <w:r>
        <w:rPr>
          <w:rFonts w:eastAsiaTheme="minorEastAsia"/>
          <w:sz w:val="24"/>
          <w:szCs w:val="24"/>
        </w:rPr>
        <w:t>10.9.5防洪排涝工程</w:t>
      </w:r>
    </w:p>
    <w:p w14:paraId="6C70A6A8">
      <w:pPr>
        <w:spacing w:line="360" w:lineRule="auto"/>
        <w:ind w:firstLine="560"/>
        <w:rPr>
          <w:sz w:val="24"/>
          <w:szCs w:val="24"/>
        </w:rPr>
      </w:pPr>
      <w:r>
        <w:rPr>
          <w:sz w:val="24"/>
          <w:szCs w:val="24"/>
        </w:rPr>
        <w:t>1、规划目标</w:t>
      </w:r>
    </w:p>
    <w:p w14:paraId="421179C2">
      <w:pPr>
        <w:widowControl/>
        <w:spacing w:line="360" w:lineRule="auto"/>
        <w:ind w:firstLine="560"/>
        <w:rPr>
          <w:sz w:val="24"/>
          <w:szCs w:val="24"/>
        </w:rPr>
      </w:pPr>
      <w:r>
        <w:rPr>
          <w:sz w:val="24"/>
          <w:szCs w:val="24"/>
        </w:rPr>
        <w:t>规划期末建成与经济、社会、环境相协调并与城市发展相适应的现代防洪排涝体系，提高洪水调控和安全保障能力。主要防洪工程实施后，能显著提高城区防洪能力，确保规划范围内在设计洪水位以下不出险，做到挡得住，排得出，遇到超标洪水有对策。</w:t>
      </w:r>
    </w:p>
    <w:p w14:paraId="5EADF0CC">
      <w:pPr>
        <w:spacing w:line="360" w:lineRule="auto"/>
        <w:ind w:firstLine="560"/>
        <w:rPr>
          <w:sz w:val="24"/>
          <w:szCs w:val="24"/>
        </w:rPr>
      </w:pPr>
      <w:r>
        <w:rPr>
          <w:sz w:val="24"/>
          <w:szCs w:val="24"/>
        </w:rPr>
        <w:t>2、防洪工程规划</w:t>
      </w:r>
    </w:p>
    <w:p w14:paraId="1D87F5BD">
      <w:pPr>
        <w:spacing w:line="360" w:lineRule="auto"/>
        <w:ind w:firstLine="480" w:firstLineChars="200"/>
        <w:rPr>
          <w:sz w:val="24"/>
          <w:szCs w:val="24"/>
        </w:rPr>
      </w:pPr>
      <w:r>
        <w:rPr>
          <w:sz w:val="24"/>
          <w:szCs w:val="24"/>
        </w:rPr>
        <w:t>①防洪标准：本化工园区建设项目涉及许多易燃、易爆、有毒有害的物料，根据《防洪标准》GB50201-2014，并参照国内化工园区的通用防洪建设标准，化工园区防洪标准近期为20年一遇，远期为50年一遇。</w:t>
      </w:r>
    </w:p>
    <w:p w14:paraId="240AC274">
      <w:pPr>
        <w:spacing w:line="360" w:lineRule="auto"/>
        <w:ind w:firstLine="480" w:firstLineChars="200"/>
        <w:rPr>
          <w:sz w:val="24"/>
          <w:szCs w:val="24"/>
        </w:rPr>
      </w:pPr>
      <w:r>
        <w:rPr>
          <w:sz w:val="24"/>
          <w:szCs w:val="24"/>
        </w:rPr>
        <w:t>淮河淮南段历史最高洪水水位为24.01m，区块一地面标高在25-28.9m，区块二地面标高在24.2-26m。</w:t>
      </w:r>
    </w:p>
    <w:p w14:paraId="254A03F9">
      <w:pPr>
        <w:spacing w:line="360" w:lineRule="auto"/>
        <w:ind w:firstLine="560"/>
        <w:rPr>
          <w:sz w:val="24"/>
          <w:szCs w:val="24"/>
        </w:rPr>
      </w:pPr>
      <w:r>
        <w:rPr>
          <w:sz w:val="24"/>
          <w:szCs w:val="24"/>
        </w:rPr>
        <w:t>②防洪堤建设：加强洪沟、五道沟等河道两侧的防洪堤建设。</w:t>
      </w:r>
    </w:p>
    <w:p w14:paraId="27761B3A">
      <w:pPr>
        <w:spacing w:line="360" w:lineRule="auto"/>
        <w:ind w:firstLine="560"/>
        <w:rPr>
          <w:sz w:val="24"/>
          <w:szCs w:val="24"/>
        </w:rPr>
      </w:pPr>
      <w:r>
        <w:rPr>
          <w:sz w:val="24"/>
          <w:szCs w:val="24"/>
        </w:rPr>
        <w:t>3、排涝工程规划</w:t>
      </w:r>
    </w:p>
    <w:p w14:paraId="7B925E36">
      <w:pPr>
        <w:spacing w:line="360" w:lineRule="auto"/>
        <w:ind w:firstLine="480" w:firstLineChars="200"/>
        <w:rPr>
          <w:sz w:val="24"/>
          <w:szCs w:val="24"/>
        </w:rPr>
      </w:pPr>
      <w:r>
        <w:rPr>
          <w:sz w:val="24"/>
          <w:szCs w:val="24"/>
        </w:rPr>
        <w:t>①排涝标准：排涝标准为20年一遇，24小时暴雨24小时排出。</w:t>
      </w:r>
    </w:p>
    <w:p w14:paraId="628C1D93">
      <w:pPr>
        <w:spacing w:line="360" w:lineRule="auto"/>
        <w:ind w:firstLine="554" w:firstLineChars="231"/>
        <w:rPr>
          <w:sz w:val="24"/>
          <w:szCs w:val="24"/>
        </w:rPr>
      </w:pPr>
      <w:r>
        <w:rPr>
          <w:sz w:val="24"/>
          <w:szCs w:val="24"/>
        </w:rPr>
        <w:t>②排涝泵站建设：化工园区河流岸边，设排涝泵站。根据暴雨特征、地形特征和水体蓄洪能力确定排涝泵站的规模。</w:t>
      </w:r>
    </w:p>
    <w:p w14:paraId="747F60E6">
      <w:pPr>
        <w:spacing w:line="360" w:lineRule="auto"/>
        <w:ind w:firstLine="560"/>
        <w:rPr>
          <w:sz w:val="24"/>
          <w:szCs w:val="24"/>
        </w:rPr>
      </w:pPr>
      <w:r>
        <w:rPr>
          <w:sz w:val="24"/>
          <w:szCs w:val="24"/>
        </w:rPr>
        <w:t>4、防洪排涝措施</w:t>
      </w:r>
    </w:p>
    <w:p w14:paraId="6F36F57C">
      <w:pPr>
        <w:spacing w:line="360" w:lineRule="auto"/>
        <w:ind w:firstLine="480" w:firstLineChars="200"/>
        <w:rPr>
          <w:sz w:val="24"/>
          <w:szCs w:val="24"/>
        </w:rPr>
      </w:pPr>
      <w:r>
        <w:rPr>
          <w:sz w:val="24"/>
          <w:szCs w:val="24"/>
        </w:rPr>
        <w:t>采用工程措施与非工程措施相结合的方法。洪水的出现有极大的随机性，同时建设防洪系统受到经济技术条件的制约，防洪能达到的标准有一定的限度。因而，不可能单独依靠工程措施来控制洪水灾害，只有与非工程措施结合使用，才能有效地提高防御洪水的能力。</w:t>
      </w:r>
    </w:p>
    <w:p w14:paraId="49A71092">
      <w:pPr>
        <w:pStyle w:val="5"/>
        <w:spacing w:before="156" w:after="156"/>
        <w:rPr>
          <w:rFonts w:eastAsiaTheme="minorEastAsia"/>
          <w:sz w:val="24"/>
          <w:szCs w:val="24"/>
        </w:rPr>
      </w:pPr>
      <w:r>
        <w:rPr>
          <w:rFonts w:eastAsiaTheme="minorEastAsia"/>
          <w:sz w:val="24"/>
          <w:szCs w:val="24"/>
        </w:rPr>
        <w:t>10.9.6人防工程规划</w:t>
      </w:r>
    </w:p>
    <w:p w14:paraId="0FA8124D">
      <w:pPr>
        <w:spacing w:line="360" w:lineRule="auto"/>
        <w:ind w:firstLine="480" w:firstLineChars="200"/>
        <w:rPr>
          <w:sz w:val="24"/>
          <w:szCs w:val="24"/>
        </w:rPr>
      </w:pPr>
      <w:r>
        <w:rPr>
          <w:sz w:val="24"/>
          <w:szCs w:val="24"/>
        </w:rPr>
        <w:t>化工园区内的人防工程，应根据当地人防办的要求相应建设人防设施，对于容易积聚密度比空气重的可燃和有毒气体的地段，不宜设置地下人防工程。该规划可依托淮南经济技术开发区总体规划进行，结合工业化工园区的开发，充分利用绿地、广场、大型基础设施和地下过街通道建设一批人防骨干工程。人防建设要与城市建设相结合，规划应走上正规化、程序化、制度化的轨道，人防工程项目一经确定，应严格执行，不得随意更改。</w:t>
      </w:r>
    </w:p>
    <w:p w14:paraId="0CA777D0">
      <w:pPr>
        <w:pStyle w:val="5"/>
        <w:spacing w:before="156" w:after="156"/>
        <w:rPr>
          <w:rFonts w:eastAsiaTheme="minorEastAsia"/>
          <w:sz w:val="24"/>
          <w:szCs w:val="24"/>
        </w:rPr>
      </w:pPr>
      <w:r>
        <w:rPr>
          <w:rFonts w:eastAsiaTheme="minorEastAsia"/>
          <w:sz w:val="24"/>
          <w:szCs w:val="24"/>
        </w:rPr>
        <w:t>10.9.7气体防护规划</w:t>
      </w:r>
    </w:p>
    <w:p w14:paraId="58DDBB66">
      <w:pPr>
        <w:spacing w:line="360" w:lineRule="auto"/>
        <w:ind w:firstLine="480" w:firstLineChars="200"/>
        <w:rPr>
          <w:sz w:val="24"/>
          <w:szCs w:val="24"/>
        </w:rPr>
      </w:pPr>
      <w:r>
        <w:rPr>
          <w:sz w:val="24"/>
          <w:szCs w:val="24"/>
        </w:rPr>
        <w:t>区块一依托德邦化工的气防站，其主要设施有分析仪器(包括有毒可燃检测仪、测爆仪、测氧仪)共5台、抢修及堵漏工具一套、气防车一辆、防毒面具30套、长管2根、空气呼吸器6套、防护服4套、应急照明2套、防化靴4双、担架1个、防护眼镜10付、安全带10付、应急药箱2个、锨镐50把、消防水带4条等。目前，德邦化工气防站能满足德邦化工需求。</w:t>
      </w:r>
    </w:p>
    <w:p w14:paraId="5E9A0899">
      <w:pPr>
        <w:spacing w:line="360" w:lineRule="auto"/>
        <w:ind w:firstLine="480" w:firstLineChars="200"/>
        <w:rPr>
          <w:sz w:val="24"/>
          <w:szCs w:val="24"/>
        </w:rPr>
      </w:pPr>
      <w:r>
        <w:rPr>
          <w:sz w:val="24"/>
          <w:szCs w:val="24"/>
        </w:rPr>
        <w:t>区块二未规划气防站，依托国瑞药业设置的小型气防站，配备有便捷式可燃气体报警仪，抢修及堵漏工具一套、消防服8套、防化服4套、耐酸碱胶鞋5双、急救箱1套、防爆手电筒6个、防护眼罩5个、防毒面具11具、消防斧1个、担架1个、正压式空气呼吸器2套。</w:t>
      </w:r>
    </w:p>
    <w:p w14:paraId="1BAD7E98">
      <w:pPr>
        <w:spacing w:line="360" w:lineRule="auto"/>
        <w:ind w:firstLine="480" w:firstLineChars="200"/>
      </w:pPr>
      <w:r>
        <w:rPr>
          <w:sz w:val="24"/>
          <w:szCs w:val="24"/>
        </w:rPr>
        <w:t>为了贯彻执行有关法律法规，落实“以人为本、预防为主、防治结合”的方针，防止和减少有毒有害气体危害，保障人身安全，按照现行有关国家标准规范的相关规定应在化工园区设立气防站。气防站按照国家能源局发布的《气体防护站设计规范》SY/T 6772-2009的相关规定设置。《气体防护站设计规范》（SY/T 6772-2009）规定：使用、产生急性毒性为极度危害、高度危害的有毒气体或形成有毒气体重大危险源的大、中型企业应设置气防站；小型企业应设置气体防护点。按照《职业性接触毒物危害程度分级》（GBZ 230-2010）和《危险化学品重大危险源辨识》（GB 18218-2009）相关规定，化工园区内拟入驻可能存在有毒气体或形成重大危险源有毒气体有氨气和氢气等，需规划在消防站设置气防站。、</w:t>
      </w:r>
    </w:p>
    <w:p w14:paraId="2D1059D7">
      <w:pPr>
        <w:pStyle w:val="5"/>
        <w:spacing w:before="156" w:after="156"/>
        <w:rPr>
          <w:rFonts w:eastAsiaTheme="minorEastAsia"/>
          <w:sz w:val="24"/>
          <w:szCs w:val="24"/>
        </w:rPr>
      </w:pPr>
      <w:r>
        <w:rPr>
          <w:rFonts w:eastAsiaTheme="minorEastAsia"/>
          <w:sz w:val="24"/>
          <w:szCs w:val="24"/>
        </w:rPr>
        <w:t>10.9.8应急救援规划</w:t>
      </w:r>
    </w:p>
    <w:p w14:paraId="2E42D9D2">
      <w:pPr>
        <w:spacing w:line="360" w:lineRule="auto"/>
        <w:ind w:firstLine="480" w:firstLineChars="200"/>
        <w:rPr>
          <w:sz w:val="24"/>
          <w:szCs w:val="24"/>
        </w:rPr>
      </w:pPr>
      <w:r>
        <w:rPr>
          <w:sz w:val="24"/>
          <w:szCs w:val="24"/>
        </w:rPr>
        <w:t>(1)规划目的</w:t>
      </w:r>
    </w:p>
    <w:p w14:paraId="739C377A">
      <w:pPr>
        <w:spacing w:line="360" w:lineRule="auto"/>
        <w:ind w:firstLine="480" w:firstLineChars="200"/>
        <w:rPr>
          <w:sz w:val="24"/>
          <w:szCs w:val="24"/>
        </w:rPr>
      </w:pPr>
      <w:r>
        <w:rPr>
          <w:sz w:val="24"/>
          <w:szCs w:val="24"/>
        </w:rPr>
        <w:t>为提高当化工园区保障公共安全和处置突发公共事件能力，最大限度地预防突发公共事件及减少其造成造成的损害，保障公众的生命财产安全，维护国家和社会稳定，促进经济社会全面、协调、可持续发展。化工园区应依据国家相关法律法规制定针对化工园区特点的突发公共事件应急救援体系及设施。</w:t>
      </w:r>
    </w:p>
    <w:p w14:paraId="1ED42A7C">
      <w:pPr>
        <w:spacing w:line="360" w:lineRule="auto"/>
        <w:ind w:firstLine="480" w:firstLineChars="200"/>
        <w:rPr>
          <w:sz w:val="24"/>
          <w:szCs w:val="24"/>
        </w:rPr>
      </w:pPr>
      <w:r>
        <w:rPr>
          <w:sz w:val="24"/>
          <w:szCs w:val="24"/>
        </w:rPr>
        <w:t>(2)规划依据</w:t>
      </w:r>
    </w:p>
    <w:p w14:paraId="40FE99FC">
      <w:pPr>
        <w:spacing w:line="360" w:lineRule="auto"/>
        <w:ind w:firstLine="480" w:firstLineChars="200"/>
        <w:rPr>
          <w:sz w:val="24"/>
          <w:szCs w:val="24"/>
        </w:rPr>
      </w:pPr>
      <w:r>
        <w:rPr>
          <w:sz w:val="24"/>
          <w:szCs w:val="24"/>
        </w:rPr>
        <w:t>宪法、行政法规、国家突发公共事件总体应急预案</w:t>
      </w:r>
    </w:p>
    <w:p w14:paraId="036CED7A">
      <w:pPr>
        <w:spacing w:line="360" w:lineRule="auto"/>
        <w:ind w:firstLine="480" w:firstLineChars="200"/>
        <w:rPr>
          <w:sz w:val="24"/>
          <w:szCs w:val="24"/>
        </w:rPr>
      </w:pPr>
      <w:r>
        <w:rPr>
          <w:sz w:val="24"/>
          <w:szCs w:val="24"/>
        </w:rPr>
        <w:t>(3)规划原则</w:t>
      </w:r>
    </w:p>
    <w:p w14:paraId="01C6055B">
      <w:pPr>
        <w:spacing w:line="360" w:lineRule="auto"/>
        <w:ind w:firstLine="480" w:firstLineChars="200"/>
        <w:rPr>
          <w:sz w:val="24"/>
          <w:szCs w:val="24"/>
        </w:rPr>
      </w:pPr>
      <w:r>
        <w:rPr>
          <w:sz w:val="24"/>
          <w:szCs w:val="24"/>
        </w:rPr>
        <w:t>以人为本，减少危害。切实履行政府的社会管理和公共服务职能，把保障公众健康和生命财产安全作为首要任务，最大程度地减少突发公共事件及其造成的人员伤亡和危害。居安思危，预防为主。高度重视公共安全工作，常抓不懈，防患于未然。增强忧患意识，坚持预防与应急相结合，常态与非常态相结合，做好应对突发公共事件的各项准备工作。统一领导，分级负责。在当地政府的统一领导下，建立健全分类管理、分级负责，条块结合，属地管理为主的应急救援管理体制。依法规范，加强管理。依据有关法律和行政法规，加强应急管理，维护公众的合法权益，使应对突发公共事件的工作规范化、制度化、法制化。快速反应，协同应对。加强以属地管理为主的应急处置队伍建设，建立联动协调制度，充分动员和发挥入区企业和志愿者队伍的作用，依靠公众力量，形成统一指挥、反应灵敏、功能齐全、协调有序、运转高效的应急救援管理机制。依靠科技，提高素质。采用先进的监测、预测、预警、预防和应急救援处置技术及设施，充分发挥专家队伍和专业人员的作用，提高应对突发公共事件的科技水平和指挥能力，避免发生次生、衍生事件；加强宣传达和培训教育工作，提高公众自救、互救和应对各类突发公共事件的综合素质。</w:t>
      </w:r>
    </w:p>
    <w:p w14:paraId="6CE37D9F">
      <w:pPr>
        <w:spacing w:line="360" w:lineRule="auto"/>
        <w:ind w:firstLine="482" w:firstLineChars="200"/>
        <w:rPr>
          <w:sz w:val="24"/>
          <w:szCs w:val="24"/>
        </w:rPr>
      </w:pPr>
      <w:r>
        <w:rPr>
          <w:b/>
          <w:sz w:val="24"/>
          <w:szCs w:val="24"/>
        </w:rPr>
        <w:t>10.9.8.1</w:t>
      </w:r>
      <w:r>
        <w:rPr>
          <w:sz w:val="24"/>
          <w:szCs w:val="24"/>
        </w:rPr>
        <w:t>应急救援体系规划</w:t>
      </w:r>
    </w:p>
    <w:p w14:paraId="5D99457B">
      <w:pPr>
        <w:spacing w:line="360" w:lineRule="auto"/>
        <w:ind w:firstLine="482" w:firstLineChars="200"/>
        <w:rPr>
          <w:sz w:val="24"/>
          <w:szCs w:val="24"/>
        </w:rPr>
      </w:pPr>
      <w:r>
        <w:rPr>
          <w:b/>
          <w:sz w:val="24"/>
          <w:szCs w:val="24"/>
        </w:rPr>
        <w:t>1)</w:t>
      </w:r>
      <w:r>
        <w:rPr>
          <w:sz w:val="24"/>
          <w:szCs w:val="24"/>
        </w:rPr>
        <w:t>应急救援体系</w:t>
      </w:r>
    </w:p>
    <w:p w14:paraId="79610E65">
      <w:pPr>
        <w:spacing w:line="360" w:lineRule="auto"/>
        <w:ind w:firstLine="480" w:firstLineChars="200"/>
        <w:rPr>
          <w:sz w:val="24"/>
          <w:szCs w:val="24"/>
        </w:rPr>
      </w:pPr>
      <w:r>
        <w:rPr>
          <w:sz w:val="24"/>
          <w:szCs w:val="24"/>
        </w:rPr>
        <w:t>化工园区总体应急救援体系包括：</w:t>
      </w:r>
    </w:p>
    <w:p w14:paraId="517C7277">
      <w:pPr>
        <w:numPr>
          <w:ilvl w:val="0"/>
          <w:numId w:val="24"/>
        </w:numPr>
        <w:spacing w:line="360" w:lineRule="auto"/>
        <w:ind w:firstLine="480" w:firstLineChars="200"/>
        <w:rPr>
          <w:sz w:val="24"/>
          <w:szCs w:val="24"/>
        </w:rPr>
      </w:pPr>
      <w:r>
        <w:rPr>
          <w:sz w:val="24"/>
          <w:szCs w:val="24"/>
        </w:rPr>
        <w:t>要求各企业设立应急救援指挥部，在化工园区应急救援指挥中心的领导下，负责本企业应急救援预案的编制和修订、应急队伍的演练、应急物资储备、组织管理等工作；本企业发生事故时，第一时间出动负责现场应急指挥工作，其他企业发生事故时，服从化工园区应急救援指挥中心的统一调度，参与救援。</w:t>
      </w:r>
    </w:p>
    <w:p w14:paraId="60A18026">
      <w:pPr>
        <w:spacing w:line="360" w:lineRule="auto"/>
        <w:ind w:firstLine="480" w:firstLineChars="200"/>
        <w:rPr>
          <w:sz w:val="24"/>
          <w:szCs w:val="24"/>
        </w:rPr>
      </w:pPr>
      <w:r>
        <w:rPr>
          <w:sz w:val="24"/>
          <w:szCs w:val="24"/>
        </w:rPr>
        <w:t>（2）充分调动化工园区现有企业特别是较大型企业的应急救援力量。根据可能发生事故的类型和特点，规划增加化工园区内新入区企业的应急救援力量为化工园区主要依托力量。</w:t>
      </w:r>
    </w:p>
    <w:p w14:paraId="6A1A0044">
      <w:pPr>
        <w:spacing w:line="360" w:lineRule="auto"/>
        <w:ind w:firstLine="480" w:firstLineChars="200"/>
        <w:rPr>
          <w:sz w:val="24"/>
          <w:szCs w:val="24"/>
        </w:rPr>
      </w:pPr>
      <w:r>
        <w:rPr>
          <w:sz w:val="24"/>
          <w:szCs w:val="24"/>
        </w:rPr>
        <w:t>（3）强化应急救援指挥中心对整个化工园区的应急物资储备、组织管理等工作。应急救援指挥中心应督促各企业按要求储备应急物资，由各企业应急救援指挥部组织管理，并将清单上报应急救援指挥中心，应急救援指挥中心指派专人汇总、管理，形成应急物资储备库，绘制其分布图，并对其保养和维护情况实施监督管理，确保在发生事故时，能及时有效调动资源，真正做到对区内的应急设施和应急资源实施统一管理、统一调度、统一使用。</w:t>
      </w:r>
    </w:p>
    <w:p w14:paraId="5C0F93C1">
      <w:pPr>
        <w:spacing w:line="360" w:lineRule="auto"/>
        <w:ind w:firstLine="480" w:firstLineChars="200"/>
        <w:rPr>
          <w:sz w:val="24"/>
          <w:szCs w:val="24"/>
        </w:rPr>
      </w:pPr>
      <w:r>
        <w:rPr>
          <w:sz w:val="24"/>
          <w:szCs w:val="24"/>
        </w:rPr>
        <w:t>（4）加强相互协调与统一指挥的应急机制建设。以能够及时、快速、高效地开展应急救援为出发点，结合化工园区应急救援工作的现实和发展需要，坚持联防联动的原则，充分发挥应急救援体系整体效能，解决当前存在的接警、指挥、协调依然受各自领域局限的问题。</w:t>
      </w:r>
    </w:p>
    <w:p w14:paraId="24802B97">
      <w:pPr>
        <w:spacing w:line="360" w:lineRule="auto"/>
        <w:ind w:firstLine="482" w:firstLineChars="200"/>
        <w:rPr>
          <w:sz w:val="24"/>
          <w:szCs w:val="24"/>
        </w:rPr>
      </w:pPr>
      <w:r>
        <w:rPr>
          <w:b/>
          <w:sz w:val="24"/>
          <w:szCs w:val="24"/>
        </w:rPr>
        <w:t>2)</w:t>
      </w:r>
      <w:r>
        <w:rPr>
          <w:sz w:val="24"/>
          <w:szCs w:val="24"/>
        </w:rPr>
        <w:t>应急救援组织结构</w:t>
      </w:r>
    </w:p>
    <w:p w14:paraId="354B0F55">
      <w:pPr>
        <w:spacing w:line="360" w:lineRule="auto"/>
        <w:ind w:firstLine="482" w:firstLineChars="200"/>
        <w:rPr>
          <w:b/>
          <w:bCs/>
          <w:sz w:val="24"/>
          <w:szCs w:val="24"/>
        </w:rPr>
      </w:pPr>
      <w:r>
        <w:rPr>
          <w:b/>
          <w:bCs/>
          <w:sz w:val="24"/>
          <w:szCs w:val="24"/>
        </w:rPr>
        <w:t>应急指挥部</w:t>
      </w:r>
    </w:p>
    <w:p w14:paraId="1A07747A">
      <w:pPr>
        <w:spacing w:line="360" w:lineRule="auto"/>
        <w:ind w:firstLine="480" w:firstLineChars="200"/>
        <w:rPr>
          <w:sz w:val="24"/>
          <w:szCs w:val="24"/>
        </w:rPr>
      </w:pPr>
      <w:r>
        <w:rPr>
          <w:sz w:val="24"/>
          <w:szCs w:val="24"/>
        </w:rPr>
        <w:t>在淮南经济技术开发区管委会领导下，设立化工园区生产安全事故应急救援指挥部：</w:t>
      </w:r>
    </w:p>
    <w:p w14:paraId="6648CBCC">
      <w:pPr>
        <w:spacing w:line="360" w:lineRule="auto"/>
        <w:ind w:firstLine="480" w:firstLineChars="200"/>
        <w:rPr>
          <w:sz w:val="24"/>
          <w:szCs w:val="24"/>
        </w:rPr>
      </w:pPr>
      <w:r>
        <w:rPr>
          <w:sz w:val="24"/>
          <w:szCs w:val="24"/>
        </w:rPr>
        <w:t>总指挥：管委会主任</w:t>
      </w:r>
    </w:p>
    <w:p w14:paraId="5DB4F622">
      <w:pPr>
        <w:spacing w:line="360" w:lineRule="auto"/>
        <w:ind w:firstLine="480" w:firstLineChars="200"/>
        <w:rPr>
          <w:sz w:val="24"/>
          <w:szCs w:val="24"/>
        </w:rPr>
      </w:pPr>
      <w:r>
        <w:rPr>
          <w:sz w:val="24"/>
          <w:szCs w:val="24"/>
        </w:rPr>
        <w:t>副总指挥：管委会分管安全生产副主任</w:t>
      </w:r>
    </w:p>
    <w:p w14:paraId="794CC210">
      <w:pPr>
        <w:spacing w:line="360" w:lineRule="auto"/>
        <w:ind w:firstLine="480" w:firstLineChars="200"/>
        <w:rPr>
          <w:sz w:val="24"/>
          <w:szCs w:val="24"/>
        </w:rPr>
      </w:pPr>
      <w:r>
        <w:rPr>
          <w:sz w:val="24"/>
          <w:szCs w:val="24"/>
        </w:rPr>
        <w:t>成员单位：安全生产监督管理局、公安分局、经开区消防救援大队、社会发展局、生态环境分局、交警中队、市场监督管理分局、经贸发展局、建设发展局、纪监工委、财政局、党政办公室、供电公司以及事故单位。</w:t>
      </w:r>
    </w:p>
    <w:p w14:paraId="491FEB33">
      <w:pPr>
        <w:spacing w:line="360" w:lineRule="auto"/>
        <w:ind w:firstLine="482" w:firstLineChars="200"/>
        <w:rPr>
          <w:b/>
          <w:bCs/>
          <w:sz w:val="24"/>
          <w:szCs w:val="24"/>
        </w:rPr>
      </w:pPr>
      <w:r>
        <w:rPr>
          <w:b/>
          <w:bCs/>
          <w:sz w:val="24"/>
          <w:szCs w:val="24"/>
        </w:rPr>
        <w:t>应急救援队伍</w:t>
      </w:r>
    </w:p>
    <w:p w14:paraId="484D6A35">
      <w:pPr>
        <w:spacing w:line="360" w:lineRule="auto"/>
        <w:ind w:firstLine="480" w:firstLineChars="200"/>
        <w:rPr>
          <w:sz w:val="24"/>
          <w:szCs w:val="24"/>
        </w:rPr>
      </w:pPr>
      <w:r>
        <w:rPr>
          <w:sz w:val="24"/>
          <w:szCs w:val="24"/>
        </w:rPr>
        <w:t>外部应急救援队伍主要依托现有位于威海路与浦东路交叉路口西侧经开区消防救援大队。经开区消防救援大队依据《危险化学品单位应急救援物资配备要求》(GB30077-2013)配备了救援车、防毒面具、防化服、个体防护器材、消防器材、堵漏设备、应急照明、通讯设备等应急救援物资。德邦化工与山河药辅分别设有微型消防站，各有消防车一辆，作为辅助消防救援。</w:t>
      </w:r>
    </w:p>
    <w:p w14:paraId="67B3C9BF">
      <w:pPr>
        <w:spacing w:line="360" w:lineRule="auto"/>
        <w:ind w:firstLine="480" w:firstLineChars="200"/>
        <w:rPr>
          <w:sz w:val="24"/>
          <w:szCs w:val="24"/>
        </w:rPr>
      </w:pPr>
      <w:r>
        <w:rPr>
          <w:sz w:val="24"/>
          <w:szCs w:val="24"/>
        </w:rPr>
        <w:t>化工园区内的德邦化工、恒诚制药、水卫士环保科技、国瑞药业均编制应急救援预案，配备了应急救援器材，并已到应急管理局备案，三级应急响应由企业组织救援，一级和二级响应依托经开区消防救援大队救援和德邦化工、山河药辅的微型消防站。</w:t>
      </w:r>
    </w:p>
    <w:p w14:paraId="466AFB1A">
      <w:pPr>
        <w:spacing w:line="360" w:lineRule="auto"/>
        <w:ind w:firstLine="480" w:firstLineChars="200"/>
        <w:rPr>
          <w:sz w:val="24"/>
          <w:szCs w:val="24"/>
        </w:rPr>
      </w:pPr>
      <w:r>
        <w:rPr>
          <w:sz w:val="24"/>
          <w:szCs w:val="24"/>
        </w:rPr>
        <w:t>（1）领导机构</w:t>
      </w:r>
    </w:p>
    <w:p w14:paraId="4514D587">
      <w:pPr>
        <w:spacing w:line="360" w:lineRule="auto"/>
        <w:ind w:firstLine="480" w:firstLineChars="200"/>
        <w:rPr>
          <w:sz w:val="24"/>
          <w:szCs w:val="24"/>
        </w:rPr>
      </w:pPr>
      <w:r>
        <w:rPr>
          <w:sz w:val="24"/>
          <w:szCs w:val="24"/>
        </w:rPr>
        <w:t>规划依托淮南经济技术开发区管委会，建立突发公共事件应急救援指挥中心，统一参与和调度化工园区内应急救援指挥工作。</w:t>
      </w:r>
    </w:p>
    <w:p w14:paraId="5F78EFC6">
      <w:pPr>
        <w:spacing w:line="360" w:lineRule="auto"/>
        <w:ind w:firstLine="480" w:firstLineChars="200"/>
        <w:rPr>
          <w:sz w:val="24"/>
          <w:szCs w:val="24"/>
        </w:rPr>
      </w:pPr>
      <w:r>
        <w:rPr>
          <w:sz w:val="24"/>
          <w:szCs w:val="24"/>
        </w:rPr>
        <w:t>（2）工作机构</w:t>
      </w:r>
    </w:p>
    <w:p w14:paraId="10CFC5F2">
      <w:pPr>
        <w:spacing w:line="360" w:lineRule="auto"/>
        <w:ind w:firstLine="480" w:firstLineChars="200"/>
        <w:rPr>
          <w:sz w:val="24"/>
          <w:szCs w:val="24"/>
        </w:rPr>
      </w:pPr>
      <w:r>
        <w:rPr>
          <w:sz w:val="24"/>
          <w:szCs w:val="24"/>
        </w:rPr>
        <w:t>应急救援指挥中心依据有关法律、行政法规和各自的职责，负责相关类别突发公共事件的应急救援工作。应急救援指挥中心负责履行值守应急、信息汇总、综合协调和参与救援等职责，发挥运转枢纽作用。</w:t>
      </w:r>
    </w:p>
    <w:p w14:paraId="031BA574">
      <w:pPr>
        <w:spacing w:line="360" w:lineRule="auto"/>
        <w:ind w:firstLine="480" w:firstLineChars="200"/>
        <w:rPr>
          <w:sz w:val="24"/>
          <w:szCs w:val="24"/>
        </w:rPr>
      </w:pPr>
      <w:r>
        <w:rPr>
          <w:sz w:val="24"/>
          <w:szCs w:val="24"/>
        </w:rPr>
        <w:t>（3）专家组</w:t>
      </w:r>
    </w:p>
    <w:p w14:paraId="01ACA478">
      <w:pPr>
        <w:spacing w:line="360" w:lineRule="auto"/>
        <w:ind w:firstLine="480" w:firstLineChars="200"/>
        <w:rPr>
          <w:sz w:val="24"/>
          <w:szCs w:val="24"/>
        </w:rPr>
      </w:pPr>
      <w:r>
        <w:rPr>
          <w:sz w:val="24"/>
          <w:szCs w:val="24"/>
        </w:rPr>
        <w:t>应急救援指挥中心要建立各类专业人才库，可以根据实际需要聘请有关专家组成专家组，为应急管理提供决策建议，必要时参加突发公共事件的应急救援处置工作。</w:t>
      </w:r>
    </w:p>
    <w:p w14:paraId="34D8482A">
      <w:pPr>
        <w:spacing w:line="360" w:lineRule="auto"/>
        <w:ind w:firstLine="482" w:firstLineChars="200"/>
        <w:rPr>
          <w:sz w:val="24"/>
          <w:szCs w:val="24"/>
        </w:rPr>
      </w:pPr>
      <w:r>
        <w:rPr>
          <w:b/>
          <w:sz w:val="24"/>
          <w:szCs w:val="24"/>
        </w:rPr>
        <w:t>10.9.8.2</w:t>
      </w:r>
      <w:r>
        <w:rPr>
          <w:sz w:val="24"/>
          <w:szCs w:val="24"/>
        </w:rPr>
        <w:t>应急救援运行机制</w:t>
      </w:r>
    </w:p>
    <w:p w14:paraId="6D5DF3D8">
      <w:pPr>
        <w:spacing w:line="360" w:lineRule="auto"/>
        <w:ind w:firstLine="482" w:firstLineChars="200"/>
        <w:rPr>
          <w:sz w:val="24"/>
          <w:szCs w:val="24"/>
        </w:rPr>
      </w:pPr>
      <w:r>
        <w:rPr>
          <w:b/>
          <w:sz w:val="24"/>
          <w:szCs w:val="24"/>
        </w:rPr>
        <w:t>1)</w:t>
      </w:r>
      <w:r>
        <w:rPr>
          <w:sz w:val="24"/>
          <w:szCs w:val="24"/>
        </w:rPr>
        <w:t>预测与预警</w:t>
      </w:r>
    </w:p>
    <w:p w14:paraId="5C5A024D">
      <w:pPr>
        <w:spacing w:line="360" w:lineRule="auto"/>
        <w:ind w:firstLine="480" w:firstLineChars="200"/>
        <w:rPr>
          <w:sz w:val="24"/>
          <w:szCs w:val="24"/>
        </w:rPr>
      </w:pPr>
      <w:r>
        <w:rPr>
          <w:sz w:val="24"/>
          <w:szCs w:val="24"/>
        </w:rPr>
        <w:t>针对各种可能发生的突发公共事件，完善预测预警机制，建立预测预警系统，开展风险分析，做到早发现、早报告、早处置。根据预测分析结果、对可能发生和可以预警的突发公共事件进行预警。预警信息的发布、调整和解除可通过广播、通信、信息网络、警报器、宣传车或组织人员逐户通知等方式进行。</w:t>
      </w:r>
    </w:p>
    <w:p w14:paraId="54225F59">
      <w:pPr>
        <w:spacing w:line="360" w:lineRule="auto"/>
        <w:ind w:firstLine="482" w:firstLineChars="200"/>
        <w:rPr>
          <w:sz w:val="24"/>
          <w:szCs w:val="24"/>
        </w:rPr>
      </w:pPr>
      <w:r>
        <w:rPr>
          <w:b/>
          <w:sz w:val="24"/>
          <w:szCs w:val="24"/>
        </w:rPr>
        <w:t>2)</w:t>
      </w:r>
      <w:r>
        <w:rPr>
          <w:sz w:val="24"/>
          <w:szCs w:val="24"/>
        </w:rPr>
        <w:t>应急处置措施</w:t>
      </w:r>
    </w:p>
    <w:p w14:paraId="2501380B">
      <w:pPr>
        <w:spacing w:line="360" w:lineRule="auto"/>
        <w:ind w:firstLine="480" w:firstLineChars="200"/>
        <w:rPr>
          <w:sz w:val="24"/>
          <w:szCs w:val="24"/>
        </w:rPr>
      </w:pPr>
      <w:r>
        <w:rPr>
          <w:sz w:val="24"/>
          <w:szCs w:val="24"/>
        </w:rPr>
        <w:t>（1）信息报告</w:t>
      </w:r>
    </w:p>
    <w:p w14:paraId="547CED87">
      <w:pPr>
        <w:spacing w:line="360" w:lineRule="auto"/>
        <w:ind w:firstLine="480" w:firstLineChars="200"/>
        <w:rPr>
          <w:sz w:val="24"/>
          <w:szCs w:val="24"/>
        </w:rPr>
      </w:pPr>
      <w:r>
        <w:rPr>
          <w:sz w:val="24"/>
          <w:szCs w:val="24"/>
        </w:rPr>
        <w:t>特别重大或重大突发公共事件发生后，要立即向上级报告。应急救援指挥中心负责人要在第一时间赶到现场，了解情况后在第一时间向淮南市应急管理局汇报，同时通报有关地区和部门。应急救援处置过程中，要及时续报有关情况。</w:t>
      </w:r>
    </w:p>
    <w:p w14:paraId="4D69BA0E">
      <w:pPr>
        <w:spacing w:line="360" w:lineRule="auto"/>
        <w:ind w:firstLine="480" w:firstLineChars="200"/>
        <w:rPr>
          <w:sz w:val="24"/>
          <w:szCs w:val="24"/>
        </w:rPr>
      </w:pPr>
      <w:r>
        <w:rPr>
          <w:sz w:val="24"/>
          <w:szCs w:val="24"/>
        </w:rPr>
        <w:t>（2）先期处置</w:t>
      </w:r>
    </w:p>
    <w:p w14:paraId="0A33D384">
      <w:pPr>
        <w:spacing w:line="360" w:lineRule="auto"/>
        <w:ind w:firstLine="480" w:firstLineChars="200"/>
        <w:rPr>
          <w:sz w:val="24"/>
          <w:szCs w:val="24"/>
        </w:rPr>
      </w:pPr>
      <w:r>
        <w:rPr>
          <w:sz w:val="24"/>
          <w:szCs w:val="24"/>
        </w:rPr>
        <w:t>突发公共事件发生后，应急救援指挥中心要根据职责和规定的权限启动相关应急预案，及时、有效地进行处置、控制事态。</w:t>
      </w:r>
    </w:p>
    <w:p w14:paraId="70E118DF">
      <w:pPr>
        <w:spacing w:line="360" w:lineRule="auto"/>
        <w:ind w:firstLine="480" w:firstLineChars="200"/>
        <w:rPr>
          <w:sz w:val="24"/>
          <w:szCs w:val="24"/>
        </w:rPr>
      </w:pPr>
      <w:r>
        <w:rPr>
          <w:sz w:val="24"/>
          <w:szCs w:val="24"/>
        </w:rPr>
        <w:t>（3）应急救援响应</w:t>
      </w:r>
    </w:p>
    <w:p w14:paraId="615D5FA0">
      <w:pPr>
        <w:spacing w:line="360" w:lineRule="auto"/>
        <w:ind w:firstLine="480" w:firstLineChars="200"/>
        <w:rPr>
          <w:sz w:val="24"/>
          <w:szCs w:val="24"/>
        </w:rPr>
      </w:pPr>
      <w:r>
        <w:rPr>
          <w:sz w:val="24"/>
          <w:szCs w:val="24"/>
        </w:rPr>
        <w:t>对于先期处置未能有效控制事态的特别重大突发公共事件，要及时启动相关预案，由上级应急指挥机构或工作组统一指挥或指导有关地区、部门开展处置工作。现场应急救援指挥机构负责现场的应急救援处置工作。</w:t>
      </w:r>
    </w:p>
    <w:p w14:paraId="408FE8F2">
      <w:pPr>
        <w:spacing w:line="360" w:lineRule="auto"/>
        <w:ind w:firstLine="480" w:firstLineChars="200"/>
        <w:rPr>
          <w:sz w:val="24"/>
          <w:szCs w:val="24"/>
        </w:rPr>
      </w:pPr>
      <w:r>
        <w:rPr>
          <w:sz w:val="24"/>
          <w:szCs w:val="24"/>
        </w:rPr>
        <w:t>（4）应急救援结束</w:t>
      </w:r>
    </w:p>
    <w:p w14:paraId="16E038FA">
      <w:pPr>
        <w:spacing w:line="360" w:lineRule="auto"/>
        <w:ind w:firstLine="480" w:firstLineChars="200"/>
        <w:rPr>
          <w:sz w:val="24"/>
          <w:szCs w:val="24"/>
        </w:rPr>
      </w:pPr>
      <w:r>
        <w:rPr>
          <w:sz w:val="24"/>
          <w:szCs w:val="24"/>
        </w:rPr>
        <w:t>特别重大突发公共事件应急救援处置工作结束，或者相关危险因素消除后，现场应急救援指挥机构予以撤销。</w:t>
      </w:r>
    </w:p>
    <w:p w14:paraId="099D186F">
      <w:pPr>
        <w:spacing w:line="360" w:lineRule="auto"/>
        <w:ind w:firstLine="480" w:firstLineChars="200"/>
        <w:rPr>
          <w:sz w:val="24"/>
          <w:szCs w:val="24"/>
        </w:rPr>
      </w:pPr>
      <w:r>
        <w:rPr>
          <w:sz w:val="24"/>
          <w:szCs w:val="24"/>
        </w:rPr>
        <w:t>（5）信息发布</w:t>
      </w:r>
    </w:p>
    <w:p w14:paraId="5DE6279F">
      <w:pPr>
        <w:spacing w:line="360" w:lineRule="auto"/>
        <w:ind w:firstLine="480" w:firstLineChars="200"/>
        <w:rPr>
          <w:sz w:val="24"/>
          <w:szCs w:val="24"/>
        </w:rPr>
      </w:pPr>
      <w:r>
        <w:rPr>
          <w:sz w:val="24"/>
          <w:szCs w:val="24"/>
        </w:rPr>
        <w:t>突发公共事件的信息发布应当及时、准确、客观、全面。事件发生的第一时间要向社会发布简要信息，随后发布初步核实情况、政府对措施和公众防范措施等，并根据事件处置情况做好后续发布工作。</w:t>
      </w:r>
    </w:p>
    <w:p w14:paraId="126D0962">
      <w:pPr>
        <w:spacing w:line="360" w:lineRule="auto"/>
        <w:ind w:firstLine="482" w:firstLineChars="200"/>
        <w:rPr>
          <w:sz w:val="24"/>
          <w:szCs w:val="24"/>
        </w:rPr>
      </w:pPr>
      <w:r>
        <w:rPr>
          <w:b/>
          <w:sz w:val="24"/>
          <w:szCs w:val="24"/>
        </w:rPr>
        <w:t>3)</w:t>
      </w:r>
      <w:r>
        <w:rPr>
          <w:sz w:val="24"/>
          <w:szCs w:val="24"/>
        </w:rPr>
        <w:t>应急物资与保障</w:t>
      </w:r>
    </w:p>
    <w:p w14:paraId="0C6254ED">
      <w:pPr>
        <w:spacing w:line="360" w:lineRule="auto"/>
        <w:ind w:firstLine="480" w:firstLineChars="200"/>
        <w:rPr>
          <w:sz w:val="24"/>
          <w:szCs w:val="24"/>
        </w:rPr>
      </w:pPr>
      <w:r>
        <w:rPr>
          <w:sz w:val="24"/>
          <w:szCs w:val="24"/>
        </w:rPr>
        <w:t>各有关部门要根据职责分工和相关预案做好突发公共事件的应对工作，同时根据总体应急救援预案切实做好应对突发公共事件的人力、物力、财力、交通运输、医疗卫生及通信保障等工作，保证应急救援工作的需要和灾区群众的基本生活，以及恢复重建工作的顺利进行。</w:t>
      </w:r>
    </w:p>
    <w:p w14:paraId="70D3B5E7">
      <w:pPr>
        <w:spacing w:line="360" w:lineRule="auto"/>
        <w:ind w:firstLine="480" w:firstLineChars="200"/>
        <w:rPr>
          <w:sz w:val="24"/>
          <w:szCs w:val="24"/>
        </w:rPr>
      </w:pPr>
      <w:r>
        <w:rPr>
          <w:sz w:val="24"/>
          <w:szCs w:val="24"/>
        </w:rPr>
        <w:t>（1）人力资源</w:t>
      </w:r>
    </w:p>
    <w:p w14:paraId="1A56CAD0">
      <w:pPr>
        <w:spacing w:line="360" w:lineRule="auto"/>
        <w:ind w:firstLine="480" w:firstLineChars="200"/>
        <w:rPr>
          <w:sz w:val="24"/>
          <w:szCs w:val="24"/>
        </w:rPr>
      </w:pPr>
      <w:r>
        <w:rPr>
          <w:sz w:val="24"/>
          <w:szCs w:val="24"/>
        </w:rPr>
        <w:t>应急救援指挥中心和入区企业要加强应急救援队伍的业务培训和应急演练，建立联动协调机制，提高装备水平；动员入区企业以及志愿者等各种社会力量参与应急救援工作，发挥其在应对突发公共事件中的重要作用。必要时可请求附近部队按照有关规定参加应急救援处置工作。</w:t>
      </w:r>
    </w:p>
    <w:p w14:paraId="631A17C0">
      <w:pPr>
        <w:spacing w:line="360" w:lineRule="auto"/>
        <w:ind w:firstLine="480" w:firstLineChars="200"/>
        <w:rPr>
          <w:sz w:val="24"/>
          <w:szCs w:val="24"/>
        </w:rPr>
      </w:pPr>
      <w:r>
        <w:rPr>
          <w:sz w:val="24"/>
          <w:szCs w:val="24"/>
        </w:rPr>
        <w:t>（2）财力保障</w:t>
      </w:r>
    </w:p>
    <w:p w14:paraId="1220970B">
      <w:pPr>
        <w:spacing w:line="360" w:lineRule="auto"/>
        <w:ind w:firstLine="480" w:firstLineChars="200"/>
        <w:rPr>
          <w:sz w:val="24"/>
          <w:szCs w:val="24"/>
        </w:rPr>
      </w:pPr>
      <w:r>
        <w:rPr>
          <w:sz w:val="24"/>
          <w:szCs w:val="24"/>
        </w:rPr>
        <w:t>要保证所需突发公共事件应急准备和救援工作资金。对受突发公共事件影响较大的入区企业和个人要及时研究提出相应的补偿或者救助政策。要对突发公共事件财政应急保障资金的使用和效果进行监管和评估。</w:t>
      </w:r>
    </w:p>
    <w:p w14:paraId="1A63BC0F">
      <w:pPr>
        <w:spacing w:line="360" w:lineRule="auto"/>
        <w:ind w:firstLine="480" w:firstLineChars="200"/>
        <w:rPr>
          <w:sz w:val="24"/>
          <w:szCs w:val="24"/>
        </w:rPr>
      </w:pPr>
      <w:r>
        <w:rPr>
          <w:sz w:val="24"/>
          <w:szCs w:val="24"/>
        </w:rPr>
        <w:t>（3）物资保障</w:t>
      </w:r>
    </w:p>
    <w:p w14:paraId="6F9A4803">
      <w:pPr>
        <w:spacing w:line="360" w:lineRule="auto"/>
        <w:ind w:firstLine="480" w:firstLineChars="200"/>
        <w:rPr>
          <w:sz w:val="24"/>
          <w:szCs w:val="24"/>
        </w:rPr>
      </w:pPr>
      <w:r>
        <w:rPr>
          <w:sz w:val="24"/>
          <w:szCs w:val="24"/>
        </w:rPr>
        <w:t>应根据有关法律、法规和应急救援预案的规定，做好物资储备工作。要保障消防物资供给、气防站物资供给、灭火器材的配备、抢险救援器材的配备等，建立县级应急物资储备库。</w:t>
      </w:r>
    </w:p>
    <w:p w14:paraId="5479E089">
      <w:pPr>
        <w:spacing w:line="360" w:lineRule="auto"/>
        <w:ind w:firstLine="480" w:firstLineChars="200"/>
        <w:rPr>
          <w:sz w:val="24"/>
          <w:szCs w:val="24"/>
        </w:rPr>
      </w:pPr>
      <w:r>
        <w:rPr>
          <w:sz w:val="24"/>
          <w:szCs w:val="24"/>
        </w:rPr>
        <w:t>（4）医疗卫生保障</w:t>
      </w:r>
    </w:p>
    <w:p w14:paraId="187905FC">
      <w:pPr>
        <w:spacing w:line="360" w:lineRule="auto"/>
        <w:ind w:firstLine="480" w:firstLineChars="200"/>
        <w:rPr>
          <w:sz w:val="24"/>
          <w:szCs w:val="24"/>
        </w:rPr>
      </w:pPr>
      <w:r>
        <w:rPr>
          <w:sz w:val="24"/>
          <w:szCs w:val="24"/>
        </w:rPr>
        <w:t>应急救援指挥中心要协调的急救、化学救护等专业技术队伍，在需要时能及时赶赴现场开展医疗救治、疾病预防控制等卫生应急救援工作。</w:t>
      </w:r>
    </w:p>
    <w:p w14:paraId="53CC2330">
      <w:pPr>
        <w:spacing w:line="360" w:lineRule="auto"/>
        <w:ind w:firstLine="480" w:firstLineChars="200"/>
        <w:rPr>
          <w:sz w:val="24"/>
          <w:szCs w:val="24"/>
        </w:rPr>
      </w:pPr>
      <w:r>
        <w:rPr>
          <w:sz w:val="24"/>
          <w:szCs w:val="24"/>
        </w:rPr>
        <w:t>（5）公共设施</w:t>
      </w:r>
    </w:p>
    <w:p w14:paraId="5AB6BF61">
      <w:pPr>
        <w:spacing w:line="360" w:lineRule="auto"/>
        <w:ind w:firstLine="480" w:firstLineChars="200"/>
        <w:rPr>
          <w:sz w:val="24"/>
          <w:szCs w:val="24"/>
        </w:rPr>
      </w:pPr>
      <w:r>
        <w:rPr>
          <w:sz w:val="24"/>
          <w:szCs w:val="24"/>
        </w:rPr>
        <w:t>应急救援指挥中心需协调有关部门要按照职责分工，分别负责煤、电、油、气、水的供给，以及废水、废气、固体废弃物等有害物质的检测和处理。</w:t>
      </w:r>
    </w:p>
    <w:p w14:paraId="1A2AC42E">
      <w:pPr>
        <w:spacing w:beforeLines="50" w:afterLines="50" w:line="360" w:lineRule="auto"/>
        <w:jc w:val="center"/>
        <w:outlineLvl w:val="0"/>
        <w:rPr>
          <w:sz w:val="24"/>
          <w:szCs w:val="24"/>
        </w:rPr>
      </w:pPr>
      <w:r>
        <w:rPr>
          <w:sz w:val="24"/>
          <w:szCs w:val="24"/>
        </w:rPr>
        <w:br w:type="page"/>
      </w:r>
      <w:bookmarkStart w:id="357" w:name="_Toc1628667"/>
      <w:bookmarkStart w:id="358" w:name="_Toc15937"/>
      <w:r>
        <w:rPr>
          <w:b/>
          <w:sz w:val="32"/>
          <w:szCs w:val="32"/>
        </w:rPr>
        <w:t>11保障措施</w:t>
      </w:r>
      <w:bookmarkEnd w:id="357"/>
      <w:bookmarkEnd w:id="358"/>
    </w:p>
    <w:p w14:paraId="25AC7822">
      <w:pPr>
        <w:pStyle w:val="4"/>
        <w:spacing w:before="156" w:after="156"/>
        <w:rPr>
          <w:rFonts w:ascii="Times New Roman" w:hAnsi="Times New Roman"/>
          <w:sz w:val="24"/>
          <w:szCs w:val="24"/>
        </w:rPr>
      </w:pPr>
      <w:bookmarkStart w:id="359" w:name="_Toc198370396"/>
      <w:bookmarkStart w:id="360" w:name="_Toc198346950"/>
      <w:bookmarkStart w:id="361" w:name="_Toc198304786"/>
      <w:bookmarkStart w:id="362" w:name="_Toc31174"/>
      <w:bookmarkStart w:id="363" w:name="_Toc241370587"/>
      <w:bookmarkStart w:id="364" w:name="_Toc449277655"/>
      <w:bookmarkStart w:id="365" w:name="_Toc198351522"/>
      <w:bookmarkStart w:id="366" w:name="_Toc198370344"/>
      <w:bookmarkStart w:id="367" w:name="_Toc203209383"/>
      <w:bookmarkStart w:id="368" w:name="_Toc198351769"/>
      <w:bookmarkStart w:id="369" w:name="_Toc1628668"/>
      <w:bookmarkStart w:id="370" w:name="_Toc198345013"/>
      <w:bookmarkStart w:id="371" w:name="_Toc437032104"/>
      <w:bookmarkStart w:id="372" w:name="_Toc171669330"/>
      <w:bookmarkStart w:id="373" w:name="_Toc152407512"/>
      <w:r>
        <w:rPr>
          <w:rFonts w:ascii="Times New Roman" w:hAnsi="Times New Roman"/>
          <w:sz w:val="24"/>
          <w:szCs w:val="24"/>
        </w:rPr>
        <w:t xml:space="preserve">11.1 </w:t>
      </w:r>
      <w:bookmarkStart w:id="374" w:name="_Toc421607464"/>
      <w:r>
        <w:rPr>
          <w:rFonts w:ascii="Times New Roman" w:hAnsi="Times New Roman"/>
          <w:sz w:val="24"/>
          <w:szCs w:val="24"/>
        </w:rPr>
        <w:t>加强领导，统一认识，加大支持力度</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4"/>
    </w:p>
    <w:p w14:paraId="1D71C28C">
      <w:pPr>
        <w:spacing w:line="360" w:lineRule="auto"/>
        <w:ind w:firstLine="480" w:firstLineChars="200"/>
        <w:jc w:val="left"/>
        <w:rPr>
          <w:sz w:val="24"/>
          <w:szCs w:val="24"/>
        </w:rPr>
      </w:pPr>
      <w:r>
        <w:rPr>
          <w:sz w:val="24"/>
          <w:szCs w:val="24"/>
        </w:rPr>
        <w:t>调整优化医药化工产业结构，培育核心企业晶核作用，促进集群发展，壮大医药化工产业支柱，增强淮南经济技术开发区的综合实力。市政府各有关部门要密切配合，综合运用土地、财政、金融等政策，促进规划区医药化工产业的发展。</w:t>
      </w:r>
    </w:p>
    <w:p w14:paraId="5532144E">
      <w:pPr>
        <w:spacing w:line="360" w:lineRule="auto"/>
        <w:ind w:firstLine="480" w:firstLineChars="200"/>
        <w:jc w:val="left"/>
        <w:rPr>
          <w:sz w:val="24"/>
          <w:szCs w:val="24"/>
        </w:rPr>
      </w:pPr>
      <w:r>
        <w:rPr>
          <w:sz w:val="24"/>
          <w:szCs w:val="24"/>
        </w:rPr>
        <w:t>一是要成立开发区医药化工产业建设领导协调机构，以加强组织领导和协调力度</w:t>
      </w:r>
      <w:r>
        <w:rPr>
          <w:rFonts w:hint="eastAsia"/>
          <w:sz w:val="24"/>
          <w:szCs w:val="24"/>
        </w:rPr>
        <w:t>，</w:t>
      </w:r>
      <w:r>
        <w:rPr>
          <w:sz w:val="24"/>
          <w:szCs w:val="24"/>
        </w:rPr>
        <w:t>下一步集中实施消防站</w:t>
      </w:r>
      <w:r>
        <w:rPr>
          <w:rFonts w:hint="eastAsia"/>
          <w:sz w:val="24"/>
          <w:szCs w:val="24"/>
        </w:rPr>
        <w:t>升级</w:t>
      </w:r>
      <w:r>
        <w:rPr>
          <w:sz w:val="24"/>
          <w:szCs w:val="24"/>
        </w:rPr>
        <w:t>、危化品停车和封闭围栏的建设；</w:t>
      </w:r>
    </w:p>
    <w:p w14:paraId="18663AB1">
      <w:pPr>
        <w:spacing w:line="360" w:lineRule="auto"/>
        <w:ind w:firstLine="480" w:firstLineChars="200"/>
        <w:jc w:val="left"/>
        <w:rPr>
          <w:sz w:val="24"/>
          <w:szCs w:val="24"/>
        </w:rPr>
      </w:pPr>
      <w:r>
        <w:rPr>
          <w:sz w:val="24"/>
          <w:szCs w:val="24"/>
        </w:rPr>
        <w:t>二是要将规划中的项目纳入开发区重点建设工程，并积极争取得到省市医药化工产业政策支持，争取在土地供应、环评审批、资金融集等方面给予支持，使得本产业园成为政策高地、成本洼地和创业福地；</w:t>
      </w:r>
    </w:p>
    <w:p w14:paraId="005DDECB">
      <w:pPr>
        <w:spacing w:line="360" w:lineRule="auto"/>
        <w:ind w:firstLine="480" w:firstLineChars="200"/>
        <w:jc w:val="left"/>
        <w:rPr>
          <w:sz w:val="24"/>
          <w:szCs w:val="24"/>
        </w:rPr>
      </w:pPr>
      <w:r>
        <w:rPr>
          <w:sz w:val="24"/>
          <w:szCs w:val="24"/>
        </w:rPr>
        <w:t>三是进一步加强规划引导。以科学发展观为指导，按照国家关于新型医药化工产业发展政策要求，加强医药化工产业发展规划工作，修订完善已有的各类发展规划。切实加强规划管理，引导和促进化工产业健康有序发展。</w:t>
      </w:r>
    </w:p>
    <w:p w14:paraId="213F48E7">
      <w:pPr>
        <w:pStyle w:val="55"/>
        <w:spacing w:line="360" w:lineRule="auto"/>
        <w:ind w:firstLine="480"/>
      </w:pPr>
      <w:r>
        <w:rPr>
          <w:sz w:val="24"/>
          <w:szCs w:val="24"/>
        </w:rPr>
        <w:t>四是化工园区在开发过程中，应遵循主导产业发展目标，严格控制与主导产业不相符企业入驻，限制与规划主导产业不相符企业的发展规模。</w:t>
      </w:r>
    </w:p>
    <w:bookmarkEnd w:id="372"/>
    <w:bookmarkEnd w:id="373"/>
    <w:p w14:paraId="5F089D39">
      <w:pPr>
        <w:pStyle w:val="4"/>
        <w:spacing w:before="156" w:after="156"/>
        <w:rPr>
          <w:rFonts w:ascii="Times New Roman" w:hAnsi="Times New Roman"/>
          <w:sz w:val="24"/>
          <w:szCs w:val="24"/>
        </w:rPr>
      </w:pPr>
      <w:bookmarkStart w:id="375" w:name="_Toc5900"/>
      <w:bookmarkStart w:id="376" w:name="_Toc1628669"/>
      <w:bookmarkStart w:id="377" w:name="_Toc437032106"/>
      <w:bookmarkStart w:id="378" w:name="_Toc449277657"/>
      <w:r>
        <w:rPr>
          <w:rFonts w:ascii="Times New Roman" w:hAnsi="Times New Roman"/>
          <w:sz w:val="24"/>
          <w:szCs w:val="24"/>
        </w:rPr>
        <w:t>11.2做好规划实施过程的统筹工作</w:t>
      </w:r>
      <w:bookmarkEnd w:id="375"/>
      <w:bookmarkEnd w:id="376"/>
      <w:bookmarkEnd w:id="377"/>
      <w:bookmarkEnd w:id="378"/>
    </w:p>
    <w:p w14:paraId="75677AE0">
      <w:pPr>
        <w:pStyle w:val="16"/>
        <w:suppressAutoHyphens/>
        <w:spacing w:line="360" w:lineRule="auto"/>
        <w:ind w:firstLine="480"/>
        <w:jc w:val="left"/>
        <w:rPr>
          <w:rFonts w:ascii="Times New Roman" w:hAnsi="Times New Roman"/>
          <w:kern w:val="2"/>
          <w:sz w:val="24"/>
          <w:szCs w:val="24"/>
        </w:rPr>
      </w:pPr>
      <w:r>
        <w:rPr>
          <w:rFonts w:ascii="Times New Roman" w:hAnsi="Times New Roman"/>
          <w:kern w:val="2"/>
          <w:sz w:val="24"/>
          <w:szCs w:val="24"/>
        </w:rPr>
        <w:t>为确保医药化工产业按规划实施，必须抓好规划实施过程中的协调工作。协调工作重点是：</w:t>
      </w:r>
    </w:p>
    <w:p w14:paraId="5077E99F">
      <w:pPr>
        <w:pStyle w:val="16"/>
        <w:suppressAutoHyphens/>
        <w:spacing w:line="360" w:lineRule="auto"/>
        <w:ind w:firstLine="480"/>
        <w:jc w:val="left"/>
        <w:rPr>
          <w:rFonts w:ascii="Times New Roman" w:hAnsi="Times New Roman"/>
          <w:kern w:val="2"/>
          <w:sz w:val="24"/>
          <w:szCs w:val="24"/>
        </w:rPr>
      </w:pPr>
      <w:r>
        <w:rPr>
          <w:rFonts w:ascii="Times New Roman" w:hAnsi="Times New Roman"/>
          <w:kern w:val="2"/>
          <w:sz w:val="24"/>
          <w:szCs w:val="24"/>
        </w:rPr>
        <w:t>首先，根据“有所为和有所不为”的原则，结合各地区实际，重点抓好重大医药化工项目和核心企业的建设，进而营造一个“以点带线”（即医药化工某条产业链），“以线带面”（即医药化工基地产业群）的发展态势；规定新建医药化工企业必须进入规划的产业园建设，严禁另外择址，分散布置。</w:t>
      </w:r>
    </w:p>
    <w:p w14:paraId="1F7ACECB">
      <w:pPr>
        <w:pStyle w:val="16"/>
        <w:suppressAutoHyphens/>
        <w:spacing w:line="360" w:lineRule="auto"/>
        <w:ind w:firstLine="480"/>
        <w:jc w:val="left"/>
        <w:rPr>
          <w:rFonts w:ascii="Times New Roman" w:hAnsi="Times New Roman"/>
          <w:kern w:val="2"/>
          <w:sz w:val="24"/>
          <w:szCs w:val="24"/>
        </w:rPr>
      </w:pPr>
      <w:r>
        <w:rPr>
          <w:rFonts w:ascii="Times New Roman" w:hAnsi="Times New Roman"/>
          <w:kern w:val="2"/>
          <w:sz w:val="24"/>
          <w:szCs w:val="24"/>
        </w:rPr>
        <w:t>其次，应本着“循序渐进”的原则，逐步实施。杜绝一哄而上和重复建设。</w:t>
      </w:r>
    </w:p>
    <w:p w14:paraId="10DC3274">
      <w:pPr>
        <w:spacing w:line="360" w:lineRule="auto"/>
        <w:ind w:firstLine="480" w:firstLineChars="200"/>
        <w:jc w:val="left"/>
        <w:rPr>
          <w:sz w:val="24"/>
          <w:szCs w:val="24"/>
        </w:rPr>
      </w:pPr>
      <w:r>
        <w:rPr>
          <w:sz w:val="24"/>
          <w:szCs w:val="24"/>
          <w:u w:color="FFFFFF"/>
        </w:rPr>
        <w:t>最后，</w:t>
      </w:r>
      <w:r>
        <w:rPr>
          <w:sz w:val="24"/>
          <w:szCs w:val="24"/>
        </w:rPr>
        <w:t>切实做好规划实施过程的需要解决的相关问题，包括:</w:t>
      </w:r>
    </w:p>
    <w:p w14:paraId="551A4F98">
      <w:pPr>
        <w:spacing w:line="360" w:lineRule="auto"/>
        <w:ind w:firstLine="480" w:firstLineChars="200"/>
        <w:jc w:val="left"/>
        <w:rPr>
          <w:sz w:val="24"/>
          <w:szCs w:val="24"/>
        </w:rPr>
      </w:pPr>
      <w:bookmarkStart w:id="379" w:name="_Toc1628670"/>
      <w:bookmarkStart w:id="380" w:name="_Toc28203"/>
      <w:bookmarkStart w:id="381" w:name="_Toc449277660"/>
      <w:bookmarkStart w:id="382" w:name="_Toc437032109"/>
      <w:bookmarkStart w:id="383" w:name="_Toc421607468"/>
      <w:r>
        <w:rPr>
          <w:sz w:val="24"/>
          <w:szCs w:val="24"/>
        </w:rPr>
        <w:t>一、新增化工园区位于淮南经济技术开发区东侧，与开发区道路紧密相连，建议长宁路作为化工园区物流主干道，社会车辆禁止进入。</w:t>
      </w:r>
    </w:p>
    <w:p w14:paraId="0FC33D24">
      <w:pPr>
        <w:spacing w:line="360" w:lineRule="auto"/>
        <w:ind w:firstLine="480" w:firstLineChars="200"/>
        <w:jc w:val="left"/>
        <w:rPr>
          <w:sz w:val="24"/>
          <w:szCs w:val="24"/>
        </w:rPr>
      </w:pPr>
      <w:r>
        <w:rPr>
          <w:sz w:val="24"/>
          <w:szCs w:val="24"/>
        </w:rPr>
        <w:t>二、化工园区部分与周边规划布点学校距离较近，政府部门应进行局部规划调整满足相关安全和卫生防护距离要求。</w:t>
      </w:r>
    </w:p>
    <w:p w14:paraId="733B1BE1">
      <w:pPr>
        <w:spacing w:line="360" w:lineRule="auto"/>
        <w:ind w:firstLine="480" w:firstLineChars="200"/>
        <w:jc w:val="left"/>
        <w:rPr>
          <w:sz w:val="24"/>
          <w:szCs w:val="24"/>
        </w:rPr>
      </w:pPr>
      <w:r>
        <w:rPr>
          <w:sz w:val="24"/>
          <w:szCs w:val="24"/>
        </w:rPr>
        <w:t>三、</w:t>
      </w:r>
      <w:r>
        <w:rPr>
          <w:rFonts w:hint="eastAsia"/>
          <w:sz w:val="24"/>
          <w:szCs w:val="24"/>
        </w:rPr>
        <w:t>当前加快启动推进片区一周边搬迁计划，出台明确搬迁方案文件备查。</w:t>
      </w:r>
    </w:p>
    <w:p w14:paraId="7E9D160D">
      <w:pPr>
        <w:pStyle w:val="14"/>
        <w:ind w:firstLine="480"/>
        <w:rPr>
          <w:rFonts w:eastAsia="宋体"/>
          <w:szCs w:val="24"/>
        </w:rPr>
      </w:pPr>
      <w:r>
        <w:rPr>
          <w:rFonts w:hint="eastAsia" w:eastAsia="宋体"/>
          <w:szCs w:val="24"/>
        </w:rPr>
        <w:t>四</w:t>
      </w:r>
      <w:r>
        <w:rPr>
          <w:rFonts w:eastAsia="宋体"/>
          <w:szCs w:val="24"/>
        </w:rPr>
        <w:t>、</w:t>
      </w:r>
      <w:r>
        <w:rPr>
          <w:rFonts w:hint="eastAsia" w:eastAsia="宋体"/>
          <w:szCs w:val="24"/>
        </w:rPr>
        <w:t>园区片区二有国道（拟定）穿越，建议申请停止洛九路升级为206国道的方案。</w:t>
      </w:r>
    </w:p>
    <w:p w14:paraId="423EFE15">
      <w:pPr>
        <w:tabs>
          <w:tab w:val="left" w:pos="1290"/>
        </w:tabs>
        <w:spacing w:line="360" w:lineRule="auto"/>
        <w:ind w:firstLine="470" w:firstLineChars="196"/>
        <w:rPr>
          <w:sz w:val="24"/>
          <w:szCs w:val="24"/>
        </w:rPr>
      </w:pPr>
      <w:r>
        <w:rPr>
          <w:rFonts w:hint="eastAsia"/>
          <w:sz w:val="24"/>
          <w:szCs w:val="24"/>
        </w:rPr>
        <w:t>五</w:t>
      </w:r>
      <w:r>
        <w:rPr>
          <w:sz w:val="24"/>
          <w:szCs w:val="24"/>
        </w:rPr>
        <w:t>、</w:t>
      </w:r>
      <w:r>
        <w:rPr>
          <w:rFonts w:hint="eastAsia"/>
          <w:sz w:val="24"/>
          <w:szCs w:val="24"/>
        </w:rPr>
        <w:t>化工园区安全生产管理机构依据化工园区整体性安全风险评估结果和相关法规标准的要求，划定化工园区周边土地规划安全控制线。园区管委会发布了《关于淮南经开化工工业园土地规划安全控制线通知》及《淮南经开化工工业园土地规划安全控制线》文本，并报送市自然资源局、市应急局等部门。</w:t>
      </w:r>
    </w:p>
    <w:p w14:paraId="25C760B9">
      <w:pPr>
        <w:pStyle w:val="4"/>
        <w:spacing w:before="156" w:after="156"/>
        <w:rPr>
          <w:rFonts w:ascii="Times New Roman" w:hAnsi="Times New Roman"/>
          <w:sz w:val="24"/>
          <w:szCs w:val="24"/>
        </w:rPr>
      </w:pPr>
      <w:r>
        <w:rPr>
          <w:rFonts w:ascii="Times New Roman" w:hAnsi="Times New Roman"/>
          <w:sz w:val="24"/>
          <w:szCs w:val="24"/>
        </w:rPr>
        <w:t>11.3加大人力资源开发和引进的力度</w:t>
      </w:r>
      <w:bookmarkEnd w:id="379"/>
      <w:bookmarkEnd w:id="380"/>
      <w:bookmarkEnd w:id="381"/>
      <w:bookmarkEnd w:id="382"/>
      <w:bookmarkEnd w:id="383"/>
    </w:p>
    <w:p w14:paraId="22C3DF5F">
      <w:pPr>
        <w:spacing w:line="360" w:lineRule="auto"/>
        <w:ind w:firstLine="480" w:firstLineChars="200"/>
        <w:jc w:val="left"/>
        <w:rPr>
          <w:sz w:val="24"/>
          <w:szCs w:val="24"/>
        </w:rPr>
      </w:pPr>
      <w:bookmarkStart w:id="384" w:name="_Toc198351772"/>
      <w:bookmarkStart w:id="385" w:name="_Toc241370589"/>
      <w:bookmarkStart w:id="386" w:name="_Toc198370399"/>
      <w:bookmarkStart w:id="387" w:name="_Toc198345016"/>
      <w:bookmarkStart w:id="388" w:name="_Toc203209386"/>
      <w:bookmarkStart w:id="389" w:name="_Toc198351525"/>
      <w:bookmarkStart w:id="390" w:name="_Toc198370347"/>
      <w:bookmarkStart w:id="391" w:name="_Toc198346953"/>
      <w:bookmarkStart w:id="392" w:name="_Toc198304789"/>
      <w:r>
        <w:rPr>
          <w:sz w:val="24"/>
          <w:szCs w:val="24"/>
        </w:rPr>
        <w:t>医药化工产业属于技术密集型产业，其项目建设、生产经营、产品开发等领域都需要大量的专业化人才。本化工园区新材料产业具有一定基础，具有相当一批化工业的专家人才，并且安徽省内高校众多，可为产业发展提供充裕的人才队伍。采用科学的人才政策，着力营造感情留人、待遇留人和事业留人的环境，对引进的高层次人才在住房、科研、生活津贴等方面尽可能提供扶持；另外，建立有利于医药化工人才健康成长和优秀人才脱颖而出的激励机制，支持采取期权、技术入股、特殊津贴等灵活的激励措施，鼓励企业引进国际国内尖端人才。对医药化工关键技术开发、推广应用做出突出贡献的人员给予表彰和奖励。改善医药化工产业高级经营人才、科技人才和技能人才的工作生活条件，努力遏制人才外流。</w:t>
      </w:r>
    </w:p>
    <w:bookmarkEnd w:id="384"/>
    <w:bookmarkEnd w:id="385"/>
    <w:bookmarkEnd w:id="386"/>
    <w:bookmarkEnd w:id="387"/>
    <w:bookmarkEnd w:id="388"/>
    <w:bookmarkEnd w:id="389"/>
    <w:bookmarkEnd w:id="390"/>
    <w:bookmarkEnd w:id="391"/>
    <w:bookmarkEnd w:id="392"/>
    <w:p w14:paraId="5BC6F15B">
      <w:pPr>
        <w:pStyle w:val="4"/>
        <w:spacing w:before="156" w:after="156"/>
        <w:rPr>
          <w:rFonts w:ascii="Times New Roman" w:hAnsi="Times New Roman"/>
          <w:sz w:val="24"/>
          <w:szCs w:val="24"/>
        </w:rPr>
      </w:pPr>
      <w:bookmarkStart w:id="393" w:name="_Toc1628671"/>
      <w:bookmarkStart w:id="394" w:name="_Toc437032110"/>
      <w:bookmarkStart w:id="395" w:name="_Toc16555"/>
      <w:bookmarkStart w:id="396" w:name="_Toc449277661"/>
      <w:bookmarkStart w:id="397" w:name="_Toc421607469"/>
      <w:r>
        <w:rPr>
          <w:rFonts w:ascii="Times New Roman" w:hAnsi="Times New Roman"/>
          <w:sz w:val="24"/>
          <w:szCs w:val="24"/>
        </w:rPr>
        <w:t>11.4关注行业发展，坚持科技创新，以新技术的推广带动化工产业的发展</w:t>
      </w:r>
      <w:bookmarkEnd w:id="393"/>
      <w:bookmarkEnd w:id="394"/>
      <w:bookmarkEnd w:id="395"/>
      <w:bookmarkEnd w:id="396"/>
      <w:bookmarkEnd w:id="397"/>
    </w:p>
    <w:p w14:paraId="5E7D7999">
      <w:pPr>
        <w:spacing w:line="360" w:lineRule="auto"/>
        <w:ind w:firstLine="480" w:firstLineChars="200"/>
        <w:jc w:val="left"/>
        <w:rPr>
          <w:sz w:val="24"/>
          <w:szCs w:val="24"/>
        </w:rPr>
      </w:pPr>
      <w:r>
        <w:rPr>
          <w:sz w:val="24"/>
          <w:szCs w:val="24"/>
        </w:rPr>
        <w:t>医药化工技术发展日新月异，在把握住市场发展方向的前提下，保持技术敏感度，积极跟踪调研当前医药化工行业出现的新技术新产品。医药化工产业是技术密集型产业，产业的发展关键在于重大技术的突破及其产业化。要积极扶持和推进现有工业试验装置的产业化，同时要加强联合，让企业技术中心与医药化工行业的科研院所联姻，整合原有医药化工技术力量，集中力量对医药化工产业中的基础性生产技术进行创新。组建医药化工行业企业技术服务中心，加大人力、财力支持力度，为医药化工行业中小企业发展提供技术服务和支持，建立起医药化工产业发展技术支撑体系和技术共享平台。</w:t>
      </w:r>
    </w:p>
    <w:p w14:paraId="5CAF8A9C">
      <w:pPr>
        <w:pStyle w:val="4"/>
        <w:spacing w:before="156" w:after="156"/>
        <w:rPr>
          <w:rFonts w:ascii="Times New Roman" w:hAnsi="Times New Roman"/>
          <w:sz w:val="24"/>
          <w:szCs w:val="24"/>
        </w:rPr>
      </w:pPr>
      <w:bookmarkStart w:id="398" w:name="_Toc21382"/>
      <w:bookmarkStart w:id="399" w:name="_Toc1628672"/>
      <w:r>
        <w:rPr>
          <w:rFonts w:ascii="Times New Roman" w:hAnsi="Times New Roman"/>
          <w:sz w:val="24"/>
          <w:szCs w:val="24"/>
        </w:rPr>
        <w:t>11.5加强招商引资，发展循环经济</w:t>
      </w:r>
      <w:bookmarkEnd w:id="398"/>
      <w:bookmarkEnd w:id="399"/>
    </w:p>
    <w:p w14:paraId="339A9E17">
      <w:pPr>
        <w:spacing w:line="360" w:lineRule="auto"/>
        <w:ind w:firstLine="480" w:firstLineChars="200"/>
        <w:jc w:val="left"/>
        <w:rPr>
          <w:sz w:val="24"/>
          <w:szCs w:val="24"/>
        </w:rPr>
      </w:pPr>
      <w:r>
        <w:rPr>
          <w:sz w:val="24"/>
        </w:rPr>
        <w:t>目前区块一未开发面积1.6</w:t>
      </w:r>
      <w:r>
        <w:rPr>
          <w:rFonts w:hint="eastAsia"/>
          <w:sz w:val="24"/>
        </w:rPr>
        <w:t>7</w:t>
      </w:r>
      <w:r>
        <w:rPr>
          <w:sz w:val="24"/>
        </w:rPr>
        <w:t>公顷。区块二总未开发面积51.1公顷。鉴于淮南经济技术开发区目前仍有52.7</w:t>
      </w:r>
      <w:r>
        <w:rPr>
          <w:rFonts w:hint="eastAsia"/>
          <w:sz w:val="24"/>
        </w:rPr>
        <w:t>7</w:t>
      </w:r>
      <w:r>
        <w:rPr>
          <w:sz w:val="24"/>
        </w:rPr>
        <w:t>公顷左右的可建设用地，</w:t>
      </w:r>
      <w:r>
        <w:rPr>
          <w:sz w:val="24"/>
          <w:szCs w:val="24"/>
        </w:rPr>
        <w:t>应加强招商引资，招商引资因结合当地资源、发展现状及化工园区重点发展医药化工的定位，优先引进高附加值、符合国家高新技术产业发展方向、属于国家或省级战略性新兴医药化工产业，同时与本地区资源及现有产业契合度高的项目应加大招商扶持力度。同时，在招商引资过程中加强投资导向引导，对于当前国内产能过剩的投资项目要慎重筛选，严格论证。</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97DDF6A">
      <w:pPr>
        <w:widowControl/>
        <w:jc w:val="center"/>
        <w:rPr>
          <w:sz w:val="24"/>
          <w:szCs w:val="24"/>
          <w:u w:color="FFFFFF"/>
        </w:rPr>
      </w:pPr>
    </w:p>
    <w:p w14:paraId="14FB97BC"/>
    <w:sectPr>
      <w:headerReference r:id="rId15" w:type="first"/>
      <w:headerReference r:id="rId14" w:type="default"/>
      <w:footerReference r:id="rId16" w:type="default"/>
      <w:pgSz w:w="23811" w:h="16838" w:orient="landscape"/>
      <w:pgMar w:top="1418" w:right="1701" w:bottom="1418" w:left="1418" w:header="1418" w:footer="851" w:gutter="454"/>
      <w:pgNumType w:start="1"/>
      <w:cols w:equalWidth="0" w:num="2">
        <w:col w:w="9906" w:space="425"/>
        <w:col w:w="9906"/>
      </w:cols>
      <w:docGrid w:linePitch="38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经典粗宋简">
    <w:altName w:val="微软雅黑"/>
    <w:panose1 w:val="00000000000000000000"/>
    <w:charset w:val="86"/>
    <w:family w:val="modern"/>
    <w:pitch w:val="default"/>
    <w:sig w:usb0="00000000" w:usb1="00000000" w:usb2="0000001E"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ACA25">
    <w:pPr>
      <w:pStyle w:val="18"/>
      <w:framePr w:wrap="around" w:vAnchor="text" w:hAnchor="margin" w:xAlign="center" w:y="1"/>
      <w:rPr>
        <w:rStyle w:val="29"/>
      </w:rPr>
    </w:pPr>
    <w:r>
      <w:fldChar w:fldCharType="begin"/>
    </w:r>
    <w:r>
      <w:rPr>
        <w:rStyle w:val="29"/>
      </w:rPr>
      <w:instrText xml:space="preserve">PAGE  </w:instrText>
    </w:r>
    <w:r>
      <w:fldChar w:fldCharType="separate"/>
    </w:r>
    <w:r>
      <w:rPr>
        <w:rStyle w:val="29"/>
      </w:rPr>
      <w:t>2</w:t>
    </w:r>
    <w:r>
      <w:fldChar w:fldCharType="end"/>
    </w:r>
  </w:p>
  <w:p w14:paraId="2A0259C0">
    <w:pPr>
      <w:pStyle w:val="1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066DB">
    <w:pPr>
      <w:pStyle w:val="18"/>
      <w:tabs>
        <w:tab w:val="center" w:pos="4153"/>
        <w:tab w:val="right" w:pos="8306"/>
      </w:tabs>
      <w:rPr>
        <w:rFonts w:cs="Arial"/>
      </w:rPr>
    </w:pPr>
    <w:r>
      <w:pict>
        <v:shape id="_x0000_s2056" o:spid="_x0000_s205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gsgtcoBAACbAwAADgAAAAAAAAABACAAAAAeAQAAZHJzL2Uyb0Rv&#10;Yy54bWxQSwUGAAAAAAYABgBZAQAAWgUAAAAA&#10;">
          <v:path/>
          <v:fill on="f" focussize="0,0"/>
          <v:stroke on="f" joinstyle="miter"/>
          <v:imagedata o:title=""/>
          <o:lock v:ext="edit"/>
          <v:textbox inset="0mm,0mm,0mm,0mm" style="mso-fit-shape-to-text:t;">
            <w:txbxContent>
              <w:p w14:paraId="0B36F152">
                <w:pPr>
                  <w:pStyle w:val="18"/>
                  <w:tabs>
                    <w:tab w:val="center" w:pos="4153"/>
                    <w:tab w:val="right" w:pos="8306"/>
                  </w:tabs>
                </w:pPr>
                <w:r>
                  <w:rPr>
                    <w:rFonts w:cs="Arial"/>
                  </w:rPr>
                  <w:fldChar w:fldCharType="begin"/>
                </w:r>
                <w:r>
                  <w:rPr>
                    <w:rFonts w:cs="Arial"/>
                  </w:rPr>
                  <w:instrText xml:space="preserve">PAGE   \* MERGEFORMAT</w:instrText>
                </w:r>
                <w:r>
                  <w:rPr>
                    <w:rFonts w:cs="Arial"/>
                  </w:rPr>
                  <w:fldChar w:fldCharType="separate"/>
                </w:r>
                <w:r>
                  <w:rPr>
                    <w:rFonts w:cs="Arial"/>
                    <w:lang w:val="zh-CN"/>
                  </w:rPr>
                  <w:t>6</w:t>
                </w:r>
                <w:r>
                  <w:rPr>
                    <w:rFonts w:cs="Arial"/>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809CE">
    <w:pPr>
      <w:pStyle w:val="18"/>
      <w:tabs>
        <w:tab w:val="center" w:pos="4153"/>
        <w:tab w:val="right" w:pos="8306"/>
      </w:tabs>
    </w:pPr>
    <w:r>
      <w:pict>
        <v:shape id="_x0000_s2055" o:spid="_x0000_s2055"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InXRMsBAACb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mpqWbymx3ODEz9+/nX/8Ov/8&#10;StCHDeo9VJj35DEzDnduwLWZ/YDOpHtog0lfVEQwju09Xdorh0hEelSuyrLAkMDYfEF89vzcB4jv&#10;pTMkGTUNOL/cVn58hDimzimpmnX3Sus8Q23/ciBm8rDEfeSYrDjshknQzjUn1NPj6GtqcdMp0Q8W&#10;O5u2ZDbCbOxm4+CD2ndIbZl5gb89RCSRuaUKI+xUGGeW1U37lZbiz3vOev6n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yJ10TLAQAAmwMAAA4AAAAAAAAAAQAgAAAAHgEAAGRycy9lMm9E&#10;b2MueG1sUEsFBgAAAAAGAAYAWQEAAFsFAAAAAA==&#10;">
          <v:path/>
          <v:fill on="f" focussize="0,0"/>
          <v:stroke on="f" joinstyle="miter"/>
          <v:imagedata o:title=""/>
          <o:lock v:ext="edit"/>
          <v:textbox inset="0mm,0mm,0mm,0mm" style="mso-fit-shape-to-text:t;">
            <w:txbxContent>
              <w:p w14:paraId="7191C216">
                <w:pPr>
                  <w:pStyle w:val="18"/>
                  <w:tabs>
                    <w:tab w:val="center" w:pos="4153"/>
                    <w:tab w:val="right" w:pos="8306"/>
                  </w:tabs>
                </w:pPr>
                <w:r>
                  <w:fldChar w:fldCharType="begin"/>
                </w:r>
                <w:r>
                  <w:instrText xml:space="preserve"> PAGE  \* MERGEFORMAT </w:instrText>
                </w:r>
                <w:r>
                  <w:fldChar w:fldCharType="separate"/>
                </w:r>
                <w:r>
                  <w:t>173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790B4">
    <w:pPr>
      <w:pStyle w:val="1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68D0F">
    <w:pPr>
      <w:pStyle w:val="19"/>
      <w:framePr w:hSpace="0" w:vSpace="0" w:wrap="auto" w:vAnchor="margin" w:hAnchor="text" w:yAlign="inline"/>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3D265">
    <w:pPr>
      <w:pStyle w:val="19"/>
      <w:framePr w:hSpace="0" w:vSpace="0" w:wrap="auto" w:vAnchor="margin" w:hAnchor="text" w:yAlign="inline"/>
      <w:jc w:val="both"/>
    </w:pPr>
    <w:r>
      <w:rPr>
        <w:sz w:val="20"/>
      </w:rPr>
      <w:pict>
        <v:shape id="Object 1" o:spid="_x0000_s2049" o:spt="75" type="#_x0000_t75" style="position:absolute;left:0pt;margin-left:420pt;margin-top:-4.85pt;height:19.55pt;width:35pt;mso-wrap-distance-left:9pt;mso-wrap-distance-right:9pt;z-index:-251657216;mso-width-relative:page;mso-height-relative:page;" o:ole="t" filled="f" o:preferrelative="t" stroked="f" coordsize="21600,21600" wrapcoords="-584 0 -584 20571 21600 20571 21600 0 -584 0">
          <v:path/>
          <v:fill on="f" focussize="0,0"/>
          <v:stroke on="f" joinstyle="miter"/>
          <v:imagedata r:id="rId2" o:title=""/>
          <o:lock v:ext="edit" aspectratio="t"/>
          <w10:wrap type="tight" side="right"/>
        </v:shape>
        <o:OLEObject Type="Embed" ProgID="PBrush" ShapeID="Object 1" DrawAspect="Content" ObjectID="_1468075725" r:id="rId1">
          <o:LockedField>false</o:LockedField>
        </o:OLEObject>
      </w:pict>
    </w:r>
    <w:r>
      <w:rPr>
        <w:rFonts w:hint="eastAsia"/>
        <w:sz w:val="21"/>
      </w:rPr>
      <w:t xml:space="preserve">年产一万吨炭黑项目可研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C40F5">
    <w:pPr>
      <w:pStyle w:val="19"/>
      <w:framePr w:hSpace="0" w:vSpace="0" w:wrap="auto" w:vAnchor="margin" w:hAnchor="text" w:yAlign="inline"/>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A3AAE">
    <w:pPr>
      <w:pStyle w:val="19"/>
      <w:framePr w:wrap="around"/>
      <w:pBdr>
        <w:bottom w:val="none" w:color="auto" w:sz="0" w:space="1"/>
      </w:pBdr>
      <w:tabs>
        <w:tab w:val="center" w:pos="4153"/>
        <w:tab w:val="left" w:pos="6420"/>
        <w:tab w:val="right" w:pos="8306"/>
      </w:tabs>
      <w:jc w:val="left"/>
      <w:rPr>
        <w:rFonts w:eastAsia="宋体"/>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B41D2">
    <w:pPr>
      <w:pStyle w:val="19"/>
      <w:framePr w:wrap="around"/>
      <w:tabs>
        <w:tab w:val="center" w:pos="4153"/>
        <w:tab w:val="right" w:pos="8306"/>
      </w:tabs>
    </w:pPr>
    <w:r>
      <w:rPr>
        <w:rFonts w:hint="eastAsia"/>
        <w:sz w:val="21"/>
        <w:szCs w:val="21"/>
      </w:rPr>
      <w:t>淮南经开化工园区总体发展规划（2021-2030）（2023年修编）</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2317B">
    <w:pPr>
      <w:pStyle w:val="19"/>
      <w:framePr w:wrap="around"/>
      <w:tabs>
        <w:tab w:val="center" w:pos="4153"/>
        <w:tab w:val="right" w:pos="8306"/>
      </w:tabs>
    </w:pPr>
    <w:r>
      <w:rPr>
        <w:rFonts w:hint="eastAsia"/>
        <w:sz w:val="21"/>
        <w:szCs w:val="21"/>
      </w:rPr>
      <w:t>淮南经开化工园区总体发展规划（2021-2030）（2023年修编）</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32DC4">
    <w:pPr>
      <w:pStyle w:val="19"/>
      <w:framePr w:hSpace="0" w:vSpace="0" w:wrap="auto" w:vAnchor="margin" w:hAnchor="text" w:yAlign="inline"/>
      <w:pBdr>
        <w:bottom w:val="none" w:color="auto" w:sz="0" w:space="1"/>
      </w:pBdr>
      <w:rPr>
        <w:rFonts w:ascii="华文新魏" w:eastAsia="华文新魏"/>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7C529">
    <w:pPr>
      <w:pStyle w:val="19"/>
      <w:framePr w:hSpace="0" w:vSpace="0" w:wrap="auto" w:vAnchor="margin" w:hAnchor="text" w:yAlign="inline"/>
      <w:jc w:val="right"/>
    </w:pPr>
    <w:r>
      <w:rPr>
        <w:sz w:val="20"/>
      </w:rPr>
      <w:pict>
        <v:shape id="Object 6" o:spid="_x0000_s2054" o:spt="75" type="#_x0000_t75" style="position:absolute;left:0pt;margin-top:-8.75pt;height:19.55pt;width:35pt;mso-position-horizontal:left;mso-wrap-distance-left:9pt;mso-wrap-distance-right:9pt;z-index:-251656192;mso-width-relative:page;mso-height-relative:page;" o:ole="t" filled="f" o:preferrelative="t" stroked="f" coordsize="21600,21600" wrapcoords="-584 0 -584 20571 21600 20571 21600 0 -584 0">
          <v:path/>
          <v:fill on="f" focussize="0,0"/>
          <v:stroke on="f" joinstyle="miter"/>
          <v:imagedata r:id="rId2" o:title=""/>
          <o:lock v:ext="edit" aspectratio="t"/>
          <w10:wrap type="tight" side="right"/>
        </v:shape>
        <o:OLEObject Type="Embed" ProgID="PBrush" ShapeID="Object 6" DrawAspect="Content" ObjectID="_1468075726" r:id="rId1">
          <o:LockedField>false</o:LockedField>
        </o:OLEObject>
      </w:pict>
    </w:r>
    <w:r>
      <w:rPr>
        <w:rFonts w:hint="eastAsia"/>
        <w:sz w:val="21"/>
      </w:rPr>
      <w:t xml:space="preserve">                                                          1  概述</w:t>
    </w:r>
  </w:p>
  <w:p w14:paraId="59563582">
    <w:pPr>
      <w:pStyle w:val="19"/>
      <w:framePr w:hSpace="0" w:vSpace="0" w:wrap="auto" w:vAnchor="margin" w:hAnchor="text" w:yAlign="inline"/>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FA10AC"/>
    <w:multiLevelType w:val="singleLevel"/>
    <w:tmpl w:val="CCFA10AC"/>
    <w:lvl w:ilvl="0" w:tentative="0">
      <w:start w:val="1"/>
      <w:numFmt w:val="decimal"/>
      <w:suff w:val="nothing"/>
      <w:lvlText w:val="%1、"/>
      <w:lvlJc w:val="left"/>
    </w:lvl>
  </w:abstractNum>
  <w:abstractNum w:abstractNumId="1">
    <w:nsid w:val="D34A2DB6"/>
    <w:multiLevelType w:val="singleLevel"/>
    <w:tmpl w:val="D34A2DB6"/>
    <w:lvl w:ilvl="0" w:tentative="0">
      <w:start w:val="1"/>
      <w:numFmt w:val="decimal"/>
      <w:suff w:val="nothing"/>
      <w:lvlText w:val="（%1）"/>
      <w:lvlJc w:val="left"/>
    </w:lvl>
  </w:abstractNum>
  <w:abstractNum w:abstractNumId="2">
    <w:nsid w:val="D8398588"/>
    <w:multiLevelType w:val="singleLevel"/>
    <w:tmpl w:val="D8398588"/>
    <w:lvl w:ilvl="0" w:tentative="0">
      <w:start w:val="1"/>
      <w:numFmt w:val="decimal"/>
      <w:lvlText w:val="(%1)"/>
      <w:lvlJc w:val="left"/>
      <w:pPr>
        <w:tabs>
          <w:tab w:val="left" w:pos="312"/>
        </w:tabs>
      </w:pPr>
    </w:lvl>
  </w:abstractNum>
  <w:abstractNum w:abstractNumId="3">
    <w:nsid w:val="0EC4F554"/>
    <w:multiLevelType w:val="singleLevel"/>
    <w:tmpl w:val="0EC4F554"/>
    <w:lvl w:ilvl="0" w:tentative="0">
      <w:start w:val="3"/>
      <w:numFmt w:val="decimal"/>
      <w:suff w:val="space"/>
      <w:lvlText w:val="%1."/>
      <w:lvlJc w:val="left"/>
    </w:lvl>
  </w:abstractNum>
  <w:abstractNum w:abstractNumId="4">
    <w:nsid w:val="183A2A16"/>
    <w:multiLevelType w:val="multilevel"/>
    <w:tmpl w:val="183A2A16"/>
    <w:lvl w:ilvl="0" w:tentative="0">
      <w:start w:val="1"/>
      <w:numFmt w:val="decimal"/>
      <w:lvlText w:val="%1)"/>
      <w:lvlJc w:val="left"/>
      <w:pPr>
        <w:tabs>
          <w:tab w:val="left" w:pos="420"/>
        </w:tabs>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8E42957"/>
    <w:multiLevelType w:val="multilevel"/>
    <w:tmpl w:val="18E429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191FB867"/>
    <w:multiLevelType w:val="singleLevel"/>
    <w:tmpl w:val="191FB867"/>
    <w:lvl w:ilvl="0" w:tentative="0">
      <w:start w:val="2"/>
      <w:numFmt w:val="decimal"/>
      <w:suff w:val="space"/>
      <w:lvlText w:val="%1."/>
      <w:lvlJc w:val="left"/>
    </w:lvl>
  </w:abstractNum>
  <w:abstractNum w:abstractNumId="7">
    <w:nsid w:val="1DFEEE88"/>
    <w:multiLevelType w:val="singleLevel"/>
    <w:tmpl w:val="1DFEEE88"/>
    <w:lvl w:ilvl="0" w:tentative="0">
      <w:start w:val="1"/>
      <w:numFmt w:val="decimal"/>
      <w:lvlText w:val="%1)"/>
      <w:lvlJc w:val="left"/>
      <w:pPr>
        <w:tabs>
          <w:tab w:val="left" w:pos="312"/>
        </w:tabs>
      </w:pPr>
    </w:lvl>
  </w:abstractNum>
  <w:abstractNum w:abstractNumId="8">
    <w:nsid w:val="24231464"/>
    <w:multiLevelType w:val="multilevel"/>
    <w:tmpl w:val="24231464"/>
    <w:lvl w:ilvl="0" w:tentative="0">
      <w:start w:val="1"/>
      <w:numFmt w:val="decimal"/>
      <w:lvlText w:val="%1)"/>
      <w:lvlJc w:val="left"/>
      <w:pPr>
        <w:tabs>
          <w:tab w:val="left" w:pos="780"/>
        </w:tabs>
        <w:ind w:left="780" w:hanging="420"/>
      </w:pPr>
    </w:lvl>
    <w:lvl w:ilvl="1" w:tentative="0">
      <w:start w:val="1"/>
      <w:numFmt w:val="decimalEnclosedCircle"/>
      <w:lvlText w:val="%2"/>
      <w:lvlJc w:val="left"/>
      <w:pPr>
        <w:ind w:left="1140" w:hanging="360"/>
      </w:pPr>
      <w:rPr>
        <w:rFonts w:hint="default"/>
      </w:r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9">
    <w:nsid w:val="28114DA9"/>
    <w:multiLevelType w:val="multilevel"/>
    <w:tmpl w:val="28114DA9"/>
    <w:lvl w:ilvl="0" w:tentative="0">
      <w:start w:val="1"/>
      <w:numFmt w:val="decimal"/>
      <w:pStyle w:val="3"/>
      <w:suff w:val="space"/>
      <w:lvlText w:val="%1 "/>
      <w:lvlJc w:val="center"/>
      <w:pPr>
        <w:ind w:left="0" w:firstLine="0"/>
      </w:pPr>
      <w:rPr>
        <w:rFonts w:hint="default" w:ascii="Arial" w:hAnsi="Arial" w:eastAsia="经典粗宋简"/>
        <w:b/>
        <w:i w:val="0"/>
        <w:sz w:val="32"/>
      </w:rPr>
    </w:lvl>
    <w:lvl w:ilvl="1" w:tentative="0">
      <w:start w:val="1"/>
      <w:numFmt w:val="decimal"/>
      <w:pStyle w:val="4"/>
      <w:suff w:val="space"/>
      <w:lvlText w:val="%1.%2"/>
      <w:lvlJc w:val="left"/>
      <w:pPr>
        <w:ind w:left="0" w:firstLine="567"/>
      </w:pPr>
      <w:rPr>
        <w:rFonts w:hint="default" w:ascii="Arial" w:hAnsi="Arial" w:eastAsia="黑体"/>
        <w:spacing w:val="0"/>
        <w:position w:val="0"/>
        <w:sz w:val="30"/>
      </w:rPr>
    </w:lvl>
    <w:lvl w:ilvl="2" w:tentative="0">
      <w:start w:val="1"/>
      <w:numFmt w:val="decimal"/>
      <w:pStyle w:val="5"/>
      <w:suff w:val="space"/>
      <w:lvlText w:val="%1.%2.%3"/>
      <w:lvlJc w:val="left"/>
      <w:pPr>
        <w:ind w:left="0" w:firstLine="567"/>
      </w:pPr>
      <w:rPr>
        <w:rFonts w:hint="default" w:ascii="Arial" w:hAnsi="Arial" w:eastAsia="黑体"/>
        <w:sz w:val="30"/>
      </w:rPr>
    </w:lvl>
    <w:lvl w:ilvl="3" w:tentative="0">
      <w:start w:val="1"/>
      <w:numFmt w:val="decimal"/>
      <w:pStyle w:val="6"/>
      <w:suff w:val="space"/>
      <w:lvlText w:val="%1.%2.%3.%4"/>
      <w:lvlJc w:val="left"/>
      <w:pPr>
        <w:ind w:left="0" w:firstLine="567"/>
      </w:pPr>
      <w:rPr>
        <w:rFonts w:hint="default" w:ascii="Arial" w:hAnsi="Arial" w:eastAsia="楷体_GB2312"/>
        <w:b/>
        <w:bCs/>
        <w:i w:val="0"/>
        <w:sz w:val="28"/>
        <w:szCs w:val="18"/>
      </w:rPr>
    </w:lvl>
    <w:lvl w:ilvl="4" w:tentative="0">
      <w:start w:val="1"/>
      <w:numFmt w:val="decimal"/>
      <w:pStyle w:val="7"/>
      <w:suff w:val="space"/>
      <w:lvlText w:val="%1.%2.%3.%4.%5"/>
      <w:lvlJc w:val="left"/>
      <w:pPr>
        <w:ind w:left="0" w:firstLine="567"/>
      </w:pPr>
      <w:rPr>
        <w:rFonts w:hint="default" w:ascii="Arial" w:hAnsi="Arial" w:eastAsia="仿宋_GB2312"/>
        <w:b/>
        <w:i w:val="0"/>
        <w:sz w:val="28"/>
      </w:rPr>
    </w:lvl>
    <w:lvl w:ilvl="5" w:tentative="0">
      <w:start w:val="1"/>
      <w:numFmt w:val="decimal"/>
      <w:pStyle w:val="8"/>
      <w:suff w:val="space"/>
      <w:lvlText w:val="%1.%2.%3.%4.%5.%6"/>
      <w:lvlJc w:val="left"/>
      <w:pPr>
        <w:ind w:left="0" w:firstLine="567"/>
      </w:pPr>
      <w:rPr>
        <w:rFonts w:hint="default" w:ascii="Arial" w:hAnsi="Arial" w:eastAsia="仿宋_GB2312"/>
        <w:sz w:val="28"/>
      </w:rPr>
    </w:lvl>
    <w:lvl w:ilvl="6" w:tentative="0">
      <w:start w:val="1"/>
      <w:numFmt w:val="decimal"/>
      <w:pStyle w:val="9"/>
      <w:suff w:val="space"/>
      <w:lvlText w:val="%1.%2.%3.%4.%5.%6.%7"/>
      <w:lvlJc w:val="left"/>
      <w:pPr>
        <w:ind w:left="0" w:firstLine="567"/>
      </w:pPr>
      <w:rPr>
        <w:rFonts w:hint="eastAsia"/>
      </w:rPr>
    </w:lvl>
    <w:lvl w:ilvl="7" w:tentative="0">
      <w:start w:val="1"/>
      <w:numFmt w:val="decimal"/>
      <w:pStyle w:val="10"/>
      <w:suff w:val="space"/>
      <w:lvlText w:val="%1.%2.%3.%4.%5.%6.%7.%8"/>
      <w:lvlJc w:val="left"/>
      <w:pPr>
        <w:ind w:left="0" w:firstLine="567"/>
      </w:pPr>
      <w:rPr>
        <w:rFonts w:hint="eastAsia"/>
      </w:rPr>
    </w:lvl>
    <w:lvl w:ilvl="8" w:tentative="0">
      <w:start w:val="1"/>
      <w:numFmt w:val="decimal"/>
      <w:pStyle w:val="11"/>
      <w:suff w:val="space"/>
      <w:lvlText w:val="%1.%2.%3.%4.%5.%6.%7.%8.%9"/>
      <w:lvlJc w:val="left"/>
      <w:pPr>
        <w:ind w:left="0" w:firstLine="567"/>
      </w:pPr>
      <w:rPr>
        <w:rFonts w:hint="eastAsia"/>
      </w:rPr>
    </w:lvl>
  </w:abstractNum>
  <w:abstractNum w:abstractNumId="10">
    <w:nsid w:val="39524456"/>
    <w:multiLevelType w:val="multilevel"/>
    <w:tmpl w:val="39524456"/>
    <w:lvl w:ilvl="0" w:tentative="0">
      <w:start w:val="1"/>
      <w:numFmt w:val="decimal"/>
      <w:lvlText w:val="（%1）"/>
      <w:lvlJc w:val="left"/>
      <w:pPr>
        <w:ind w:left="1200" w:hanging="7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51A02C21"/>
    <w:multiLevelType w:val="multilevel"/>
    <w:tmpl w:val="51A02C21"/>
    <w:lvl w:ilvl="0" w:tentative="0">
      <w:start w:val="1"/>
      <w:numFmt w:val="decimal"/>
      <w:lvlText w:val="%1)"/>
      <w:lvlJc w:val="left"/>
      <w:pPr>
        <w:tabs>
          <w:tab w:val="left" w:pos="420"/>
        </w:tabs>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21D4C6B"/>
    <w:multiLevelType w:val="singleLevel"/>
    <w:tmpl w:val="521D4C6B"/>
    <w:lvl w:ilvl="0" w:tentative="0">
      <w:start w:val="1"/>
      <w:numFmt w:val="decimal"/>
      <w:suff w:val="nothing"/>
      <w:lvlText w:val="%1、"/>
      <w:lvlJc w:val="left"/>
    </w:lvl>
  </w:abstractNum>
  <w:abstractNum w:abstractNumId="13">
    <w:nsid w:val="539E0C2D"/>
    <w:multiLevelType w:val="multilevel"/>
    <w:tmpl w:val="539E0C2D"/>
    <w:lvl w:ilvl="0" w:tentative="0">
      <w:start w:val="1"/>
      <w:numFmt w:val="decimal"/>
      <w:lvlText w:val="%1)"/>
      <w:lvlJc w:val="left"/>
      <w:pPr>
        <w:tabs>
          <w:tab w:val="left" w:pos="420"/>
        </w:tabs>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59185F01"/>
    <w:multiLevelType w:val="singleLevel"/>
    <w:tmpl w:val="59185F01"/>
    <w:lvl w:ilvl="0" w:tentative="0">
      <w:start w:val="1"/>
      <w:numFmt w:val="decimal"/>
      <w:suff w:val="nothing"/>
      <w:lvlText w:val="（%1）"/>
      <w:lvlJc w:val="left"/>
    </w:lvl>
  </w:abstractNum>
  <w:abstractNum w:abstractNumId="15">
    <w:nsid w:val="6497BDBD"/>
    <w:multiLevelType w:val="singleLevel"/>
    <w:tmpl w:val="6497BDBD"/>
    <w:lvl w:ilvl="0" w:tentative="0">
      <w:start w:val="6"/>
      <w:numFmt w:val="chineseCounting"/>
      <w:suff w:val="nothing"/>
      <w:lvlText w:val="%1、"/>
      <w:lvlJc w:val="left"/>
      <w:rPr>
        <w:rFonts w:hint="eastAsia"/>
      </w:rPr>
    </w:lvl>
  </w:abstractNum>
  <w:abstractNum w:abstractNumId="16">
    <w:nsid w:val="6562B696"/>
    <w:multiLevelType w:val="singleLevel"/>
    <w:tmpl w:val="6562B696"/>
    <w:lvl w:ilvl="0" w:tentative="0">
      <w:start w:val="1"/>
      <w:numFmt w:val="decimal"/>
      <w:suff w:val="space"/>
      <w:lvlText w:val="(%1)"/>
      <w:lvlJc w:val="left"/>
    </w:lvl>
  </w:abstractNum>
  <w:abstractNum w:abstractNumId="17">
    <w:nsid w:val="6B9B7968"/>
    <w:multiLevelType w:val="singleLevel"/>
    <w:tmpl w:val="6B9B7968"/>
    <w:lvl w:ilvl="0" w:tentative="0">
      <w:start w:val="1"/>
      <w:numFmt w:val="decimal"/>
      <w:suff w:val="space"/>
      <w:lvlText w:val="%1."/>
      <w:lvlJc w:val="left"/>
    </w:lvl>
  </w:abstractNum>
  <w:abstractNum w:abstractNumId="18">
    <w:nsid w:val="743BDE84"/>
    <w:multiLevelType w:val="singleLevel"/>
    <w:tmpl w:val="743BDE84"/>
    <w:lvl w:ilvl="0" w:tentative="0">
      <w:start w:val="1"/>
      <w:numFmt w:val="decimal"/>
      <w:lvlText w:val="(%1)"/>
      <w:lvlJc w:val="left"/>
      <w:pPr>
        <w:tabs>
          <w:tab w:val="left" w:pos="312"/>
        </w:tabs>
      </w:pPr>
    </w:lvl>
  </w:abstractNum>
  <w:abstractNum w:abstractNumId="19">
    <w:nsid w:val="7CAB7211"/>
    <w:multiLevelType w:val="multilevel"/>
    <w:tmpl w:val="7CAB7211"/>
    <w:lvl w:ilvl="0" w:tentative="0">
      <w:start w:val="1"/>
      <w:numFmt w:val="decimal"/>
      <w:lvlText w:val="%1)"/>
      <w:lvlJc w:val="left"/>
      <w:pPr>
        <w:tabs>
          <w:tab w:val="left" w:pos="420"/>
        </w:tabs>
        <w:ind w:left="420" w:hanging="420"/>
      </w:p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FBA419B"/>
    <w:multiLevelType w:val="singleLevel"/>
    <w:tmpl w:val="7FBA419B"/>
    <w:lvl w:ilvl="0" w:tentative="0">
      <w:start w:val="1"/>
      <w:numFmt w:val="decimal"/>
      <w:suff w:val="nothing"/>
      <w:lvlText w:val="%1、"/>
      <w:lvlJc w:val="left"/>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0"/>
  </w:num>
  <w:num w:numId="8">
    <w:abstractNumId w:val="2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8"/>
  </w:num>
  <w:num w:numId="12">
    <w:abstractNumId w:val="19"/>
  </w:num>
  <w:num w:numId="13">
    <w:abstractNumId w:val="11"/>
  </w:num>
  <w:num w:numId="14">
    <w:abstractNumId w:val="4"/>
  </w:num>
  <w:num w:numId="15">
    <w:abstractNumId w:val="13"/>
  </w:num>
  <w:num w:numId="16">
    <w:abstractNumId w:val="17"/>
  </w:num>
  <w:num w:numId="17">
    <w:abstractNumId w:val="6"/>
  </w:num>
  <w:num w:numId="18">
    <w:abstractNumId w:val="3"/>
  </w:num>
  <w:num w:numId="19">
    <w:abstractNumId w:val="12"/>
  </w:num>
  <w:num w:numId="20">
    <w:abstractNumId w:val="2"/>
  </w:num>
  <w:num w:numId="21">
    <w:abstractNumId w:val="7"/>
  </w:num>
  <w:num w:numId="22">
    <w:abstractNumId w:val="18"/>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5"/>
  <w:drawingGridHorizontalSpacing w:val="140"/>
  <w:drawingGridVerticalSpacing w:val="190"/>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2"/>
  </w:compat>
  <w:docVars>
    <w:docVar w:name="commondata" w:val="eyJoZGlkIjoiNGQ0MTk4MjE5MGRiNWNjODU4NmE0Mzc5YTNmNWEzYjEifQ=="/>
  </w:docVars>
  <w:rsids>
    <w:rsidRoot w:val="00172A27"/>
    <w:rsid w:val="00006D18"/>
    <w:rsid w:val="00050A0B"/>
    <w:rsid w:val="00061F0F"/>
    <w:rsid w:val="000621D9"/>
    <w:rsid w:val="0006665D"/>
    <w:rsid w:val="000A05BD"/>
    <w:rsid w:val="000A2894"/>
    <w:rsid w:val="000B01D7"/>
    <w:rsid w:val="000C5A8A"/>
    <w:rsid w:val="000D05C8"/>
    <w:rsid w:val="000D6614"/>
    <w:rsid w:val="000E1BBB"/>
    <w:rsid w:val="000E4731"/>
    <w:rsid w:val="000F4392"/>
    <w:rsid w:val="00117847"/>
    <w:rsid w:val="001305A3"/>
    <w:rsid w:val="00131CB3"/>
    <w:rsid w:val="00141719"/>
    <w:rsid w:val="0015625C"/>
    <w:rsid w:val="00172A27"/>
    <w:rsid w:val="00197472"/>
    <w:rsid w:val="001A1B23"/>
    <w:rsid w:val="001A55E0"/>
    <w:rsid w:val="001B5AF9"/>
    <w:rsid w:val="001C4492"/>
    <w:rsid w:val="001C6E14"/>
    <w:rsid w:val="001D0537"/>
    <w:rsid w:val="001D2785"/>
    <w:rsid w:val="001D7230"/>
    <w:rsid w:val="001E6352"/>
    <w:rsid w:val="001E65EF"/>
    <w:rsid w:val="001F3169"/>
    <w:rsid w:val="001F319C"/>
    <w:rsid w:val="00205FEE"/>
    <w:rsid w:val="002116A2"/>
    <w:rsid w:val="00287012"/>
    <w:rsid w:val="00295198"/>
    <w:rsid w:val="002A6400"/>
    <w:rsid w:val="002C37C4"/>
    <w:rsid w:val="002C63DF"/>
    <w:rsid w:val="002D41E4"/>
    <w:rsid w:val="002D42D5"/>
    <w:rsid w:val="002E28E3"/>
    <w:rsid w:val="002F6F0C"/>
    <w:rsid w:val="00300750"/>
    <w:rsid w:val="00310EF6"/>
    <w:rsid w:val="00311F46"/>
    <w:rsid w:val="0034367F"/>
    <w:rsid w:val="00373B00"/>
    <w:rsid w:val="00377B9A"/>
    <w:rsid w:val="00382C64"/>
    <w:rsid w:val="00386AC0"/>
    <w:rsid w:val="003957DD"/>
    <w:rsid w:val="003A2ABA"/>
    <w:rsid w:val="003B0FE0"/>
    <w:rsid w:val="003C15C2"/>
    <w:rsid w:val="003E469E"/>
    <w:rsid w:val="0040038E"/>
    <w:rsid w:val="00401A1A"/>
    <w:rsid w:val="004131AE"/>
    <w:rsid w:val="004143C5"/>
    <w:rsid w:val="00415EE6"/>
    <w:rsid w:val="00420EE1"/>
    <w:rsid w:val="004409AC"/>
    <w:rsid w:val="00444759"/>
    <w:rsid w:val="00452CBC"/>
    <w:rsid w:val="0045399C"/>
    <w:rsid w:val="00464E01"/>
    <w:rsid w:val="00471CF3"/>
    <w:rsid w:val="004A5AC3"/>
    <w:rsid w:val="004A7CF3"/>
    <w:rsid w:val="004A7E38"/>
    <w:rsid w:val="004B3D58"/>
    <w:rsid w:val="004C02A1"/>
    <w:rsid w:val="004C0C35"/>
    <w:rsid w:val="004D0530"/>
    <w:rsid w:val="004D05F1"/>
    <w:rsid w:val="004D214C"/>
    <w:rsid w:val="004F0F2D"/>
    <w:rsid w:val="00527E38"/>
    <w:rsid w:val="00552437"/>
    <w:rsid w:val="00554F93"/>
    <w:rsid w:val="00575248"/>
    <w:rsid w:val="00576CF5"/>
    <w:rsid w:val="0058014E"/>
    <w:rsid w:val="0058102A"/>
    <w:rsid w:val="00584C88"/>
    <w:rsid w:val="0059290B"/>
    <w:rsid w:val="00594DA5"/>
    <w:rsid w:val="005A3EF0"/>
    <w:rsid w:val="005A7284"/>
    <w:rsid w:val="005B02AD"/>
    <w:rsid w:val="005C37CD"/>
    <w:rsid w:val="005C6929"/>
    <w:rsid w:val="005E1B6E"/>
    <w:rsid w:val="005F0E20"/>
    <w:rsid w:val="005F2AA2"/>
    <w:rsid w:val="006265E2"/>
    <w:rsid w:val="00635C26"/>
    <w:rsid w:val="00636CE0"/>
    <w:rsid w:val="00641343"/>
    <w:rsid w:val="0065254E"/>
    <w:rsid w:val="00661466"/>
    <w:rsid w:val="00674A74"/>
    <w:rsid w:val="00674BBF"/>
    <w:rsid w:val="00681A64"/>
    <w:rsid w:val="00695A8B"/>
    <w:rsid w:val="006A3EEA"/>
    <w:rsid w:val="006A4E21"/>
    <w:rsid w:val="006A7F92"/>
    <w:rsid w:val="006B385A"/>
    <w:rsid w:val="006B6328"/>
    <w:rsid w:val="006D2B7E"/>
    <w:rsid w:val="006D441A"/>
    <w:rsid w:val="006D7881"/>
    <w:rsid w:val="006F5C6A"/>
    <w:rsid w:val="007043CF"/>
    <w:rsid w:val="00706636"/>
    <w:rsid w:val="00727067"/>
    <w:rsid w:val="007323D0"/>
    <w:rsid w:val="007464F9"/>
    <w:rsid w:val="00784899"/>
    <w:rsid w:val="007921D4"/>
    <w:rsid w:val="007A49D6"/>
    <w:rsid w:val="007B0503"/>
    <w:rsid w:val="007B3527"/>
    <w:rsid w:val="007B6668"/>
    <w:rsid w:val="007C2ED7"/>
    <w:rsid w:val="007D4FF4"/>
    <w:rsid w:val="007F35E0"/>
    <w:rsid w:val="00801DA7"/>
    <w:rsid w:val="0080757D"/>
    <w:rsid w:val="00821E64"/>
    <w:rsid w:val="00880BB3"/>
    <w:rsid w:val="00881098"/>
    <w:rsid w:val="00896D99"/>
    <w:rsid w:val="008A2FF9"/>
    <w:rsid w:val="008A390B"/>
    <w:rsid w:val="008B3874"/>
    <w:rsid w:val="008D36A1"/>
    <w:rsid w:val="008D46E6"/>
    <w:rsid w:val="008D5625"/>
    <w:rsid w:val="008D699D"/>
    <w:rsid w:val="008E580A"/>
    <w:rsid w:val="008E7632"/>
    <w:rsid w:val="00903204"/>
    <w:rsid w:val="00910350"/>
    <w:rsid w:val="009174ED"/>
    <w:rsid w:val="00926328"/>
    <w:rsid w:val="00927D91"/>
    <w:rsid w:val="0094031C"/>
    <w:rsid w:val="0095797B"/>
    <w:rsid w:val="00970CF5"/>
    <w:rsid w:val="00981807"/>
    <w:rsid w:val="00991E48"/>
    <w:rsid w:val="009A7022"/>
    <w:rsid w:val="009C2EC4"/>
    <w:rsid w:val="009F281C"/>
    <w:rsid w:val="009F372C"/>
    <w:rsid w:val="00A01F0C"/>
    <w:rsid w:val="00A16253"/>
    <w:rsid w:val="00A238EA"/>
    <w:rsid w:val="00A30E86"/>
    <w:rsid w:val="00A45B9E"/>
    <w:rsid w:val="00A47CB3"/>
    <w:rsid w:val="00A500AF"/>
    <w:rsid w:val="00A50C76"/>
    <w:rsid w:val="00A513D3"/>
    <w:rsid w:val="00A5247C"/>
    <w:rsid w:val="00A52FE4"/>
    <w:rsid w:val="00A57B14"/>
    <w:rsid w:val="00A61CFA"/>
    <w:rsid w:val="00A716A4"/>
    <w:rsid w:val="00A73C4A"/>
    <w:rsid w:val="00A749A5"/>
    <w:rsid w:val="00A81ED0"/>
    <w:rsid w:val="00A83A4D"/>
    <w:rsid w:val="00A847A0"/>
    <w:rsid w:val="00AB09CC"/>
    <w:rsid w:val="00AC2E1C"/>
    <w:rsid w:val="00AC725E"/>
    <w:rsid w:val="00AC7373"/>
    <w:rsid w:val="00AF5AB1"/>
    <w:rsid w:val="00B02F12"/>
    <w:rsid w:val="00B06228"/>
    <w:rsid w:val="00B21EB0"/>
    <w:rsid w:val="00B24CE7"/>
    <w:rsid w:val="00B36188"/>
    <w:rsid w:val="00B41C9C"/>
    <w:rsid w:val="00B8367D"/>
    <w:rsid w:val="00B83B98"/>
    <w:rsid w:val="00B83D0B"/>
    <w:rsid w:val="00B867EB"/>
    <w:rsid w:val="00B907D7"/>
    <w:rsid w:val="00B953F8"/>
    <w:rsid w:val="00BA7C98"/>
    <w:rsid w:val="00BB558B"/>
    <w:rsid w:val="00BC63F3"/>
    <w:rsid w:val="00BE02BC"/>
    <w:rsid w:val="00BE16C6"/>
    <w:rsid w:val="00C00C4C"/>
    <w:rsid w:val="00C10AAC"/>
    <w:rsid w:val="00C10C1B"/>
    <w:rsid w:val="00C12B40"/>
    <w:rsid w:val="00C16C85"/>
    <w:rsid w:val="00C31369"/>
    <w:rsid w:val="00C408F9"/>
    <w:rsid w:val="00C42DEF"/>
    <w:rsid w:val="00C56084"/>
    <w:rsid w:val="00C71467"/>
    <w:rsid w:val="00C756F6"/>
    <w:rsid w:val="00C93B27"/>
    <w:rsid w:val="00CA3CE9"/>
    <w:rsid w:val="00CB1AF4"/>
    <w:rsid w:val="00CB5847"/>
    <w:rsid w:val="00CB78DB"/>
    <w:rsid w:val="00CC159D"/>
    <w:rsid w:val="00CC1F3D"/>
    <w:rsid w:val="00CC2EFF"/>
    <w:rsid w:val="00CC3A7C"/>
    <w:rsid w:val="00CD21BE"/>
    <w:rsid w:val="00CD346B"/>
    <w:rsid w:val="00CE016D"/>
    <w:rsid w:val="00CE39EC"/>
    <w:rsid w:val="00D006EE"/>
    <w:rsid w:val="00D129F1"/>
    <w:rsid w:val="00D21C8F"/>
    <w:rsid w:val="00D53C33"/>
    <w:rsid w:val="00D5566B"/>
    <w:rsid w:val="00D55C9C"/>
    <w:rsid w:val="00D64ADB"/>
    <w:rsid w:val="00D73D55"/>
    <w:rsid w:val="00D76EA0"/>
    <w:rsid w:val="00D9188C"/>
    <w:rsid w:val="00D94597"/>
    <w:rsid w:val="00D96742"/>
    <w:rsid w:val="00D97991"/>
    <w:rsid w:val="00DA76D5"/>
    <w:rsid w:val="00DE37C9"/>
    <w:rsid w:val="00DE5501"/>
    <w:rsid w:val="00DE7E5D"/>
    <w:rsid w:val="00DF0B55"/>
    <w:rsid w:val="00DF3B91"/>
    <w:rsid w:val="00DF5425"/>
    <w:rsid w:val="00E101C4"/>
    <w:rsid w:val="00E704DA"/>
    <w:rsid w:val="00E81CF2"/>
    <w:rsid w:val="00E86126"/>
    <w:rsid w:val="00E95B83"/>
    <w:rsid w:val="00E97419"/>
    <w:rsid w:val="00EA0A9E"/>
    <w:rsid w:val="00EB0A22"/>
    <w:rsid w:val="00EC6BA4"/>
    <w:rsid w:val="00EC7A18"/>
    <w:rsid w:val="00ED02AB"/>
    <w:rsid w:val="00ED6EF8"/>
    <w:rsid w:val="00EE1F77"/>
    <w:rsid w:val="00EE7B7B"/>
    <w:rsid w:val="00F20FF9"/>
    <w:rsid w:val="00F23B59"/>
    <w:rsid w:val="00F32287"/>
    <w:rsid w:val="00F35166"/>
    <w:rsid w:val="00F35766"/>
    <w:rsid w:val="00F36C24"/>
    <w:rsid w:val="00F64988"/>
    <w:rsid w:val="00F65DE4"/>
    <w:rsid w:val="00F712A9"/>
    <w:rsid w:val="00F951B4"/>
    <w:rsid w:val="00FC64B2"/>
    <w:rsid w:val="00FE27E4"/>
    <w:rsid w:val="00FE5FC5"/>
    <w:rsid w:val="00FF3E72"/>
    <w:rsid w:val="00FF797E"/>
    <w:rsid w:val="01A454CB"/>
    <w:rsid w:val="01C72069"/>
    <w:rsid w:val="02AF33A4"/>
    <w:rsid w:val="03830824"/>
    <w:rsid w:val="03BA6178"/>
    <w:rsid w:val="03CA0201"/>
    <w:rsid w:val="03EB1BF5"/>
    <w:rsid w:val="04722D72"/>
    <w:rsid w:val="04E21A72"/>
    <w:rsid w:val="05D610DF"/>
    <w:rsid w:val="0624304B"/>
    <w:rsid w:val="07AE02E8"/>
    <w:rsid w:val="08403737"/>
    <w:rsid w:val="0BE50D8B"/>
    <w:rsid w:val="0C5F3425"/>
    <w:rsid w:val="0CF249AE"/>
    <w:rsid w:val="0DC46DF9"/>
    <w:rsid w:val="0E106E6D"/>
    <w:rsid w:val="0FA52FC2"/>
    <w:rsid w:val="0FEC1AFD"/>
    <w:rsid w:val="10125830"/>
    <w:rsid w:val="108821B7"/>
    <w:rsid w:val="10A7667B"/>
    <w:rsid w:val="11727C7F"/>
    <w:rsid w:val="117C7790"/>
    <w:rsid w:val="11EB1351"/>
    <w:rsid w:val="11F546F6"/>
    <w:rsid w:val="120B7AD9"/>
    <w:rsid w:val="1404616F"/>
    <w:rsid w:val="143763E0"/>
    <w:rsid w:val="15F61726"/>
    <w:rsid w:val="167C51BA"/>
    <w:rsid w:val="170558D9"/>
    <w:rsid w:val="17224721"/>
    <w:rsid w:val="17910A29"/>
    <w:rsid w:val="17C61248"/>
    <w:rsid w:val="17EA4AE6"/>
    <w:rsid w:val="18657025"/>
    <w:rsid w:val="187F0310"/>
    <w:rsid w:val="19390779"/>
    <w:rsid w:val="1A236F31"/>
    <w:rsid w:val="1A2C4CB1"/>
    <w:rsid w:val="1A352420"/>
    <w:rsid w:val="1A7A5A6D"/>
    <w:rsid w:val="1AEC060C"/>
    <w:rsid w:val="1B1060F1"/>
    <w:rsid w:val="1B125DAD"/>
    <w:rsid w:val="1C6D4CD8"/>
    <w:rsid w:val="1DAB41E4"/>
    <w:rsid w:val="1E0A2805"/>
    <w:rsid w:val="1E30443C"/>
    <w:rsid w:val="1E476313"/>
    <w:rsid w:val="20522EF1"/>
    <w:rsid w:val="208F1855"/>
    <w:rsid w:val="225408C0"/>
    <w:rsid w:val="2280039D"/>
    <w:rsid w:val="22FE60C5"/>
    <w:rsid w:val="23CE00D1"/>
    <w:rsid w:val="24005AA2"/>
    <w:rsid w:val="24250C85"/>
    <w:rsid w:val="24A47178"/>
    <w:rsid w:val="2524770C"/>
    <w:rsid w:val="271B6B5D"/>
    <w:rsid w:val="27702EB3"/>
    <w:rsid w:val="28562AFB"/>
    <w:rsid w:val="29B82726"/>
    <w:rsid w:val="29F5230A"/>
    <w:rsid w:val="2CAA6BD3"/>
    <w:rsid w:val="2CEF46B1"/>
    <w:rsid w:val="2DB64793"/>
    <w:rsid w:val="2E2358C1"/>
    <w:rsid w:val="2F464330"/>
    <w:rsid w:val="2F471380"/>
    <w:rsid w:val="310F1F27"/>
    <w:rsid w:val="31CA6A29"/>
    <w:rsid w:val="323723C2"/>
    <w:rsid w:val="323B5E55"/>
    <w:rsid w:val="3295468D"/>
    <w:rsid w:val="33972A61"/>
    <w:rsid w:val="344A4612"/>
    <w:rsid w:val="34A3303B"/>
    <w:rsid w:val="3529047F"/>
    <w:rsid w:val="36195205"/>
    <w:rsid w:val="364315C9"/>
    <w:rsid w:val="369E1ED1"/>
    <w:rsid w:val="36DD150C"/>
    <w:rsid w:val="37C351D6"/>
    <w:rsid w:val="3816157B"/>
    <w:rsid w:val="38BB0C1B"/>
    <w:rsid w:val="38E30E42"/>
    <w:rsid w:val="3A2D01B5"/>
    <w:rsid w:val="3C4C66F4"/>
    <w:rsid w:val="3C8B06C3"/>
    <w:rsid w:val="3D57037E"/>
    <w:rsid w:val="3D7C3886"/>
    <w:rsid w:val="3E4E3C63"/>
    <w:rsid w:val="3EFC40B2"/>
    <w:rsid w:val="3F003B6D"/>
    <w:rsid w:val="40F15059"/>
    <w:rsid w:val="42071C89"/>
    <w:rsid w:val="42B10AA1"/>
    <w:rsid w:val="42FA621E"/>
    <w:rsid w:val="436661DE"/>
    <w:rsid w:val="447D642C"/>
    <w:rsid w:val="44896D3B"/>
    <w:rsid w:val="44D20509"/>
    <w:rsid w:val="44DB509A"/>
    <w:rsid w:val="44E73D95"/>
    <w:rsid w:val="45AB1199"/>
    <w:rsid w:val="466C5629"/>
    <w:rsid w:val="46BD2B20"/>
    <w:rsid w:val="46DA1FDA"/>
    <w:rsid w:val="471F0289"/>
    <w:rsid w:val="489F2696"/>
    <w:rsid w:val="49AD1A85"/>
    <w:rsid w:val="49B07886"/>
    <w:rsid w:val="4B456540"/>
    <w:rsid w:val="4B687F2D"/>
    <w:rsid w:val="4BA81379"/>
    <w:rsid w:val="4CAD1554"/>
    <w:rsid w:val="4CE90CC5"/>
    <w:rsid w:val="4D2F3478"/>
    <w:rsid w:val="4E65437B"/>
    <w:rsid w:val="4EC72A9B"/>
    <w:rsid w:val="4F072152"/>
    <w:rsid w:val="50302767"/>
    <w:rsid w:val="513D36EE"/>
    <w:rsid w:val="52A842C9"/>
    <w:rsid w:val="53366E8B"/>
    <w:rsid w:val="534572EE"/>
    <w:rsid w:val="53C854C2"/>
    <w:rsid w:val="542F6C8C"/>
    <w:rsid w:val="54AD0FED"/>
    <w:rsid w:val="55166813"/>
    <w:rsid w:val="55A52B5E"/>
    <w:rsid w:val="55D922AA"/>
    <w:rsid w:val="5609585C"/>
    <w:rsid w:val="56A34B71"/>
    <w:rsid w:val="571C2B59"/>
    <w:rsid w:val="5877055C"/>
    <w:rsid w:val="59582AB7"/>
    <w:rsid w:val="59974732"/>
    <w:rsid w:val="5A4A7EC5"/>
    <w:rsid w:val="5A832B01"/>
    <w:rsid w:val="5A882DAD"/>
    <w:rsid w:val="5ABB054C"/>
    <w:rsid w:val="5ADA25BE"/>
    <w:rsid w:val="5BC337FE"/>
    <w:rsid w:val="5C381321"/>
    <w:rsid w:val="5C967DF5"/>
    <w:rsid w:val="5CCA0BEF"/>
    <w:rsid w:val="5CEB5A2C"/>
    <w:rsid w:val="5D4D2BAA"/>
    <w:rsid w:val="5D623872"/>
    <w:rsid w:val="5E18627A"/>
    <w:rsid w:val="5F983478"/>
    <w:rsid w:val="6033666E"/>
    <w:rsid w:val="607A4E61"/>
    <w:rsid w:val="633718E4"/>
    <w:rsid w:val="63DC6A36"/>
    <w:rsid w:val="643A375C"/>
    <w:rsid w:val="643C10E3"/>
    <w:rsid w:val="64606939"/>
    <w:rsid w:val="64AB2718"/>
    <w:rsid w:val="650B52B2"/>
    <w:rsid w:val="65E91B04"/>
    <w:rsid w:val="6648597A"/>
    <w:rsid w:val="665F1A92"/>
    <w:rsid w:val="667919B8"/>
    <w:rsid w:val="692B3638"/>
    <w:rsid w:val="69501582"/>
    <w:rsid w:val="699D2B8F"/>
    <w:rsid w:val="69D80E82"/>
    <w:rsid w:val="6A1254EB"/>
    <w:rsid w:val="6AB46F6F"/>
    <w:rsid w:val="6ACA1AC8"/>
    <w:rsid w:val="6B266971"/>
    <w:rsid w:val="6BA7184E"/>
    <w:rsid w:val="6C825107"/>
    <w:rsid w:val="6D406C4F"/>
    <w:rsid w:val="6D5633E1"/>
    <w:rsid w:val="6DEA370A"/>
    <w:rsid w:val="71357785"/>
    <w:rsid w:val="71407D98"/>
    <w:rsid w:val="71DA0F8C"/>
    <w:rsid w:val="720B449C"/>
    <w:rsid w:val="72EF3220"/>
    <w:rsid w:val="73852F96"/>
    <w:rsid w:val="74CD6102"/>
    <w:rsid w:val="74FC337B"/>
    <w:rsid w:val="75D02BEC"/>
    <w:rsid w:val="79076DDC"/>
    <w:rsid w:val="797B4CDE"/>
    <w:rsid w:val="7A622202"/>
    <w:rsid w:val="7C122DB5"/>
    <w:rsid w:val="7D6F62E8"/>
    <w:rsid w:val="7D9E3404"/>
    <w:rsid w:val="7DA168CE"/>
    <w:rsid w:val="7E140C16"/>
    <w:rsid w:val="7EBB063B"/>
    <w:rsid w:val="7F796E9C"/>
    <w:rsid w:val="7FA04ED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iPriority="99" w:semiHidden="0" w:name="footnote text"/>
    <w:lsdException w:qFormat="1" w:uiPriority="99" w:name="annotation text"/>
    <w:lsdException w:qFormat="1" w:unhideWhenUsed="0" w:uiPriority="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qFormat="1" w:unhideWhenUsed="0" w:uiPriority="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overflowPunct w:val="0"/>
      <w:snapToGrid w:val="0"/>
      <w:spacing w:line="480" w:lineRule="exact"/>
      <w:ind w:firstLine="567"/>
      <w:jc w:val="both"/>
    </w:pPr>
    <w:rPr>
      <w:rFonts w:ascii="Arial" w:hAnsi="Arial" w:eastAsia="仿宋_GB2312" w:cs="Times New Roman"/>
      <w:kern w:val="2"/>
      <w:sz w:val="28"/>
      <w:lang w:val="en-US" w:eastAsia="zh-CN" w:bidi="ar-SA"/>
    </w:rPr>
  </w:style>
  <w:style w:type="paragraph" w:styleId="3">
    <w:name w:val="heading 1"/>
    <w:basedOn w:val="1"/>
    <w:next w:val="1"/>
    <w:qFormat/>
    <w:uiPriority w:val="0"/>
    <w:pPr>
      <w:keepNext/>
      <w:keepLines/>
      <w:pageBreakBefore/>
      <w:widowControl/>
      <w:numPr>
        <w:ilvl w:val="0"/>
        <w:numId w:val="1"/>
      </w:numPr>
      <w:adjustRightInd w:val="0"/>
      <w:spacing w:before="720" w:after="240" w:line="500" w:lineRule="atLeast"/>
      <w:jc w:val="center"/>
      <w:textAlignment w:val="center"/>
      <w:outlineLvl w:val="0"/>
    </w:pPr>
    <w:rPr>
      <w:rFonts w:eastAsia="黑体"/>
      <w:b/>
      <w:kern w:val="0"/>
      <w:sz w:val="32"/>
    </w:rPr>
  </w:style>
  <w:style w:type="paragraph" w:styleId="4">
    <w:name w:val="heading 2"/>
    <w:basedOn w:val="1"/>
    <w:next w:val="1"/>
    <w:qFormat/>
    <w:uiPriority w:val="0"/>
    <w:pPr>
      <w:keepNext/>
      <w:keepLines/>
      <w:widowControl/>
      <w:numPr>
        <w:ilvl w:val="1"/>
        <w:numId w:val="1"/>
      </w:numPr>
      <w:adjustRightInd w:val="0"/>
      <w:spacing w:before="240"/>
      <w:jc w:val="left"/>
      <w:textAlignment w:val="baseline"/>
      <w:outlineLvl w:val="1"/>
    </w:pPr>
    <w:rPr>
      <w:rFonts w:eastAsia="黑体"/>
      <w:b/>
      <w:kern w:val="0"/>
      <w:sz w:val="30"/>
    </w:rPr>
  </w:style>
  <w:style w:type="paragraph" w:styleId="5">
    <w:name w:val="heading 3"/>
    <w:basedOn w:val="1"/>
    <w:next w:val="1"/>
    <w:link w:val="59"/>
    <w:qFormat/>
    <w:uiPriority w:val="0"/>
    <w:pPr>
      <w:keepNext/>
      <w:widowControl/>
      <w:numPr>
        <w:ilvl w:val="2"/>
        <w:numId w:val="1"/>
      </w:numPr>
      <w:adjustRightInd w:val="0"/>
      <w:spacing w:before="120"/>
      <w:jc w:val="left"/>
      <w:textAlignment w:val="baseline"/>
      <w:outlineLvl w:val="2"/>
    </w:pPr>
    <w:rPr>
      <w:rFonts w:eastAsia="楷体_GB2312"/>
      <w:b/>
      <w:kern w:val="0"/>
      <w:sz w:val="30"/>
    </w:rPr>
  </w:style>
  <w:style w:type="paragraph" w:styleId="6">
    <w:name w:val="heading 4"/>
    <w:basedOn w:val="1"/>
    <w:next w:val="1"/>
    <w:qFormat/>
    <w:uiPriority w:val="0"/>
    <w:pPr>
      <w:keepNext/>
      <w:widowControl/>
      <w:numPr>
        <w:ilvl w:val="3"/>
        <w:numId w:val="1"/>
      </w:numPr>
      <w:adjustRightInd w:val="0"/>
      <w:spacing w:before="120"/>
      <w:jc w:val="left"/>
      <w:textAlignment w:val="baseline"/>
      <w:outlineLvl w:val="3"/>
    </w:pPr>
    <w:rPr>
      <w:b/>
      <w:kern w:val="0"/>
    </w:rPr>
  </w:style>
  <w:style w:type="paragraph" w:styleId="7">
    <w:name w:val="heading 5"/>
    <w:basedOn w:val="1"/>
    <w:next w:val="1"/>
    <w:qFormat/>
    <w:uiPriority w:val="0"/>
    <w:pPr>
      <w:keepNext/>
      <w:widowControl/>
      <w:numPr>
        <w:ilvl w:val="4"/>
        <w:numId w:val="1"/>
      </w:numPr>
      <w:adjustRightInd w:val="0"/>
      <w:spacing w:before="120"/>
      <w:jc w:val="left"/>
      <w:textAlignment w:val="baseline"/>
      <w:outlineLvl w:val="4"/>
    </w:pPr>
    <w:rPr>
      <w:kern w:val="0"/>
    </w:rPr>
  </w:style>
  <w:style w:type="paragraph" w:styleId="8">
    <w:name w:val="heading 6"/>
    <w:basedOn w:val="1"/>
    <w:next w:val="1"/>
    <w:qFormat/>
    <w:uiPriority w:val="0"/>
    <w:pPr>
      <w:keepNext/>
      <w:widowControl/>
      <w:numPr>
        <w:ilvl w:val="5"/>
        <w:numId w:val="1"/>
      </w:numPr>
      <w:adjustRightInd w:val="0"/>
      <w:spacing w:before="120"/>
      <w:jc w:val="left"/>
      <w:textAlignment w:val="baseline"/>
      <w:outlineLvl w:val="5"/>
    </w:pPr>
    <w:rPr>
      <w:kern w:val="0"/>
    </w:rPr>
  </w:style>
  <w:style w:type="paragraph" w:styleId="9">
    <w:name w:val="heading 7"/>
    <w:basedOn w:val="1"/>
    <w:next w:val="1"/>
    <w:qFormat/>
    <w:uiPriority w:val="0"/>
    <w:pPr>
      <w:numPr>
        <w:ilvl w:val="6"/>
        <w:numId w:val="1"/>
      </w:numPr>
      <w:adjustRightInd w:val="0"/>
      <w:spacing w:before="120"/>
      <w:jc w:val="left"/>
      <w:textAlignment w:val="baseline"/>
      <w:outlineLvl w:val="6"/>
    </w:pPr>
    <w:rPr>
      <w:kern w:val="0"/>
    </w:rPr>
  </w:style>
  <w:style w:type="paragraph" w:styleId="10">
    <w:name w:val="heading 8"/>
    <w:basedOn w:val="1"/>
    <w:next w:val="1"/>
    <w:qFormat/>
    <w:uiPriority w:val="0"/>
    <w:pPr>
      <w:numPr>
        <w:ilvl w:val="7"/>
        <w:numId w:val="1"/>
      </w:numPr>
      <w:adjustRightInd w:val="0"/>
      <w:spacing w:before="120"/>
      <w:jc w:val="left"/>
      <w:textAlignment w:val="baseline"/>
      <w:outlineLvl w:val="7"/>
    </w:pPr>
    <w:rPr>
      <w:kern w:val="0"/>
    </w:rPr>
  </w:style>
  <w:style w:type="paragraph" w:styleId="11">
    <w:name w:val="heading 9"/>
    <w:basedOn w:val="1"/>
    <w:next w:val="1"/>
    <w:qFormat/>
    <w:uiPriority w:val="0"/>
    <w:pPr>
      <w:numPr>
        <w:ilvl w:val="8"/>
        <w:numId w:val="1"/>
      </w:numPr>
      <w:adjustRightInd w:val="0"/>
      <w:spacing w:before="120"/>
      <w:jc w:val="left"/>
      <w:textAlignment w:val="baseline"/>
      <w:outlineLvl w:val="8"/>
    </w:pPr>
    <w:rPr>
      <w:kern w:val="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b/>
      <w:sz w:val="32"/>
    </w:rPr>
  </w:style>
  <w:style w:type="paragraph" w:styleId="12">
    <w:name w:val="Normal Indent"/>
    <w:basedOn w:val="1"/>
    <w:qFormat/>
    <w:uiPriority w:val="99"/>
    <w:pPr>
      <w:ind w:firstLine="420"/>
    </w:pPr>
  </w:style>
  <w:style w:type="paragraph" w:styleId="13">
    <w:name w:val="annotation text"/>
    <w:basedOn w:val="1"/>
    <w:semiHidden/>
    <w:unhideWhenUsed/>
    <w:qFormat/>
    <w:uiPriority w:val="99"/>
    <w:pPr>
      <w:jc w:val="left"/>
    </w:pPr>
  </w:style>
  <w:style w:type="paragraph" w:styleId="14">
    <w:name w:val="Body Text"/>
    <w:basedOn w:val="1"/>
    <w:semiHidden/>
    <w:unhideWhenUsed/>
    <w:qFormat/>
    <w:uiPriority w:val="99"/>
    <w:pPr>
      <w:spacing w:after="120"/>
      <w:ind w:firstLine="200" w:firstLineChars="200"/>
    </w:pPr>
    <w:rPr>
      <w:rFonts w:eastAsia="新宋体"/>
      <w:sz w:val="24"/>
    </w:rPr>
  </w:style>
  <w:style w:type="paragraph" w:styleId="15">
    <w:name w:val="toc 3"/>
    <w:basedOn w:val="1"/>
    <w:next w:val="1"/>
    <w:semiHidden/>
    <w:qFormat/>
    <w:uiPriority w:val="0"/>
    <w:pPr>
      <w:kinsoku w:val="0"/>
      <w:wordWrap w:val="0"/>
      <w:adjustRightInd w:val="0"/>
      <w:spacing w:line="500" w:lineRule="atLeast"/>
      <w:ind w:left="454" w:firstLine="0"/>
      <w:jc w:val="left"/>
      <w:textAlignment w:val="baseline"/>
    </w:pPr>
    <w:rPr>
      <w:kern w:val="0"/>
    </w:rPr>
  </w:style>
  <w:style w:type="paragraph" w:styleId="16">
    <w:name w:val="Plain Text"/>
    <w:basedOn w:val="1"/>
    <w:qFormat/>
    <w:uiPriority w:val="0"/>
    <w:rPr>
      <w:rFonts w:ascii="宋体" w:hAnsi="Courier New"/>
      <w:kern w:val="0"/>
      <w:sz w:val="20"/>
    </w:rPr>
  </w:style>
  <w:style w:type="paragraph" w:styleId="17">
    <w:name w:val="Body Text Indent 2"/>
    <w:basedOn w:val="1"/>
    <w:next w:val="1"/>
    <w:unhideWhenUsed/>
    <w:qFormat/>
    <w:uiPriority w:val="0"/>
    <w:pPr>
      <w:spacing w:after="120" w:line="480" w:lineRule="auto"/>
      <w:ind w:left="420" w:leftChars="200"/>
    </w:pPr>
  </w:style>
  <w:style w:type="paragraph" w:styleId="18">
    <w:name w:val="footer"/>
    <w:basedOn w:val="1"/>
    <w:link w:val="40"/>
    <w:qFormat/>
    <w:uiPriority w:val="99"/>
    <w:pPr>
      <w:adjustRightInd w:val="0"/>
      <w:spacing w:line="240" w:lineRule="atLeast"/>
      <w:ind w:firstLine="0"/>
      <w:jc w:val="center"/>
      <w:textAlignment w:val="baseline"/>
    </w:pPr>
    <w:rPr>
      <w:kern w:val="0"/>
      <w:sz w:val="18"/>
    </w:rPr>
  </w:style>
  <w:style w:type="paragraph" w:styleId="19">
    <w:name w:val="header"/>
    <w:basedOn w:val="1"/>
    <w:semiHidden/>
    <w:qFormat/>
    <w:uiPriority w:val="0"/>
    <w:pPr>
      <w:framePr w:hSpace="181" w:vSpace="181" w:wrap="around" w:vAnchor="text" w:hAnchor="text" w:y="1"/>
      <w:pBdr>
        <w:bottom w:val="single" w:color="auto" w:sz="6" w:space="1"/>
      </w:pBdr>
      <w:wordWrap w:val="0"/>
      <w:adjustRightInd w:val="0"/>
      <w:spacing w:line="120" w:lineRule="atLeast"/>
      <w:ind w:firstLine="0"/>
      <w:jc w:val="center"/>
      <w:textAlignment w:val="baseline"/>
    </w:pPr>
    <w:rPr>
      <w:kern w:val="0"/>
      <w:sz w:val="18"/>
    </w:rPr>
  </w:style>
  <w:style w:type="paragraph" w:styleId="20">
    <w:name w:val="toc 1"/>
    <w:basedOn w:val="1"/>
    <w:next w:val="1"/>
    <w:qFormat/>
    <w:uiPriority w:val="39"/>
    <w:pPr>
      <w:wordWrap w:val="0"/>
      <w:overflowPunct/>
      <w:autoSpaceDE w:val="0"/>
      <w:autoSpaceDN w:val="0"/>
      <w:adjustRightInd w:val="0"/>
      <w:spacing w:before="120" w:line="500" w:lineRule="atLeast"/>
      <w:ind w:firstLine="0"/>
      <w:jc w:val="left"/>
      <w:textAlignment w:val="baseline"/>
    </w:pPr>
    <w:rPr>
      <w:b/>
      <w:kern w:val="0"/>
    </w:rPr>
  </w:style>
  <w:style w:type="paragraph" w:styleId="21">
    <w:name w:val="footnote text"/>
    <w:basedOn w:val="1"/>
    <w:link w:val="36"/>
    <w:unhideWhenUsed/>
    <w:qFormat/>
    <w:uiPriority w:val="99"/>
    <w:pPr>
      <w:ind w:firstLine="200" w:firstLineChars="200"/>
      <w:jc w:val="left"/>
    </w:pPr>
    <w:rPr>
      <w:sz w:val="18"/>
      <w:szCs w:val="18"/>
    </w:rPr>
  </w:style>
  <w:style w:type="paragraph" w:styleId="22">
    <w:name w:val="toc 2"/>
    <w:basedOn w:val="1"/>
    <w:next w:val="1"/>
    <w:qFormat/>
    <w:uiPriority w:val="39"/>
    <w:pPr>
      <w:kinsoku w:val="0"/>
      <w:wordWrap w:val="0"/>
      <w:adjustRightInd w:val="0"/>
      <w:spacing w:line="500" w:lineRule="atLeast"/>
      <w:ind w:left="284" w:firstLine="0"/>
      <w:jc w:val="left"/>
      <w:textAlignment w:val="baseline"/>
    </w:pPr>
    <w:rPr>
      <w:kern w:val="0"/>
    </w:rPr>
  </w:style>
  <w:style w:type="paragraph" w:styleId="23">
    <w:name w:val="Normal (Web)"/>
    <w:basedOn w:val="1"/>
    <w:unhideWhenUsed/>
    <w:qFormat/>
    <w:uiPriority w:val="99"/>
    <w:pPr>
      <w:spacing w:before="100" w:beforeAutospacing="1" w:after="100" w:afterAutospacing="1"/>
      <w:jc w:val="left"/>
    </w:pPr>
    <w:rPr>
      <w:kern w:val="0"/>
      <w:sz w:val="24"/>
    </w:rPr>
  </w:style>
  <w:style w:type="paragraph" w:styleId="24">
    <w:name w:val="Body Text First Indent"/>
    <w:basedOn w:val="1"/>
    <w:qFormat/>
    <w:uiPriority w:val="0"/>
    <w:pPr>
      <w:ind w:firstLine="560" w:firstLineChars="200"/>
    </w:pPr>
  </w:style>
  <w:style w:type="table" w:styleId="26">
    <w:name w:val="Table Grid"/>
    <w:basedOn w:val="2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22"/>
    <w:rPr>
      <w:b/>
    </w:rPr>
  </w:style>
  <w:style w:type="character" w:styleId="29">
    <w:name w:val="page number"/>
    <w:basedOn w:val="27"/>
    <w:semiHidden/>
    <w:qFormat/>
    <w:uiPriority w:val="0"/>
    <w:rPr>
      <w:rFonts w:ascii="Times New Roman" w:hAnsi="Times New Roman" w:eastAsia="宋体"/>
      <w:color w:val="auto"/>
      <w:sz w:val="21"/>
    </w:rPr>
  </w:style>
  <w:style w:type="character" w:styleId="30">
    <w:name w:val="Emphasis"/>
    <w:basedOn w:val="27"/>
    <w:qFormat/>
    <w:uiPriority w:val="20"/>
    <w:rPr>
      <w:i/>
    </w:rPr>
  </w:style>
  <w:style w:type="character" w:styleId="31">
    <w:name w:val="Hyperlink"/>
    <w:basedOn w:val="27"/>
    <w:unhideWhenUsed/>
    <w:qFormat/>
    <w:uiPriority w:val="99"/>
    <w:rPr>
      <w:color w:val="0000FF"/>
      <w:u w:val="single"/>
    </w:rPr>
  </w:style>
  <w:style w:type="character" w:styleId="32">
    <w:name w:val="footnote reference"/>
    <w:basedOn w:val="27"/>
    <w:unhideWhenUsed/>
    <w:qFormat/>
    <w:uiPriority w:val="99"/>
    <w:rPr>
      <w:vertAlign w:val="superscript"/>
    </w:rPr>
  </w:style>
  <w:style w:type="character" w:customStyle="1" w:styleId="33">
    <w:name w:val="表格内容 Char"/>
    <w:link w:val="34"/>
    <w:qFormat/>
    <w:uiPriority w:val="0"/>
    <w:rPr>
      <w:rFonts w:ascii="Arial" w:hAnsi="Arial"/>
      <w:sz w:val="24"/>
    </w:rPr>
  </w:style>
  <w:style w:type="paragraph" w:customStyle="1" w:styleId="34">
    <w:name w:val="表格内容"/>
    <w:basedOn w:val="1"/>
    <w:link w:val="33"/>
    <w:qFormat/>
    <w:uiPriority w:val="0"/>
    <w:pPr>
      <w:adjustRightInd w:val="0"/>
      <w:snapToGrid/>
      <w:spacing w:before="40" w:after="60" w:line="200" w:lineRule="atLeast"/>
      <w:ind w:firstLine="0"/>
      <w:jc w:val="center"/>
      <w:textAlignment w:val="baseline"/>
    </w:pPr>
    <w:rPr>
      <w:kern w:val="0"/>
      <w:sz w:val="24"/>
    </w:rPr>
  </w:style>
  <w:style w:type="character" w:customStyle="1" w:styleId="35">
    <w:name w:val="font21"/>
    <w:basedOn w:val="27"/>
    <w:qFormat/>
    <w:uiPriority w:val="0"/>
    <w:rPr>
      <w:rFonts w:hint="default" w:ascii="Arial" w:hAnsi="Arial" w:cs="Arial"/>
      <w:b/>
      <w:bCs/>
      <w:color w:val="000000"/>
      <w:sz w:val="21"/>
      <w:szCs w:val="21"/>
      <w:u w:val="none"/>
    </w:rPr>
  </w:style>
  <w:style w:type="character" w:customStyle="1" w:styleId="36">
    <w:name w:val="脚注文本 Char"/>
    <w:basedOn w:val="27"/>
    <w:link w:val="21"/>
    <w:semiHidden/>
    <w:qFormat/>
    <w:uiPriority w:val="99"/>
    <w:rPr>
      <w:rFonts w:ascii="Arial" w:hAnsi="Arial" w:eastAsia="仿宋_GB2312"/>
      <w:kern w:val="2"/>
      <w:sz w:val="18"/>
      <w:szCs w:val="18"/>
    </w:rPr>
  </w:style>
  <w:style w:type="character" w:customStyle="1" w:styleId="37">
    <w:name w:val="font51"/>
    <w:basedOn w:val="27"/>
    <w:qFormat/>
    <w:uiPriority w:val="0"/>
    <w:rPr>
      <w:rFonts w:hint="eastAsia" w:ascii="宋体" w:hAnsi="宋体" w:eastAsia="宋体" w:cs="宋体"/>
      <w:b/>
      <w:bCs/>
      <w:color w:val="000000"/>
      <w:sz w:val="21"/>
      <w:szCs w:val="21"/>
      <w:u w:val="none"/>
    </w:rPr>
  </w:style>
  <w:style w:type="character" w:customStyle="1" w:styleId="38">
    <w:name w:val="表格标题2 Char Char"/>
    <w:basedOn w:val="27"/>
    <w:link w:val="39"/>
    <w:qFormat/>
    <w:uiPriority w:val="0"/>
    <w:rPr>
      <w:rFonts w:ascii="Arial" w:hAnsi="Arial" w:eastAsia="黑体"/>
      <w:b/>
      <w:sz w:val="24"/>
    </w:rPr>
  </w:style>
  <w:style w:type="paragraph" w:customStyle="1" w:styleId="39">
    <w:name w:val="表格标题2"/>
    <w:basedOn w:val="1"/>
    <w:link w:val="38"/>
    <w:qFormat/>
    <w:uiPriority w:val="0"/>
    <w:pPr>
      <w:keepNext/>
      <w:widowControl/>
      <w:adjustRightInd w:val="0"/>
      <w:spacing w:before="360" w:after="120"/>
      <w:ind w:firstLine="0"/>
      <w:jc w:val="center"/>
      <w:textAlignment w:val="baseline"/>
    </w:pPr>
    <w:rPr>
      <w:rFonts w:eastAsia="黑体"/>
      <w:b/>
      <w:kern w:val="0"/>
      <w:sz w:val="24"/>
    </w:rPr>
  </w:style>
  <w:style w:type="character" w:customStyle="1" w:styleId="40">
    <w:name w:val="页脚 Char"/>
    <w:basedOn w:val="27"/>
    <w:link w:val="18"/>
    <w:qFormat/>
    <w:uiPriority w:val="99"/>
    <w:rPr>
      <w:rFonts w:ascii="Arial" w:hAnsi="Arial" w:eastAsia="仿宋_GB2312"/>
      <w:sz w:val="18"/>
    </w:rPr>
  </w:style>
  <w:style w:type="character" w:customStyle="1" w:styleId="41">
    <w:name w:val="font01"/>
    <w:basedOn w:val="27"/>
    <w:qFormat/>
    <w:uiPriority w:val="0"/>
    <w:rPr>
      <w:rFonts w:hint="eastAsia" w:ascii="仿宋_GB2312" w:eastAsia="仿宋_GB2312" w:cs="仿宋_GB2312"/>
      <w:b/>
      <w:bCs/>
      <w:color w:val="000000"/>
      <w:sz w:val="21"/>
      <w:szCs w:val="21"/>
      <w:u w:val="none"/>
    </w:rPr>
  </w:style>
  <w:style w:type="character" w:customStyle="1" w:styleId="42">
    <w:name w:val="表格标题 Char1"/>
    <w:link w:val="43"/>
    <w:qFormat/>
    <w:uiPriority w:val="0"/>
    <w:rPr>
      <w:rFonts w:ascii="Arial" w:hAnsi="Arial" w:eastAsia="黑体"/>
      <w:b/>
      <w:sz w:val="24"/>
    </w:rPr>
  </w:style>
  <w:style w:type="paragraph" w:customStyle="1" w:styleId="43">
    <w:name w:val="表格标题"/>
    <w:basedOn w:val="1"/>
    <w:next w:val="34"/>
    <w:link w:val="42"/>
    <w:qFormat/>
    <w:uiPriority w:val="0"/>
    <w:pPr>
      <w:keepNext/>
      <w:widowControl/>
      <w:adjustRightInd w:val="0"/>
      <w:spacing w:before="360" w:after="120"/>
      <w:ind w:firstLine="0"/>
      <w:jc w:val="center"/>
      <w:textAlignment w:val="baseline"/>
    </w:pPr>
    <w:rPr>
      <w:rFonts w:eastAsia="黑体"/>
      <w:b/>
      <w:kern w:val="0"/>
      <w:sz w:val="24"/>
    </w:rPr>
  </w:style>
  <w:style w:type="character" w:customStyle="1" w:styleId="44">
    <w:name w:val="表格标题 Char"/>
    <w:basedOn w:val="27"/>
    <w:qFormat/>
    <w:uiPriority w:val="0"/>
    <w:rPr>
      <w:rFonts w:ascii="Arial" w:hAnsi="Arial" w:eastAsia="黑体"/>
      <w:b/>
      <w:sz w:val="24"/>
    </w:rPr>
  </w:style>
  <w:style w:type="paragraph" w:styleId="45">
    <w:name w:val="List Paragraph"/>
    <w:basedOn w:val="1"/>
    <w:qFormat/>
    <w:uiPriority w:val="34"/>
    <w:pPr>
      <w:ind w:firstLine="420" w:firstLineChars="200"/>
    </w:pPr>
  </w:style>
  <w:style w:type="paragraph" w:customStyle="1" w:styleId="46">
    <w:name w:val="CM36"/>
    <w:basedOn w:val="47"/>
    <w:next w:val="47"/>
    <w:unhideWhenUsed/>
    <w:qFormat/>
    <w:uiPriority w:val="99"/>
    <w:rPr>
      <w:rFonts w:hint="default"/>
    </w:rPr>
  </w:style>
  <w:style w:type="paragraph" w:customStyle="1" w:styleId="47">
    <w:name w:val="Default"/>
    <w:unhideWhenUsed/>
    <w:qFormat/>
    <w:uiPriority w:val="99"/>
    <w:pPr>
      <w:widowControl w:val="0"/>
      <w:autoSpaceDE w:val="0"/>
      <w:autoSpaceDN w:val="0"/>
      <w:adjustRightInd w:val="0"/>
    </w:pPr>
    <w:rPr>
      <w:rFonts w:hint="eastAsia" w:ascii="宋体" w:hAnsi="宋体" w:eastAsia="宋体" w:cs="Times New Roman"/>
      <w:color w:val="000000"/>
      <w:sz w:val="24"/>
      <w:szCs w:val="24"/>
      <w:lang w:val="en-US" w:eastAsia="zh-CN" w:bidi="ar-SA"/>
    </w:rPr>
  </w:style>
  <w:style w:type="paragraph" w:customStyle="1" w:styleId="48">
    <w:name w:val="CM7"/>
    <w:basedOn w:val="47"/>
    <w:next w:val="47"/>
    <w:unhideWhenUsed/>
    <w:qFormat/>
    <w:uiPriority w:val="99"/>
    <w:pPr>
      <w:spacing w:line="468" w:lineRule="atLeast"/>
    </w:pPr>
    <w:rPr>
      <w:rFonts w:hint="default"/>
    </w:rPr>
  </w:style>
  <w:style w:type="paragraph" w:customStyle="1" w:styleId="49">
    <w:name w:val="CM8"/>
    <w:basedOn w:val="47"/>
    <w:next w:val="47"/>
    <w:unhideWhenUsed/>
    <w:qFormat/>
    <w:uiPriority w:val="99"/>
    <w:pPr>
      <w:spacing w:line="468" w:lineRule="atLeast"/>
    </w:pPr>
    <w:rPr>
      <w:rFonts w:hint="default"/>
    </w:rPr>
  </w:style>
  <w:style w:type="paragraph" w:customStyle="1" w:styleId="50">
    <w:name w:val="!正文"/>
    <w:qFormat/>
    <w:uiPriority w:val="0"/>
    <w:pPr>
      <w:spacing w:line="360" w:lineRule="auto"/>
      <w:jc w:val="both"/>
    </w:pPr>
    <w:rPr>
      <w:rFonts w:ascii="Times New Roman" w:hAnsi="Times New Roman" w:eastAsia="宋体" w:cs="Times New Roman"/>
      <w:kern w:val="2"/>
      <w:sz w:val="24"/>
      <w:szCs w:val="24"/>
      <w:lang w:val="en-US" w:eastAsia="zh-CN" w:bidi="ar-SA"/>
    </w:rPr>
  </w:style>
  <w:style w:type="paragraph" w:customStyle="1" w:styleId="51">
    <w:name w:val="CM10"/>
    <w:basedOn w:val="47"/>
    <w:next w:val="47"/>
    <w:unhideWhenUsed/>
    <w:qFormat/>
    <w:uiPriority w:val="99"/>
    <w:pPr>
      <w:spacing w:line="468" w:lineRule="atLeast"/>
    </w:pPr>
    <w:rPr>
      <w:rFonts w:hint="default"/>
    </w:rPr>
  </w:style>
  <w:style w:type="paragraph" w:customStyle="1" w:styleId="52">
    <w:name w:val="CM20"/>
    <w:basedOn w:val="47"/>
    <w:next w:val="47"/>
    <w:unhideWhenUsed/>
    <w:qFormat/>
    <w:uiPriority w:val="99"/>
    <w:pPr>
      <w:spacing w:line="468" w:lineRule="atLeast"/>
    </w:pPr>
    <w:rPr>
      <w:rFonts w:hint="default"/>
    </w:rPr>
  </w:style>
  <w:style w:type="paragraph" w:customStyle="1" w:styleId="53">
    <w:name w:val="正文内容"/>
    <w:basedOn w:val="1"/>
    <w:qFormat/>
    <w:uiPriority w:val="0"/>
    <w:pPr>
      <w:spacing w:line="360" w:lineRule="auto"/>
      <w:ind w:firstLine="200" w:firstLineChars="200"/>
    </w:pPr>
    <w:rPr>
      <w:rFonts w:ascii="宋体"/>
      <w:sz w:val="24"/>
    </w:rPr>
  </w:style>
  <w:style w:type="paragraph" w:customStyle="1" w:styleId="54">
    <w:name w:val="Table Paragraph"/>
    <w:basedOn w:val="1"/>
    <w:qFormat/>
    <w:uiPriority w:val="1"/>
    <w:rPr>
      <w:rFonts w:ascii="宋体" w:hAnsi="宋体" w:cs="宋体"/>
      <w:lang w:val="zh-CN" w:bidi="zh-CN"/>
    </w:rPr>
  </w:style>
  <w:style w:type="paragraph" w:customStyle="1" w:styleId="55">
    <w:name w:val="列表段落1"/>
    <w:basedOn w:val="1"/>
    <w:qFormat/>
    <w:uiPriority w:val="0"/>
    <w:pPr>
      <w:ind w:firstLine="420" w:firstLineChars="200"/>
    </w:pPr>
  </w:style>
  <w:style w:type="paragraph" w:customStyle="1" w:styleId="56">
    <w:name w:val="样式 四号 首行缩进:  2 字符"/>
    <w:basedOn w:val="1"/>
    <w:qFormat/>
    <w:uiPriority w:val="0"/>
    <w:pPr>
      <w:spacing w:line="480" w:lineRule="atLeast"/>
      <w:ind w:firstLine="200" w:firstLineChars="200"/>
    </w:pPr>
    <w:rPr>
      <w:rFonts w:ascii="Calibri" w:hAnsi="Calibri"/>
      <w:sz w:val="24"/>
    </w:rPr>
  </w:style>
  <w:style w:type="paragraph" w:customStyle="1" w:styleId="57">
    <w:name w:val="003"/>
    <w:basedOn w:val="1"/>
    <w:qFormat/>
    <w:uiPriority w:val="0"/>
    <w:pPr>
      <w:outlineLvl w:val="2"/>
    </w:pPr>
    <w:rPr>
      <w:rFonts w:ascii="黑体" w:hAnsi="Calibri" w:eastAsia="黑体"/>
      <w:sz w:val="24"/>
      <w:szCs w:val="24"/>
    </w:rPr>
  </w:style>
  <w:style w:type="table" w:customStyle="1" w:styleId="58">
    <w:name w:val="Table Normal"/>
    <w:semiHidden/>
    <w:unhideWhenUsed/>
    <w:qFormat/>
    <w:uiPriority w:val="0"/>
    <w:tblPr>
      <w:tblCellMar>
        <w:top w:w="0" w:type="dxa"/>
        <w:left w:w="0" w:type="dxa"/>
        <w:bottom w:w="0" w:type="dxa"/>
        <w:right w:w="0" w:type="dxa"/>
      </w:tblCellMar>
    </w:tblPr>
  </w:style>
  <w:style w:type="character" w:customStyle="1" w:styleId="59">
    <w:name w:val="标题 3 Char"/>
    <w:link w:val="5"/>
    <w:qFormat/>
    <w:uiPriority w:val="0"/>
    <w:rPr>
      <w:rFonts w:eastAsia="楷体_GB2312"/>
      <w:b/>
      <w:kern w:val="0"/>
      <w:sz w:val="30"/>
    </w:rPr>
  </w:style>
  <w:style w:type="character" w:customStyle="1" w:styleId="60">
    <w:name w:val="!四号"/>
    <w:qFormat/>
    <w:uiPriority w:val="0"/>
    <w:rPr>
      <w:rFonts w:ascii="宋体" w:hAnsi="宋体" w:eastAsia="宋体"/>
      <w:sz w:val="28"/>
      <w:szCs w:val="28"/>
    </w:rPr>
  </w:style>
  <w:style w:type="paragraph" w:customStyle="1" w:styleId="61">
    <w:name w:val="二级标题"/>
    <w:basedOn w:val="1"/>
    <w:qFormat/>
    <w:uiPriority w:val="0"/>
    <w:pPr>
      <w:spacing w:line="540" w:lineRule="exact"/>
      <w:outlineLvl w:val="1"/>
    </w:pPr>
    <w:rPr>
      <w:rFonts w:ascii="Calibri" w:hAnsi="Calibri" w:eastAsia="黑体"/>
      <w:b/>
      <w:bC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pn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jpeg"/><Relationship Id="rId38" Type="http://schemas.openxmlformats.org/officeDocument/2006/relationships/image" Target="media/image20.jpeg"/><Relationship Id="rId37" Type="http://schemas.openxmlformats.org/officeDocument/2006/relationships/image" Target="media/image19.jpeg"/><Relationship Id="rId36" Type="http://schemas.openxmlformats.org/officeDocument/2006/relationships/image" Target="media/image18.jpeg"/><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footnotes" Target="footnotes.xml"/><Relationship Id="rId29" Type="http://schemas.openxmlformats.org/officeDocument/2006/relationships/image" Target="media/image11.wmf"/><Relationship Id="rId28" Type="http://schemas.openxmlformats.org/officeDocument/2006/relationships/oleObject" Target="embeddings/oleObject4.bin"/><Relationship Id="rId27" Type="http://schemas.openxmlformats.org/officeDocument/2006/relationships/image" Target="media/image10.wmf"/><Relationship Id="rId26" Type="http://schemas.openxmlformats.org/officeDocument/2006/relationships/oleObject" Target="embeddings/oleObject3.bin"/><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2.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6"/>
    <customShpInfo spid="_x0000_s2055"/>
    <customShpInfo spid="_x0000_s2054"/>
    <customShpInfo spid="_x0000_s102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CPI</Company>
  <Pages>208</Pages>
  <Words>736</Words>
  <Characters>965</Characters>
  <Lines>208</Lines>
  <Paragraphs>316</Paragraphs>
  <TotalTime>1540</TotalTime>
  <ScaleCrop>false</ScaleCrop>
  <LinksUpToDate>false</LinksUpToDate>
  <CharactersWithSpaces>1071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2020-06-30T10:15:00Z</dcterms:created>
  <dc:creator>wzj</dc:creator>
  <cp:lastModifiedBy>There</cp:lastModifiedBy>
  <cp:lastPrinted>2024-11-20T01:55:00Z</cp:lastPrinted>
  <dcterms:modified xsi:type="dcterms:W3CDTF">2025-02-21T03:02:30Z</dcterms:modified>
  <dc:title>封皮</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7F6B6488B7A94106BEBF7A7F79CF0581_13</vt:lpwstr>
  </property>
  <property fmtid="{D5CDD505-2E9C-101B-9397-08002B2CF9AE}" pid="4" name="KSOTemplateDocerSaveRecord">
    <vt:lpwstr>eyJoZGlkIjoiNTJhMWQ5MmFjNWJhZGNjZjQxNTdlMjQzYjkzMjcwMTIiLCJ1c2VySWQiOiIxMTc5NDc1NTkwIn0=</vt:lpwstr>
  </property>
</Properties>
</file>