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6CD6A">
      <w:pPr>
        <w:jc w:val="center"/>
        <w:rPr>
          <w:rFonts w:hint="eastAsia" w:ascii="宋体" w:hAnsi="宋体"/>
          <w:b/>
          <w:sz w:val="36"/>
          <w:szCs w:val="36"/>
        </w:rPr>
      </w:pPr>
      <w:r>
        <w:rPr>
          <w:rFonts w:hint="eastAsia" w:ascii="宋体" w:hAnsi="宋体"/>
          <w:b/>
          <w:sz w:val="36"/>
          <w:szCs w:val="36"/>
        </w:rPr>
        <w:t>淮南经济技术开发区管理委员会</w:t>
      </w:r>
    </w:p>
    <w:p w14:paraId="5F2C13B0">
      <w:pPr>
        <w:jc w:val="center"/>
        <w:rPr>
          <w:rFonts w:hint="eastAsia" w:ascii="宋体" w:hAnsi="宋体"/>
          <w:b/>
          <w:sz w:val="36"/>
          <w:szCs w:val="36"/>
        </w:rPr>
      </w:pPr>
      <w:r>
        <w:rPr>
          <w:rFonts w:hint="eastAsia" w:ascii="宋体" w:hAnsi="宋体"/>
          <w:b/>
          <w:sz w:val="36"/>
          <w:szCs w:val="36"/>
        </w:rPr>
        <w:t>2023</w:t>
      </w:r>
      <w:r>
        <w:rPr>
          <w:rFonts w:ascii="宋体" w:hAnsi="宋体"/>
          <w:b/>
          <w:sz w:val="36"/>
          <w:szCs w:val="36"/>
        </w:rPr>
        <w:t>年</w:t>
      </w:r>
      <w:r>
        <w:rPr>
          <w:rFonts w:hint="eastAsia" w:ascii="宋体" w:hAnsi="宋体"/>
          <w:b/>
          <w:sz w:val="36"/>
          <w:szCs w:val="36"/>
        </w:rPr>
        <w:t>度一般公共预算</w:t>
      </w:r>
    </w:p>
    <w:p w14:paraId="4B15993A">
      <w:pPr>
        <w:jc w:val="center"/>
        <w:rPr>
          <w:rFonts w:hint="eastAsia" w:ascii="宋体" w:hAnsi="宋体"/>
          <w:b/>
          <w:sz w:val="36"/>
          <w:szCs w:val="36"/>
        </w:rPr>
      </w:pPr>
      <w:r>
        <w:rPr>
          <w:rFonts w:hint="eastAsia" w:ascii="宋体" w:hAnsi="宋体"/>
          <w:b/>
          <w:sz w:val="36"/>
          <w:szCs w:val="36"/>
        </w:rPr>
        <w:t>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25612F3A">
      <w:pPr>
        <w:jc w:val="center"/>
        <w:rPr>
          <w:rFonts w:hint="eastAsia" w:ascii="楷体_GB2312" w:eastAsia="楷体_GB2312"/>
          <w:szCs w:val="32"/>
        </w:rPr>
      </w:pPr>
    </w:p>
    <w:p w14:paraId="2F43555D">
      <w:pPr>
        <w:adjustRightInd w:val="0"/>
        <w:snapToGrid w:val="0"/>
        <w:spacing w:line="360" w:lineRule="auto"/>
        <w:jc w:val="center"/>
        <w:rPr>
          <w:rFonts w:hint="eastAsia" w:ascii="宋体" w:hAnsi="宋体"/>
          <w:sz w:val="6"/>
          <w:szCs w:val="32"/>
        </w:rPr>
      </w:pPr>
    </w:p>
    <w:p w14:paraId="5CAC71AA">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一、2023年度一般公共预算财政拨款“三公”经费支出决算表</w:t>
      </w:r>
    </w:p>
    <w:p w14:paraId="3F973980">
      <w:pPr>
        <w:ind w:firstLine="6720" w:firstLineChars="2100"/>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144BEEEF">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745DCC51">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0A43274F">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0C4DC1A9">
            <w:pPr>
              <w:widowControl/>
              <w:jc w:val="center"/>
              <w:rPr>
                <w:rFonts w:ascii="宋体" w:hAnsi="宋体" w:cs="宋体"/>
                <w:b/>
                <w:bCs/>
                <w:kern w:val="0"/>
                <w:szCs w:val="21"/>
              </w:rPr>
            </w:pPr>
            <w:r>
              <w:rPr>
                <w:rFonts w:hint="eastAsia" w:ascii="宋体" w:hAnsi="宋体" w:cs="宋体"/>
                <w:b/>
                <w:bCs/>
                <w:kern w:val="0"/>
                <w:szCs w:val="21"/>
              </w:rPr>
              <w:t>决 算 数</w:t>
            </w:r>
          </w:p>
        </w:tc>
      </w:tr>
      <w:tr w14:paraId="58F51B2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5AB51CD">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35571F2F">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69.00</w:t>
            </w:r>
          </w:p>
        </w:tc>
        <w:tc>
          <w:tcPr>
            <w:tcW w:w="2220" w:type="dxa"/>
            <w:tcBorders>
              <w:top w:val="nil"/>
              <w:left w:val="nil"/>
              <w:bottom w:val="single" w:color="auto" w:sz="4" w:space="0"/>
              <w:right w:val="single" w:color="auto" w:sz="4" w:space="0"/>
            </w:tcBorders>
            <w:vAlign w:val="center"/>
          </w:tcPr>
          <w:p w14:paraId="640DD15E">
            <w:pPr>
              <w:widowControl/>
              <w:jc w:val="center"/>
              <w:rPr>
                <w:rFonts w:ascii="宋体" w:hAnsi="宋体" w:cs="宋体"/>
                <w:b/>
                <w:bCs/>
                <w:kern w:val="0"/>
                <w:szCs w:val="21"/>
              </w:rPr>
            </w:pPr>
            <w:r>
              <w:rPr>
                <w:rFonts w:hint="eastAsia" w:ascii="宋体" w:hAnsi="宋体" w:cs="宋体"/>
                <w:b/>
                <w:bCs/>
                <w:kern w:val="0"/>
                <w:szCs w:val="21"/>
              </w:rPr>
              <w:t>56.33</w:t>
            </w:r>
          </w:p>
        </w:tc>
      </w:tr>
      <w:tr w14:paraId="1ABE464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D0A9D43">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57234080">
            <w:pPr>
              <w:widowControl/>
              <w:jc w:val="center"/>
              <w:rPr>
                <w:rFonts w:ascii="宋体" w:hAnsi="宋体" w:cs="宋体"/>
                <w:kern w:val="0"/>
                <w:szCs w:val="21"/>
              </w:rPr>
            </w:pPr>
            <w:r>
              <w:rPr>
                <w:rFonts w:hint="eastAsia" w:ascii="宋体" w:hAnsi="宋体" w:cs="宋体"/>
                <w:kern w:val="0"/>
                <w:szCs w:val="21"/>
              </w:rPr>
              <w:t>11.00</w:t>
            </w:r>
          </w:p>
        </w:tc>
        <w:tc>
          <w:tcPr>
            <w:tcW w:w="2220" w:type="dxa"/>
            <w:tcBorders>
              <w:top w:val="nil"/>
              <w:left w:val="nil"/>
              <w:bottom w:val="single" w:color="auto" w:sz="4" w:space="0"/>
              <w:right w:val="single" w:color="auto" w:sz="4" w:space="0"/>
            </w:tcBorders>
            <w:vAlign w:val="bottom"/>
          </w:tcPr>
          <w:p w14:paraId="4D0E24EC">
            <w:pPr>
              <w:widowControl/>
              <w:jc w:val="center"/>
              <w:rPr>
                <w:rFonts w:ascii="宋体" w:hAnsi="宋体" w:cs="宋体"/>
                <w:kern w:val="0"/>
                <w:szCs w:val="21"/>
              </w:rPr>
            </w:pPr>
            <w:r>
              <w:rPr>
                <w:rFonts w:hint="eastAsia" w:ascii="宋体" w:hAnsi="宋体" w:cs="宋体"/>
                <w:kern w:val="0"/>
                <w:szCs w:val="21"/>
              </w:rPr>
              <w:t>0.00</w:t>
            </w:r>
          </w:p>
        </w:tc>
      </w:tr>
      <w:tr w14:paraId="756217D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3FD5059">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297F0CCD">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29.00</w:t>
            </w:r>
          </w:p>
        </w:tc>
        <w:tc>
          <w:tcPr>
            <w:tcW w:w="2220" w:type="dxa"/>
            <w:tcBorders>
              <w:top w:val="nil"/>
              <w:left w:val="nil"/>
              <w:bottom w:val="single" w:color="auto" w:sz="4" w:space="0"/>
              <w:right w:val="single" w:color="auto" w:sz="4" w:space="0"/>
            </w:tcBorders>
            <w:vAlign w:val="bottom"/>
          </w:tcPr>
          <w:p w14:paraId="30ACB367">
            <w:pPr>
              <w:widowControl/>
              <w:jc w:val="center"/>
              <w:rPr>
                <w:rFonts w:ascii="宋体" w:hAnsi="宋体" w:cs="宋体"/>
                <w:kern w:val="0"/>
                <w:szCs w:val="21"/>
              </w:rPr>
            </w:pPr>
            <w:r>
              <w:rPr>
                <w:rFonts w:hint="eastAsia" w:ascii="宋体" w:hAnsi="宋体" w:cs="宋体"/>
                <w:kern w:val="0"/>
                <w:szCs w:val="21"/>
              </w:rPr>
              <w:t>32.58</w:t>
            </w:r>
          </w:p>
        </w:tc>
      </w:tr>
      <w:tr w14:paraId="7960DF7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5BCE524">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7A675153">
            <w:pPr>
              <w:widowControl/>
              <w:jc w:val="center"/>
              <w:rPr>
                <w:rFonts w:ascii="宋体" w:hAnsi="宋体" w:cs="宋体"/>
                <w:kern w:val="0"/>
                <w:szCs w:val="21"/>
              </w:rPr>
            </w:pPr>
            <w:r>
              <w:rPr>
                <w:rFonts w:hint="eastAsia" w:ascii="宋体" w:hAnsi="宋体" w:cs="宋体"/>
                <w:kern w:val="0"/>
                <w:szCs w:val="21"/>
              </w:rPr>
              <w:t>29.00</w:t>
            </w:r>
          </w:p>
        </w:tc>
        <w:tc>
          <w:tcPr>
            <w:tcW w:w="2220" w:type="dxa"/>
            <w:tcBorders>
              <w:top w:val="nil"/>
              <w:left w:val="nil"/>
              <w:bottom w:val="single" w:color="auto" w:sz="4" w:space="0"/>
              <w:right w:val="single" w:color="auto" w:sz="4" w:space="0"/>
            </w:tcBorders>
            <w:vAlign w:val="bottom"/>
          </w:tcPr>
          <w:p w14:paraId="068AD5D2">
            <w:pPr>
              <w:widowControl/>
              <w:jc w:val="center"/>
              <w:rPr>
                <w:rFonts w:ascii="宋体" w:hAnsi="宋体" w:cs="宋体"/>
                <w:kern w:val="0"/>
                <w:szCs w:val="21"/>
              </w:rPr>
            </w:pPr>
            <w:r>
              <w:rPr>
                <w:rFonts w:hint="eastAsia" w:ascii="宋体" w:hAnsi="宋体" w:cs="宋体"/>
                <w:kern w:val="0"/>
                <w:szCs w:val="21"/>
              </w:rPr>
              <w:t>23.75</w:t>
            </w:r>
          </w:p>
        </w:tc>
      </w:tr>
      <w:tr w14:paraId="3C78850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D80201D">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47861916">
            <w:pPr>
              <w:widowControl/>
              <w:jc w:val="center"/>
              <w:rPr>
                <w:rFonts w:ascii="宋体" w:hAnsi="宋体" w:cs="宋体"/>
                <w:kern w:val="0"/>
                <w:szCs w:val="21"/>
              </w:rPr>
            </w:pPr>
            <w:r>
              <w:rPr>
                <w:rFonts w:hint="eastAsia" w:ascii="宋体" w:hAnsi="宋体" w:cs="宋体"/>
                <w:kern w:val="0"/>
                <w:szCs w:val="21"/>
              </w:rPr>
              <w:t>29.00</w:t>
            </w:r>
          </w:p>
        </w:tc>
        <w:tc>
          <w:tcPr>
            <w:tcW w:w="2220" w:type="dxa"/>
            <w:tcBorders>
              <w:top w:val="nil"/>
              <w:left w:val="nil"/>
              <w:bottom w:val="single" w:color="auto" w:sz="4" w:space="0"/>
              <w:right w:val="single" w:color="auto" w:sz="4" w:space="0"/>
            </w:tcBorders>
            <w:vAlign w:val="bottom"/>
          </w:tcPr>
          <w:p w14:paraId="4B9B556B">
            <w:pPr>
              <w:widowControl/>
              <w:jc w:val="center"/>
              <w:rPr>
                <w:rFonts w:ascii="宋体" w:hAnsi="宋体" w:cs="宋体"/>
                <w:kern w:val="0"/>
                <w:szCs w:val="21"/>
              </w:rPr>
            </w:pPr>
            <w:r>
              <w:rPr>
                <w:rFonts w:hint="eastAsia" w:ascii="宋体" w:hAnsi="宋体" w:cs="宋体"/>
                <w:kern w:val="0"/>
                <w:szCs w:val="21"/>
              </w:rPr>
              <w:t>23.75</w:t>
            </w:r>
          </w:p>
        </w:tc>
      </w:tr>
      <w:tr w14:paraId="75476D5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A68F03C">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14:paraId="17BA10AD">
            <w:pPr>
              <w:widowControl/>
              <w:jc w:val="center"/>
              <w:rPr>
                <w:rFonts w:ascii="宋体" w:hAnsi="宋体" w:cs="宋体"/>
                <w:kern w:val="0"/>
                <w:szCs w:val="21"/>
              </w:rPr>
            </w:pPr>
            <w:r>
              <w:rPr>
                <w:rFonts w:hint="eastAsia" w:ascii="宋体" w:hAnsi="宋体" w:cs="宋体"/>
                <w:kern w:val="0"/>
                <w:szCs w:val="21"/>
              </w:rPr>
              <w:t>0.00</w:t>
            </w:r>
          </w:p>
        </w:tc>
        <w:tc>
          <w:tcPr>
            <w:tcW w:w="2220" w:type="dxa"/>
            <w:tcBorders>
              <w:top w:val="nil"/>
              <w:left w:val="nil"/>
              <w:bottom w:val="single" w:color="auto" w:sz="4" w:space="0"/>
              <w:right w:val="single" w:color="auto" w:sz="4" w:space="0"/>
            </w:tcBorders>
            <w:vAlign w:val="bottom"/>
          </w:tcPr>
          <w:p w14:paraId="7709B7EA">
            <w:pPr>
              <w:widowControl/>
              <w:jc w:val="center"/>
              <w:rPr>
                <w:rFonts w:ascii="宋体" w:hAnsi="宋体" w:cs="宋体"/>
                <w:kern w:val="0"/>
                <w:szCs w:val="21"/>
              </w:rPr>
            </w:pPr>
            <w:r>
              <w:rPr>
                <w:rFonts w:hint="eastAsia" w:ascii="宋体" w:hAnsi="宋体" w:cs="宋体"/>
                <w:kern w:val="0"/>
                <w:szCs w:val="21"/>
              </w:rPr>
              <w:t>0.00</w:t>
            </w:r>
          </w:p>
        </w:tc>
      </w:tr>
    </w:tbl>
    <w:p w14:paraId="3FB68D8C">
      <w:pPr>
        <w:spacing w:line="300" w:lineRule="exact"/>
        <w:rPr>
          <w:rFonts w:hint="eastAsia" w:ascii="仿宋_GB2312" w:hAnsi="仿宋"/>
          <w:sz w:val="21"/>
          <w:szCs w:val="21"/>
        </w:rPr>
      </w:pPr>
    </w:p>
    <w:p w14:paraId="2F1AC422">
      <w:pPr>
        <w:spacing w:line="300" w:lineRule="exact"/>
        <w:rPr>
          <w:rFonts w:hint="eastAsia" w:ascii="黑体" w:hAnsi="黑体" w:eastAsia="黑体"/>
          <w:szCs w:val="32"/>
        </w:rPr>
      </w:pPr>
      <w:bookmarkStart w:id="0" w:name="_GoBack"/>
      <w:bookmarkEnd w:id="0"/>
      <w:r>
        <w:rPr>
          <w:rFonts w:hint="eastAsia" w:ascii="仿宋_GB2312" w:hAnsi="仿宋"/>
          <w:sz w:val="21"/>
          <w:szCs w:val="21"/>
        </w:rPr>
        <w:t xml:space="preserve"> </w:t>
      </w:r>
      <w:r>
        <w:rPr>
          <w:rFonts w:hint="eastAsia" w:ascii="仿宋_GB2312" w:hAnsi="仿宋"/>
          <w:szCs w:val="32"/>
        </w:rPr>
        <w:t xml:space="preserve"> </w:t>
      </w:r>
      <w:r>
        <w:rPr>
          <w:rFonts w:hint="eastAsia" w:ascii="黑体" w:hAnsi="黑体" w:eastAsia="黑体"/>
          <w:szCs w:val="32"/>
        </w:rPr>
        <w:t xml:space="preserve">                                      </w:t>
      </w:r>
    </w:p>
    <w:p w14:paraId="7CE3DF58">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5D58DCFE">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97D109A">
      <w:pPr>
        <w:ind w:firstLine="640" w:firstLineChars="200"/>
        <w:rPr>
          <w:rFonts w:hint="eastAsia" w:ascii="仿宋_GB2312" w:hAnsi="仿宋"/>
          <w:szCs w:val="32"/>
        </w:rPr>
      </w:pPr>
      <w:r>
        <w:rPr>
          <w:rFonts w:hint="eastAsia" w:ascii="仿宋_GB2312" w:hAnsi="仿宋"/>
          <w:szCs w:val="32"/>
        </w:rPr>
        <w:t>淮南经济技术开发区管理委员会2023年度一般公共预算财政拨款“三公”经费支出预算为6</w:t>
      </w:r>
      <w:r>
        <w:rPr>
          <w:rFonts w:hint="eastAsia" w:ascii="仿宋_GB2312" w:hAnsi="仿宋"/>
          <w:szCs w:val="32"/>
          <w:lang w:val="en-US" w:eastAsia="zh-CN"/>
        </w:rPr>
        <w:t>9.00</w:t>
      </w:r>
      <w:r>
        <w:rPr>
          <w:rFonts w:hint="eastAsia" w:ascii="仿宋_GB2312" w:hAnsi="仿宋"/>
          <w:szCs w:val="32"/>
        </w:rPr>
        <w:t>万元，支出决算为56.33万元，完成预算的</w:t>
      </w:r>
      <w:r>
        <w:rPr>
          <w:rFonts w:hint="eastAsia" w:ascii="仿宋_GB2312" w:hAnsi="仿宋"/>
          <w:szCs w:val="32"/>
          <w:lang w:val="en-US" w:eastAsia="zh-CN"/>
        </w:rPr>
        <w:t>81.64</w:t>
      </w:r>
      <w:r>
        <w:rPr>
          <w:rFonts w:hint="eastAsia" w:ascii="仿宋_GB2312" w:hAnsi="仿宋"/>
          <w:szCs w:val="32"/>
        </w:rPr>
        <w:t>%；较上年减少0.27万元，下降0.48%。决算数小于预算数的主要原因是认真贯彻落实八项规定要求，严格控制支出。决算数较上年减少的主要原因是减少公务用车购置费用。为全面反映“三公”经费支出，本次公布的“三公”经费决算为部门汇总数，包含单位本级和所属单位。</w:t>
      </w:r>
    </w:p>
    <w:p w14:paraId="51D9FEF8">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1DE84E8D">
      <w:pPr>
        <w:ind w:firstLine="640" w:firstLineChars="200"/>
        <w:rPr>
          <w:rFonts w:hint="eastAsia" w:ascii="仿宋_GB2312" w:hAnsi="仿宋"/>
          <w:szCs w:val="32"/>
        </w:rPr>
      </w:pPr>
      <w:r>
        <w:rPr>
          <w:rFonts w:hint="eastAsia" w:ascii="仿宋_GB2312" w:hAnsi="仿宋"/>
          <w:szCs w:val="32"/>
        </w:rPr>
        <w:t>淮南经济技术开发区管理委员会2023年度一般公共预算财政拨款“三公”经费支出决算中，因公出国（境）费支出决算0.00万元，占0.00%;公务接待费支出决算32.58万元，占57.84%；公务用车购置及运行维护费支出决算23.75万元，占42.16%。具体情况如下：</w:t>
      </w:r>
    </w:p>
    <w:p w14:paraId="0519D4E8">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预算为11.00万元，支出决算为0.00万元，2023年市级对口单位未安排此项支出。经费使用严格按照《淮南市市直党政机关因公临时出国经费管理办法》（淮财行政〔2014〕65 号）等相关规定执行。</w:t>
      </w:r>
    </w:p>
    <w:p w14:paraId="4B124FB0">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w:t>
      </w:r>
      <w:r>
        <w:rPr>
          <w:rFonts w:hint="eastAsia" w:ascii="仿宋_GB2312" w:hAnsi="仿宋"/>
          <w:szCs w:val="32"/>
          <w:lang w:val="en-US" w:eastAsia="zh-CN"/>
        </w:rPr>
        <w:t>29.00</w:t>
      </w:r>
      <w:r>
        <w:rPr>
          <w:rFonts w:hint="eastAsia" w:ascii="仿宋_GB2312" w:hAnsi="仿宋"/>
          <w:szCs w:val="32"/>
        </w:rPr>
        <w:t>万元，支出决算为32.58万元，完成预算的1</w:t>
      </w:r>
      <w:r>
        <w:rPr>
          <w:rFonts w:hint="eastAsia" w:ascii="仿宋_GB2312" w:hAnsi="仿宋"/>
          <w:szCs w:val="32"/>
          <w:lang w:val="en-US" w:eastAsia="zh-CN"/>
        </w:rPr>
        <w:t>1</w:t>
      </w:r>
      <w:r>
        <w:rPr>
          <w:rFonts w:hint="eastAsia" w:ascii="仿宋_GB2312" w:hAnsi="仿宋"/>
          <w:szCs w:val="32"/>
        </w:rPr>
        <w:t>2.</w:t>
      </w:r>
      <w:r>
        <w:rPr>
          <w:rFonts w:hint="eastAsia" w:ascii="仿宋_GB2312" w:hAnsi="仿宋"/>
          <w:szCs w:val="32"/>
          <w:lang w:val="en-US" w:eastAsia="zh-CN"/>
        </w:rPr>
        <w:t>34</w:t>
      </w:r>
      <w:r>
        <w:rPr>
          <w:rFonts w:hint="eastAsia" w:ascii="仿宋_GB2312" w:hAnsi="仿宋"/>
          <w:szCs w:val="32"/>
        </w:rPr>
        <w:t>%；较上年增加15.68万元，增长92.78%。决算数大于预算数的主要原因是用于拓展招商引资领域、深化招商引资措施，进行外出考察和来区接待活动次数增加。决算数较上年增加的主要原因是招商引资增加公务接待次数和人数。2023年淮南经济技术开发区管理委员会国内公务接待共220批次（其中外事接待0批次），3441人次（其中外事接待0人次）。主要是用于拓展招商引资领域、深化招商引资措施，进行外出考察和来区接待活动。经费使用贯彻党中央八项规定、《党政机关厉行节约反对浪费条例》、市委市政府有关具体要求，严格执行《淮南市市直机关公务接待费管理暂行办法》（淮财行政〔2014〕581 号）相关规定。</w:t>
      </w:r>
    </w:p>
    <w:p w14:paraId="5306B38A">
      <w:pPr>
        <w:ind w:firstLine="643" w:firstLineChars="200"/>
      </w:pPr>
      <w:r>
        <w:rPr>
          <w:rFonts w:hint="eastAsia" w:ascii="仿宋_GB2312" w:hAnsi="仿宋"/>
          <w:b/>
          <w:bCs/>
          <w:szCs w:val="32"/>
        </w:rPr>
        <w:t>3.公务用车购置及运行维护费</w:t>
      </w:r>
      <w:r>
        <w:rPr>
          <w:rFonts w:hint="eastAsia" w:ascii="仿宋_GB2312" w:hAnsi="仿宋"/>
          <w:szCs w:val="32"/>
        </w:rPr>
        <w:t>预算为29.00万元，支出决算为  23.75万元，完成预算的81.90%；较上年减少15.95万元，下降40.18%。决算数小于预算数的主要原因是认真贯彻落实八项规定要求，严格控制支出。决算数较上年减少的主要原因是今年没有公务用车购置费。</w:t>
      </w:r>
      <w:r>
        <w:rPr>
          <w:rFonts w:hint="eastAsia" w:ascii="楷体_GB2312" w:hAnsi="楷体_GB2312" w:eastAsia="楷体_GB2312" w:cs="楷体_GB2312"/>
          <w:szCs w:val="32"/>
        </w:rPr>
        <w:t>2023年没有安排公务用车购置费</w:t>
      </w:r>
      <w:r>
        <w:rPr>
          <w:rFonts w:hint="eastAsia" w:ascii="楷体_GB2312" w:hAnsi="仿宋" w:eastAsia="楷体_GB2312"/>
          <w:szCs w:val="32"/>
        </w:rPr>
        <w:t>。</w:t>
      </w:r>
      <w:r>
        <w:rPr>
          <w:rFonts w:hint="eastAsia" w:ascii="仿宋_GB2312" w:hAnsi="仿宋"/>
          <w:szCs w:val="32"/>
        </w:rPr>
        <w:t>公务用车运行维护费预算为29.00万元，支出决算为23.75万元，完成预算的81.90%；较上年减少15.95万元，下降40.18%。决算数小于预算数的主要原因是认真贯彻落实八项规定要求，严格控制支出。决算数较上年减少的主要原因是今年没有公务用车购置费。公务用车运行维护费，包括车辆燃料费、维修费、过路过桥费、保险费等支出，主要用于外出招商、会议、培训、考察等。截至2023年12月31日，淮南经济技术开发区管理委员会机关及所属单位开支财政拨款的公务用车保有量为6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1MjU0Y2E2MzkwZWQ1ZTA2MDFjYmEwYTdmMWM0MjMifQ=="/>
  </w:docVars>
  <w:rsids>
    <w:rsidRoot w:val="005C692F"/>
    <w:rsid w:val="002B37B2"/>
    <w:rsid w:val="003D2774"/>
    <w:rsid w:val="005C692F"/>
    <w:rsid w:val="00603A0A"/>
    <w:rsid w:val="006D2427"/>
    <w:rsid w:val="00AE189A"/>
    <w:rsid w:val="00B07AFF"/>
    <w:rsid w:val="00BE02A6"/>
    <w:rsid w:val="00D02C38"/>
    <w:rsid w:val="063D3D46"/>
    <w:rsid w:val="06AD3A04"/>
    <w:rsid w:val="1B4D11BE"/>
    <w:rsid w:val="1BAA05EF"/>
    <w:rsid w:val="35BB3DFB"/>
    <w:rsid w:val="566C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1326</Words>
  <Characters>1537</Characters>
  <Lines>11</Lines>
  <Paragraphs>3</Paragraphs>
  <TotalTime>88</TotalTime>
  <ScaleCrop>false</ScaleCrop>
  <LinksUpToDate>false</LinksUpToDate>
  <CharactersWithSpaces>1608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2024-08-12T08:46:00Z</dcterms:created>
  <dc:creator>acer</dc:creator>
  <cp:lastModifiedBy>文石轩</cp:lastModifiedBy>
  <dcterms:modified xsi:type="dcterms:W3CDTF">2024-08-22T07:45:21Z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C7359886B8D0409BB5DD73DCF51AEBC1_12</vt:lpwstr>
  </property>
</Properties>
</file>